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2413E" w14:textId="77777777" w:rsidR="00A02A49" w:rsidRDefault="00FA26AA" w:rsidP="00A02A49">
      <w:pPr>
        <w:pStyle w:val="Style1"/>
        <w:spacing w:line="360" w:lineRule="auto"/>
        <w:jc w:val="center"/>
        <w:rPr>
          <w:rFonts w:ascii="Arial" w:hAnsi="Arial" w:cs="Arial"/>
          <w:sz w:val="32"/>
          <w:szCs w:val="32"/>
        </w:rPr>
      </w:pPr>
      <w:r w:rsidRPr="00C30126">
        <w:rPr>
          <w:rFonts w:ascii="Arial" w:hAnsi="Arial" w:cs="Arial"/>
          <w:color w:val="auto"/>
          <w:sz w:val="32"/>
          <w:szCs w:val="32"/>
        </w:rPr>
        <w:t>Supporting Information</w:t>
      </w:r>
      <w:r w:rsidR="00A02A49">
        <w:rPr>
          <w:rFonts w:ascii="Arial" w:hAnsi="Arial" w:cs="Arial"/>
          <w:sz w:val="32"/>
          <w:szCs w:val="32"/>
        </w:rPr>
        <w:t xml:space="preserve"> </w:t>
      </w:r>
    </w:p>
    <w:p w14:paraId="5AF9F3DA" w14:textId="15F7BD93" w:rsidR="00A02A49" w:rsidRDefault="003F73C3" w:rsidP="00A02A49">
      <w:pPr>
        <w:pStyle w:val="Style1"/>
        <w:spacing w:line="360" w:lineRule="auto"/>
        <w:jc w:val="center"/>
        <w:rPr>
          <w:rFonts w:ascii="Arial" w:hAnsi="Arial" w:cs="Arial"/>
          <w:b/>
          <w:bCs/>
          <w:sz w:val="32"/>
          <w:szCs w:val="32"/>
        </w:rPr>
      </w:pPr>
      <w:r w:rsidRPr="003F73C3">
        <w:rPr>
          <w:rFonts w:ascii="Arial" w:hAnsi="Arial" w:cs="Arial"/>
          <w:b/>
          <w:bCs/>
          <w:sz w:val="32"/>
          <w:szCs w:val="32"/>
        </w:rPr>
        <w:t xml:space="preserve">Post-print gold </w:t>
      </w:r>
      <w:proofErr w:type="spellStart"/>
      <w:r w:rsidRPr="003F73C3">
        <w:rPr>
          <w:rFonts w:ascii="Arial" w:hAnsi="Arial" w:cs="Arial"/>
          <w:b/>
          <w:bCs/>
          <w:sz w:val="32"/>
          <w:szCs w:val="32"/>
        </w:rPr>
        <w:t>nanometallization</w:t>
      </w:r>
      <w:proofErr w:type="spellEnd"/>
      <w:r w:rsidRPr="003F73C3">
        <w:rPr>
          <w:rFonts w:ascii="Arial" w:hAnsi="Arial" w:cs="Arial"/>
          <w:b/>
          <w:bCs/>
          <w:sz w:val="32"/>
          <w:szCs w:val="32"/>
        </w:rPr>
        <w:t xml:space="preserve"> tunes the architecture-dependent </w:t>
      </w:r>
      <w:proofErr w:type="spellStart"/>
      <w:r w:rsidRPr="003F73C3">
        <w:rPr>
          <w:rFonts w:ascii="Arial" w:hAnsi="Arial" w:cs="Arial"/>
          <w:b/>
          <w:bCs/>
          <w:sz w:val="32"/>
          <w:szCs w:val="32"/>
        </w:rPr>
        <w:t>chemomechanics</w:t>
      </w:r>
      <w:proofErr w:type="spellEnd"/>
      <w:r w:rsidRPr="003F73C3">
        <w:rPr>
          <w:rFonts w:ascii="Arial" w:hAnsi="Arial" w:cs="Arial"/>
          <w:b/>
          <w:bCs/>
          <w:sz w:val="32"/>
          <w:szCs w:val="32"/>
        </w:rPr>
        <w:t xml:space="preserve"> of 4D protein microstructures</w:t>
      </w:r>
    </w:p>
    <w:p w14:paraId="420CE9B5" w14:textId="1A07E4DE" w:rsidR="00A02A49" w:rsidRPr="000305ED" w:rsidRDefault="00A02A49" w:rsidP="00A02A49">
      <w:pPr>
        <w:pStyle w:val="Style1"/>
        <w:spacing w:line="240" w:lineRule="auto"/>
        <w:jc w:val="center"/>
        <w:rPr>
          <w:rFonts w:ascii="Arial" w:hAnsi="Arial" w:cs="Arial"/>
          <w:i/>
          <w:iCs/>
          <w:sz w:val="24"/>
          <w:szCs w:val="24"/>
          <w:vertAlign w:val="superscript"/>
        </w:rPr>
      </w:pPr>
      <w:r w:rsidRPr="000305ED">
        <w:rPr>
          <w:rFonts w:ascii="Arial" w:hAnsi="Arial" w:cs="Arial"/>
          <w:i/>
          <w:iCs/>
          <w:sz w:val="24"/>
          <w:szCs w:val="24"/>
        </w:rPr>
        <w:t>Myrto Charitaki</w:t>
      </w:r>
      <w:r w:rsidRPr="000305ED">
        <w:rPr>
          <w:rFonts w:ascii="Arial" w:hAnsi="Arial" w:cs="Arial"/>
          <w:i/>
          <w:iCs/>
          <w:sz w:val="24"/>
          <w:szCs w:val="24"/>
          <w:vertAlign w:val="superscript"/>
        </w:rPr>
        <w:t xml:space="preserve">1,2 ᵼ </w:t>
      </w:r>
      <w:r w:rsidRPr="000305ED">
        <w:rPr>
          <w:rFonts w:ascii="Arial" w:hAnsi="Arial" w:cs="Arial"/>
          <w:i/>
          <w:iCs/>
          <w:sz w:val="24"/>
          <w:szCs w:val="24"/>
        </w:rPr>
        <w:t>, Savvas Papamakarios</w:t>
      </w:r>
      <w:r w:rsidRPr="000305ED">
        <w:rPr>
          <w:rFonts w:ascii="Arial" w:hAnsi="Arial" w:cs="Arial"/>
          <w:i/>
          <w:iCs/>
          <w:sz w:val="24"/>
          <w:szCs w:val="24"/>
          <w:vertAlign w:val="superscript"/>
        </w:rPr>
        <w:t>1,3 ᵼ</w:t>
      </w:r>
      <w:r w:rsidRPr="000305ED">
        <w:rPr>
          <w:rFonts w:ascii="Arial" w:hAnsi="Arial" w:cs="Arial"/>
          <w:i/>
          <w:iCs/>
          <w:sz w:val="24"/>
          <w:szCs w:val="24"/>
        </w:rPr>
        <w:t>, Maria Farsari</w:t>
      </w:r>
      <w:r w:rsidRPr="000305ED">
        <w:rPr>
          <w:rFonts w:ascii="Arial" w:hAnsi="Arial" w:cs="Arial"/>
          <w:i/>
          <w:iCs/>
          <w:sz w:val="24"/>
          <w:szCs w:val="24"/>
          <w:vertAlign w:val="superscript"/>
        </w:rPr>
        <w:t>1 *</w:t>
      </w:r>
    </w:p>
    <w:p w14:paraId="046E93BB" w14:textId="77777777" w:rsidR="00A02A49" w:rsidRPr="008702B7" w:rsidRDefault="00A02A49" w:rsidP="00A02A49">
      <w:pPr>
        <w:pStyle w:val="Style1"/>
        <w:spacing w:line="240" w:lineRule="auto"/>
        <w:jc w:val="left"/>
        <w:rPr>
          <w:rFonts w:ascii="Arial" w:hAnsi="Arial" w:cs="Arial"/>
        </w:rPr>
      </w:pPr>
      <w:r w:rsidRPr="008702B7">
        <w:rPr>
          <w:rFonts w:ascii="Arial" w:hAnsi="Arial" w:cs="Arial"/>
        </w:rPr>
        <w:t>1: Institute of Electronic Structure and Laser, Foundation for Research and Technology-Hellas (FORTH/IESL), Heraklion, Crete, Greece</w:t>
      </w:r>
    </w:p>
    <w:p w14:paraId="212631A5" w14:textId="77777777" w:rsidR="00A02A49" w:rsidRPr="008702B7" w:rsidRDefault="00A02A49" w:rsidP="00A02A49">
      <w:pPr>
        <w:pStyle w:val="Style1"/>
        <w:spacing w:line="240" w:lineRule="auto"/>
        <w:jc w:val="left"/>
        <w:rPr>
          <w:rFonts w:ascii="Arial" w:hAnsi="Arial" w:cs="Arial"/>
        </w:rPr>
      </w:pPr>
      <w:r w:rsidRPr="008702B7">
        <w:rPr>
          <w:rFonts w:ascii="Arial" w:hAnsi="Arial" w:cs="Arial"/>
        </w:rPr>
        <w:t>2: Department of Materials Science and Engineering, University of Crete, Heraklion, Crete, Greece</w:t>
      </w:r>
    </w:p>
    <w:p w14:paraId="514B5012" w14:textId="77777777" w:rsidR="00A02A49" w:rsidRDefault="00A02A49" w:rsidP="00A02A49">
      <w:pPr>
        <w:pStyle w:val="Style1"/>
        <w:spacing w:line="240" w:lineRule="auto"/>
        <w:jc w:val="left"/>
        <w:rPr>
          <w:rFonts w:ascii="Arial" w:hAnsi="Arial" w:cs="Arial"/>
        </w:rPr>
      </w:pPr>
      <w:r w:rsidRPr="008702B7">
        <w:rPr>
          <w:rFonts w:ascii="Arial" w:hAnsi="Arial" w:cs="Arial"/>
        </w:rPr>
        <w:t xml:space="preserve">3: Department of Physics, National and </w:t>
      </w:r>
      <w:proofErr w:type="spellStart"/>
      <w:r w:rsidRPr="008702B7">
        <w:rPr>
          <w:rFonts w:ascii="Arial" w:hAnsi="Arial" w:cs="Arial"/>
        </w:rPr>
        <w:t>Kapodistrian</w:t>
      </w:r>
      <w:proofErr w:type="spellEnd"/>
      <w:r w:rsidRPr="008702B7">
        <w:rPr>
          <w:rFonts w:ascii="Arial" w:hAnsi="Arial" w:cs="Arial"/>
        </w:rPr>
        <w:t xml:space="preserve"> University of Athens, Athens, Greece</w:t>
      </w:r>
    </w:p>
    <w:p w14:paraId="514BA72B" w14:textId="77777777" w:rsidR="00A02A49" w:rsidRPr="000305ED" w:rsidRDefault="00A02A49" w:rsidP="00A02A49">
      <w:pPr>
        <w:pStyle w:val="Style1"/>
        <w:spacing w:line="240" w:lineRule="auto"/>
        <w:jc w:val="left"/>
        <w:rPr>
          <w:rFonts w:ascii="Arial" w:hAnsi="Arial" w:cs="Arial"/>
          <w:sz w:val="18"/>
          <w:szCs w:val="18"/>
        </w:rPr>
      </w:pPr>
      <w:r w:rsidRPr="000305ED">
        <w:rPr>
          <w:rFonts w:ascii="Arial" w:hAnsi="Arial" w:cs="Arial"/>
          <w:sz w:val="28"/>
          <w:szCs w:val="28"/>
          <w:vertAlign w:val="superscript"/>
        </w:rPr>
        <w:t>ᵼ</w:t>
      </w:r>
      <w:r w:rsidRPr="000305ED">
        <w:rPr>
          <w:rFonts w:ascii="Arial" w:hAnsi="Arial" w:cs="Arial"/>
        </w:rPr>
        <w:t>:</w:t>
      </w:r>
      <w:r>
        <w:rPr>
          <w:rFonts w:ascii="Arial" w:hAnsi="Arial" w:cs="Arial"/>
          <w:sz w:val="28"/>
          <w:szCs w:val="28"/>
        </w:rPr>
        <w:t xml:space="preserve"> </w:t>
      </w:r>
      <w:r w:rsidRPr="000305ED">
        <w:rPr>
          <w:rFonts w:ascii="Arial" w:hAnsi="Arial" w:cs="Arial"/>
        </w:rPr>
        <w:t>These authors contributed equally.</w:t>
      </w:r>
    </w:p>
    <w:p w14:paraId="4F4EB112" w14:textId="6AD55443" w:rsidR="00336D41" w:rsidRDefault="00A02A49" w:rsidP="00A02A49">
      <w:pPr>
        <w:pStyle w:val="Style1"/>
        <w:spacing w:line="240" w:lineRule="auto"/>
        <w:jc w:val="left"/>
        <w:rPr>
          <w:rFonts w:ascii="Arial" w:hAnsi="Arial" w:cs="Arial"/>
        </w:rPr>
      </w:pPr>
      <w:r>
        <w:rPr>
          <w:rFonts w:ascii="Arial" w:hAnsi="Arial" w:cs="Arial"/>
        </w:rPr>
        <w:t xml:space="preserve">*: </w:t>
      </w:r>
      <w:r w:rsidRPr="000305ED">
        <w:rPr>
          <w:rFonts w:ascii="Arial" w:hAnsi="Arial" w:cs="Arial"/>
        </w:rPr>
        <w:t>Correspondence</w:t>
      </w:r>
      <w:r>
        <w:rPr>
          <w:rFonts w:ascii="Arial" w:hAnsi="Arial" w:cs="Arial"/>
        </w:rPr>
        <w:t xml:space="preserve">: </w:t>
      </w:r>
      <w:r w:rsidRPr="000305ED">
        <w:rPr>
          <w:rFonts w:ascii="Arial" w:hAnsi="Arial" w:cs="Arial"/>
        </w:rPr>
        <w:t>Maria Farsari</w:t>
      </w:r>
      <w:r>
        <w:rPr>
          <w:rFonts w:ascii="Arial" w:hAnsi="Arial" w:cs="Arial"/>
        </w:rPr>
        <w:t xml:space="preserve"> (</w:t>
      </w:r>
      <w:hyperlink r:id="rId7" w:history="1">
        <w:r w:rsidRPr="009176BC">
          <w:rPr>
            <w:rStyle w:val="Hyperlink"/>
            <w:rFonts w:ascii="Arial" w:hAnsi="Arial" w:cs="Arial"/>
          </w:rPr>
          <w:t>mfarsari@iesl.forth.gr</w:t>
        </w:r>
      </w:hyperlink>
      <w:r>
        <w:rPr>
          <w:rFonts w:ascii="Arial" w:hAnsi="Arial" w:cs="Arial"/>
        </w:rPr>
        <w:t>).</w:t>
      </w:r>
    </w:p>
    <w:p w14:paraId="49BB713A" w14:textId="77777777" w:rsidR="00A02A49" w:rsidRPr="00A02A49" w:rsidRDefault="00A02A49" w:rsidP="00A02A49">
      <w:pPr>
        <w:pStyle w:val="Style1"/>
        <w:spacing w:line="240" w:lineRule="auto"/>
        <w:jc w:val="left"/>
        <w:rPr>
          <w:rFonts w:ascii="Arial" w:hAnsi="Arial" w:cs="Arial"/>
          <w:b/>
          <w:bCs/>
          <w:color w:val="auto"/>
        </w:rPr>
      </w:pPr>
    </w:p>
    <w:sdt>
      <w:sdtPr>
        <w:rPr>
          <w:rFonts w:asciiTheme="minorHAnsi" w:eastAsiaTheme="minorEastAsia" w:hAnsiTheme="minorHAnsi" w:cstheme="minorBidi"/>
          <w:color w:val="auto"/>
          <w:sz w:val="22"/>
          <w:szCs w:val="22"/>
          <w:lang w:val="en-GB"/>
        </w:rPr>
        <w:id w:val="1349147041"/>
        <w:docPartObj>
          <w:docPartGallery w:val="Table of Contents"/>
          <w:docPartUnique/>
        </w:docPartObj>
      </w:sdtPr>
      <w:sdtEndPr>
        <w:rPr>
          <w:sz w:val="24"/>
          <w:szCs w:val="24"/>
        </w:rPr>
      </w:sdtEndPr>
      <w:sdtContent>
        <w:p w14:paraId="1B4EE331" w14:textId="1EE2EA76" w:rsidR="00C22F30" w:rsidRPr="00496AED" w:rsidRDefault="00C22F30" w:rsidP="00F175E1">
          <w:pPr>
            <w:pStyle w:val="TOCHeading"/>
            <w:pageBreakBefore/>
            <w:spacing w:line="600" w:lineRule="auto"/>
            <w:rPr>
              <w:rFonts w:ascii="Arial" w:hAnsi="Arial" w:cs="Arial"/>
              <w:i/>
              <w:iCs/>
              <w:color w:val="auto"/>
            </w:rPr>
          </w:pPr>
          <w:r w:rsidRPr="00496AED">
            <w:rPr>
              <w:rFonts w:ascii="Arial" w:hAnsi="Arial" w:cs="Arial"/>
              <w:i/>
              <w:iCs/>
              <w:color w:val="auto"/>
              <w:lang w:val="en-GB"/>
            </w:rPr>
            <w:t>Contents</w:t>
          </w:r>
        </w:p>
        <w:p w14:paraId="19B7DBB9" w14:textId="0F56C1BA" w:rsidR="00F175E1" w:rsidRDefault="00C22F30" w:rsidP="00F175E1">
          <w:pPr>
            <w:pStyle w:val="TOC1"/>
            <w:tabs>
              <w:tab w:val="right" w:leader="dot" w:pos="9060"/>
            </w:tabs>
            <w:spacing w:line="600" w:lineRule="auto"/>
            <w:rPr>
              <w:noProof/>
              <w:kern w:val="2"/>
              <w:sz w:val="24"/>
              <w:szCs w:val="24"/>
              <w:lang w:eastAsia="el-GR"/>
              <w14:ligatures w14:val="standardContextual"/>
            </w:rPr>
          </w:pPr>
          <w:r w:rsidRPr="00C22F30">
            <w:rPr>
              <w:rFonts w:ascii="Arial" w:hAnsi="Arial" w:cs="Arial"/>
              <w:sz w:val="24"/>
              <w:szCs w:val="24"/>
            </w:rPr>
            <w:fldChar w:fldCharType="begin"/>
          </w:r>
          <w:r w:rsidRPr="00C22F30">
            <w:rPr>
              <w:rFonts w:ascii="Arial" w:hAnsi="Arial" w:cs="Arial"/>
              <w:sz w:val="24"/>
              <w:szCs w:val="24"/>
            </w:rPr>
            <w:instrText xml:space="preserve"> TOC \o "1-3" \h \z \u </w:instrText>
          </w:r>
          <w:r w:rsidRPr="00C22F30">
            <w:rPr>
              <w:rFonts w:ascii="Arial" w:hAnsi="Arial" w:cs="Arial"/>
              <w:sz w:val="24"/>
              <w:szCs w:val="24"/>
            </w:rPr>
            <w:fldChar w:fldCharType="separate"/>
          </w:r>
          <w:hyperlink w:anchor="_Toc238807061" w:history="1">
            <w:r w:rsidR="00F175E1" w:rsidRPr="0075180D">
              <w:rPr>
                <w:rStyle w:val="Hyperlink"/>
                <w:rFonts w:ascii="Arial" w:hAnsi="Arial" w:cs="Arial"/>
                <w:b/>
                <w:bCs/>
                <w:noProof/>
                <w:lang w:val="en-US"/>
              </w:rPr>
              <w:t>Spectroscopic characterization and optimization of the nanometallization process</w:t>
            </w:r>
            <w:r w:rsidR="00F175E1">
              <w:rPr>
                <w:noProof/>
                <w:webHidden/>
              </w:rPr>
              <w:tab/>
            </w:r>
            <w:r w:rsidR="00F175E1">
              <w:rPr>
                <w:noProof/>
                <w:webHidden/>
              </w:rPr>
              <w:fldChar w:fldCharType="begin"/>
            </w:r>
            <w:r w:rsidR="00F175E1">
              <w:rPr>
                <w:noProof/>
                <w:webHidden/>
              </w:rPr>
              <w:instrText xml:space="preserve"> PAGEREF _Toc238807061 \h </w:instrText>
            </w:r>
            <w:r w:rsidR="00F175E1">
              <w:rPr>
                <w:noProof/>
                <w:webHidden/>
              </w:rPr>
            </w:r>
            <w:r w:rsidR="00F175E1">
              <w:rPr>
                <w:noProof/>
                <w:webHidden/>
              </w:rPr>
              <w:fldChar w:fldCharType="separate"/>
            </w:r>
            <w:r w:rsidR="00F175E1">
              <w:rPr>
                <w:noProof/>
                <w:webHidden/>
              </w:rPr>
              <w:t>3</w:t>
            </w:r>
            <w:r w:rsidR="00F175E1">
              <w:rPr>
                <w:noProof/>
                <w:webHidden/>
              </w:rPr>
              <w:fldChar w:fldCharType="end"/>
            </w:r>
          </w:hyperlink>
        </w:p>
        <w:p w14:paraId="3D750C18" w14:textId="18438AFD" w:rsidR="00F175E1" w:rsidRDefault="00F175E1" w:rsidP="00F175E1">
          <w:pPr>
            <w:pStyle w:val="TOC1"/>
            <w:tabs>
              <w:tab w:val="right" w:leader="dot" w:pos="9060"/>
            </w:tabs>
            <w:spacing w:line="600" w:lineRule="auto"/>
            <w:rPr>
              <w:noProof/>
              <w:kern w:val="2"/>
              <w:sz w:val="24"/>
              <w:szCs w:val="24"/>
              <w:lang w:eastAsia="el-GR"/>
              <w14:ligatures w14:val="standardContextual"/>
            </w:rPr>
          </w:pPr>
          <w:hyperlink w:anchor="_Toc238807062" w:history="1">
            <w:r w:rsidRPr="0075180D">
              <w:rPr>
                <w:rStyle w:val="Hyperlink"/>
                <w:rFonts w:ascii="Arial" w:hAnsi="Arial" w:cs="Arial"/>
                <w:b/>
                <w:bCs/>
                <w:noProof/>
                <w:lang w:val="en-US"/>
              </w:rPr>
              <w:t>Architectural compatibility of post-print nanometallization</w:t>
            </w:r>
            <w:r>
              <w:rPr>
                <w:noProof/>
                <w:webHidden/>
              </w:rPr>
              <w:tab/>
            </w:r>
            <w:r>
              <w:rPr>
                <w:noProof/>
                <w:webHidden/>
              </w:rPr>
              <w:fldChar w:fldCharType="begin"/>
            </w:r>
            <w:r>
              <w:rPr>
                <w:noProof/>
                <w:webHidden/>
              </w:rPr>
              <w:instrText xml:space="preserve"> PAGEREF _Toc238807062 \h </w:instrText>
            </w:r>
            <w:r>
              <w:rPr>
                <w:noProof/>
                <w:webHidden/>
              </w:rPr>
            </w:r>
            <w:r>
              <w:rPr>
                <w:noProof/>
                <w:webHidden/>
              </w:rPr>
              <w:fldChar w:fldCharType="separate"/>
            </w:r>
            <w:r>
              <w:rPr>
                <w:noProof/>
                <w:webHidden/>
              </w:rPr>
              <w:t>5</w:t>
            </w:r>
            <w:r>
              <w:rPr>
                <w:noProof/>
                <w:webHidden/>
              </w:rPr>
              <w:fldChar w:fldCharType="end"/>
            </w:r>
          </w:hyperlink>
        </w:p>
        <w:p w14:paraId="4E5DD4ED" w14:textId="5F00F2C8" w:rsidR="00F175E1" w:rsidRDefault="00F175E1" w:rsidP="00F175E1">
          <w:pPr>
            <w:pStyle w:val="TOC1"/>
            <w:tabs>
              <w:tab w:val="right" w:leader="dot" w:pos="9060"/>
            </w:tabs>
            <w:spacing w:line="600" w:lineRule="auto"/>
            <w:rPr>
              <w:noProof/>
              <w:kern w:val="2"/>
              <w:sz w:val="24"/>
              <w:szCs w:val="24"/>
              <w:lang w:eastAsia="el-GR"/>
              <w14:ligatures w14:val="standardContextual"/>
            </w:rPr>
          </w:pPr>
          <w:hyperlink w:anchor="_Toc238807063" w:history="1">
            <w:r w:rsidRPr="0075180D">
              <w:rPr>
                <w:rStyle w:val="Hyperlink"/>
                <w:rFonts w:ascii="Arial" w:hAnsi="Arial" w:cs="Arial"/>
                <w:b/>
                <w:bCs/>
                <w:noProof/>
                <w:lang w:val="en-US"/>
              </w:rPr>
              <w:t>Au-rich architecture-associated residues following calcination</w:t>
            </w:r>
            <w:r>
              <w:rPr>
                <w:noProof/>
                <w:webHidden/>
              </w:rPr>
              <w:tab/>
            </w:r>
            <w:r>
              <w:rPr>
                <w:noProof/>
                <w:webHidden/>
              </w:rPr>
              <w:fldChar w:fldCharType="begin"/>
            </w:r>
            <w:r>
              <w:rPr>
                <w:noProof/>
                <w:webHidden/>
              </w:rPr>
              <w:instrText xml:space="preserve"> PAGEREF _Toc238807063 \h </w:instrText>
            </w:r>
            <w:r>
              <w:rPr>
                <w:noProof/>
                <w:webHidden/>
              </w:rPr>
            </w:r>
            <w:r>
              <w:rPr>
                <w:noProof/>
                <w:webHidden/>
              </w:rPr>
              <w:fldChar w:fldCharType="separate"/>
            </w:r>
            <w:r>
              <w:rPr>
                <w:noProof/>
                <w:webHidden/>
              </w:rPr>
              <w:t>7</w:t>
            </w:r>
            <w:r>
              <w:rPr>
                <w:noProof/>
                <w:webHidden/>
              </w:rPr>
              <w:fldChar w:fldCharType="end"/>
            </w:r>
          </w:hyperlink>
        </w:p>
        <w:p w14:paraId="00BE6AA2" w14:textId="319D73A2" w:rsidR="00F175E1" w:rsidRDefault="00F175E1" w:rsidP="00F175E1">
          <w:pPr>
            <w:pStyle w:val="TOC1"/>
            <w:tabs>
              <w:tab w:val="right" w:leader="dot" w:pos="9060"/>
            </w:tabs>
            <w:spacing w:line="600" w:lineRule="auto"/>
            <w:rPr>
              <w:noProof/>
              <w:kern w:val="2"/>
              <w:sz w:val="24"/>
              <w:szCs w:val="24"/>
              <w:lang w:eastAsia="el-GR"/>
              <w14:ligatures w14:val="standardContextual"/>
            </w:rPr>
          </w:pPr>
          <w:hyperlink w:anchor="_Toc238807064" w:history="1">
            <w:r w:rsidRPr="0075180D">
              <w:rPr>
                <w:rStyle w:val="Hyperlink"/>
                <w:rFonts w:ascii="Arial" w:hAnsi="Arial" w:cs="Arial"/>
                <w:b/>
                <w:bCs/>
                <w:noProof/>
                <w:lang w:val="en-US"/>
              </w:rPr>
              <w:t>Direction-dependent and cyclic pH response</w:t>
            </w:r>
            <w:r>
              <w:rPr>
                <w:noProof/>
                <w:webHidden/>
              </w:rPr>
              <w:tab/>
            </w:r>
            <w:r>
              <w:rPr>
                <w:noProof/>
                <w:webHidden/>
              </w:rPr>
              <w:fldChar w:fldCharType="begin"/>
            </w:r>
            <w:r>
              <w:rPr>
                <w:noProof/>
                <w:webHidden/>
              </w:rPr>
              <w:instrText xml:space="preserve"> PAGEREF _Toc238807064 \h </w:instrText>
            </w:r>
            <w:r>
              <w:rPr>
                <w:noProof/>
                <w:webHidden/>
              </w:rPr>
            </w:r>
            <w:r>
              <w:rPr>
                <w:noProof/>
                <w:webHidden/>
              </w:rPr>
              <w:fldChar w:fldCharType="separate"/>
            </w:r>
            <w:r>
              <w:rPr>
                <w:noProof/>
                <w:webHidden/>
              </w:rPr>
              <w:t>8</w:t>
            </w:r>
            <w:r>
              <w:rPr>
                <w:noProof/>
                <w:webHidden/>
              </w:rPr>
              <w:fldChar w:fldCharType="end"/>
            </w:r>
          </w:hyperlink>
        </w:p>
        <w:p w14:paraId="240D76DC" w14:textId="75F0B0C0" w:rsidR="00F175E1" w:rsidRDefault="00F175E1" w:rsidP="00F175E1">
          <w:pPr>
            <w:pStyle w:val="TOC1"/>
            <w:tabs>
              <w:tab w:val="right" w:leader="dot" w:pos="9060"/>
            </w:tabs>
            <w:spacing w:line="600" w:lineRule="auto"/>
            <w:rPr>
              <w:noProof/>
              <w:kern w:val="2"/>
              <w:sz w:val="24"/>
              <w:szCs w:val="24"/>
              <w:lang w:eastAsia="el-GR"/>
              <w14:ligatures w14:val="standardContextual"/>
            </w:rPr>
          </w:pPr>
          <w:hyperlink w:anchor="_Toc238807065" w:history="1">
            <w:r w:rsidRPr="0075180D">
              <w:rPr>
                <w:rStyle w:val="Hyperlink"/>
                <w:rFonts w:ascii="Arial" w:hAnsi="Arial" w:cs="Arial"/>
                <w:b/>
                <w:bCs/>
                <w:noProof/>
                <w:lang w:val="en-US"/>
              </w:rPr>
              <w:t>Morphological verification of the response architectures</w:t>
            </w:r>
            <w:r>
              <w:rPr>
                <w:noProof/>
                <w:webHidden/>
              </w:rPr>
              <w:tab/>
            </w:r>
            <w:r>
              <w:rPr>
                <w:noProof/>
                <w:webHidden/>
              </w:rPr>
              <w:fldChar w:fldCharType="begin"/>
            </w:r>
            <w:r>
              <w:rPr>
                <w:noProof/>
                <w:webHidden/>
              </w:rPr>
              <w:instrText xml:space="preserve"> PAGEREF _Toc238807065 \h </w:instrText>
            </w:r>
            <w:r>
              <w:rPr>
                <w:noProof/>
                <w:webHidden/>
              </w:rPr>
            </w:r>
            <w:r>
              <w:rPr>
                <w:noProof/>
                <w:webHidden/>
              </w:rPr>
              <w:fldChar w:fldCharType="separate"/>
            </w:r>
            <w:r>
              <w:rPr>
                <w:noProof/>
                <w:webHidden/>
              </w:rPr>
              <w:t>10</w:t>
            </w:r>
            <w:r>
              <w:rPr>
                <w:noProof/>
                <w:webHidden/>
              </w:rPr>
              <w:fldChar w:fldCharType="end"/>
            </w:r>
          </w:hyperlink>
        </w:p>
        <w:p w14:paraId="33959DA1" w14:textId="489D30BD" w:rsidR="00F175E1" w:rsidRDefault="00F175E1" w:rsidP="00F175E1">
          <w:pPr>
            <w:pStyle w:val="TOC1"/>
            <w:tabs>
              <w:tab w:val="right" w:leader="dot" w:pos="9060"/>
            </w:tabs>
            <w:spacing w:line="600" w:lineRule="auto"/>
            <w:rPr>
              <w:noProof/>
              <w:kern w:val="2"/>
              <w:sz w:val="24"/>
              <w:szCs w:val="24"/>
              <w:lang w:eastAsia="el-GR"/>
              <w14:ligatures w14:val="standardContextual"/>
            </w:rPr>
          </w:pPr>
          <w:hyperlink w:anchor="_Toc238807066" w:history="1">
            <w:r w:rsidRPr="0075180D">
              <w:rPr>
                <w:rStyle w:val="Hyperlink"/>
                <w:rFonts w:ascii="Arial" w:hAnsi="Arial" w:cs="Arial"/>
                <w:b/>
                <w:bCs/>
                <w:noProof/>
                <w:lang w:val="en-US"/>
              </w:rPr>
              <w:t>Short-term cyclic response and first-cycle recovery</w:t>
            </w:r>
            <w:r>
              <w:rPr>
                <w:noProof/>
                <w:webHidden/>
              </w:rPr>
              <w:tab/>
            </w:r>
            <w:r>
              <w:rPr>
                <w:noProof/>
                <w:webHidden/>
              </w:rPr>
              <w:fldChar w:fldCharType="begin"/>
            </w:r>
            <w:r>
              <w:rPr>
                <w:noProof/>
                <w:webHidden/>
              </w:rPr>
              <w:instrText xml:space="preserve"> PAGEREF _Toc238807066 \h </w:instrText>
            </w:r>
            <w:r>
              <w:rPr>
                <w:noProof/>
                <w:webHidden/>
              </w:rPr>
            </w:r>
            <w:r>
              <w:rPr>
                <w:noProof/>
                <w:webHidden/>
              </w:rPr>
              <w:fldChar w:fldCharType="separate"/>
            </w:r>
            <w:r>
              <w:rPr>
                <w:noProof/>
                <w:webHidden/>
              </w:rPr>
              <w:t>11</w:t>
            </w:r>
            <w:r>
              <w:rPr>
                <w:noProof/>
                <w:webHidden/>
              </w:rPr>
              <w:fldChar w:fldCharType="end"/>
            </w:r>
          </w:hyperlink>
        </w:p>
        <w:p w14:paraId="0DCD0850" w14:textId="7688BFE2" w:rsidR="00F175E1" w:rsidRDefault="00F175E1" w:rsidP="00F175E1">
          <w:pPr>
            <w:pStyle w:val="TOC1"/>
            <w:tabs>
              <w:tab w:val="right" w:leader="dot" w:pos="9060"/>
            </w:tabs>
            <w:spacing w:line="600" w:lineRule="auto"/>
            <w:rPr>
              <w:noProof/>
              <w:kern w:val="2"/>
              <w:sz w:val="24"/>
              <w:szCs w:val="24"/>
              <w:lang w:eastAsia="el-GR"/>
              <w14:ligatures w14:val="standardContextual"/>
            </w:rPr>
          </w:pPr>
          <w:hyperlink w:anchor="_Toc238807067" w:history="1">
            <w:r w:rsidRPr="0075180D">
              <w:rPr>
                <w:rStyle w:val="Hyperlink"/>
                <w:rFonts w:ascii="Arial" w:hAnsi="Arial" w:cs="Arial"/>
                <w:b/>
                <w:bCs/>
                <w:noProof/>
                <w:lang w:val="en-US"/>
              </w:rPr>
              <w:t>References</w:t>
            </w:r>
            <w:r>
              <w:rPr>
                <w:noProof/>
                <w:webHidden/>
              </w:rPr>
              <w:tab/>
            </w:r>
            <w:r>
              <w:rPr>
                <w:noProof/>
                <w:webHidden/>
              </w:rPr>
              <w:fldChar w:fldCharType="begin"/>
            </w:r>
            <w:r>
              <w:rPr>
                <w:noProof/>
                <w:webHidden/>
              </w:rPr>
              <w:instrText xml:space="preserve"> PAGEREF _Toc238807067 \h </w:instrText>
            </w:r>
            <w:r>
              <w:rPr>
                <w:noProof/>
                <w:webHidden/>
              </w:rPr>
            </w:r>
            <w:r>
              <w:rPr>
                <w:noProof/>
                <w:webHidden/>
              </w:rPr>
              <w:fldChar w:fldCharType="separate"/>
            </w:r>
            <w:r>
              <w:rPr>
                <w:noProof/>
                <w:webHidden/>
              </w:rPr>
              <w:t>13</w:t>
            </w:r>
            <w:r>
              <w:rPr>
                <w:noProof/>
                <w:webHidden/>
              </w:rPr>
              <w:fldChar w:fldCharType="end"/>
            </w:r>
          </w:hyperlink>
        </w:p>
        <w:p w14:paraId="3C6E86EC" w14:textId="1EE2EA76" w:rsidR="00C22F30" w:rsidRPr="00C22F30" w:rsidRDefault="00C22F30" w:rsidP="00F175E1">
          <w:pPr>
            <w:spacing w:line="600" w:lineRule="auto"/>
            <w:rPr>
              <w:sz w:val="24"/>
              <w:szCs w:val="24"/>
            </w:rPr>
          </w:pPr>
          <w:r w:rsidRPr="00C22F30">
            <w:rPr>
              <w:rFonts w:ascii="Arial" w:hAnsi="Arial" w:cs="Arial"/>
              <w:sz w:val="24"/>
              <w:szCs w:val="24"/>
              <w:lang w:val="en-GB"/>
            </w:rPr>
            <w:fldChar w:fldCharType="end"/>
          </w:r>
        </w:p>
      </w:sdtContent>
    </w:sdt>
    <w:p w14:paraId="126289F9" w14:textId="77777777" w:rsidR="00C30126" w:rsidRPr="00C30126" w:rsidRDefault="00C30126" w:rsidP="00F175E1">
      <w:pPr>
        <w:spacing w:line="600" w:lineRule="auto"/>
        <w:rPr>
          <w:lang w:val="en-US"/>
        </w:rPr>
      </w:pPr>
    </w:p>
    <w:p w14:paraId="3F067F3A" w14:textId="77777777" w:rsidR="00FA26AA" w:rsidRPr="00C30126" w:rsidRDefault="00FA26AA" w:rsidP="003B2864">
      <w:pPr>
        <w:pStyle w:val="Heading1"/>
        <w:pageBreakBefore/>
        <w:spacing w:line="360" w:lineRule="auto"/>
        <w:jc w:val="both"/>
        <w:rPr>
          <w:rFonts w:ascii="Arial" w:hAnsi="Arial" w:cs="Arial"/>
          <w:b/>
          <w:bCs/>
          <w:color w:val="auto"/>
          <w:sz w:val="22"/>
          <w:szCs w:val="22"/>
          <w:lang w:val="en-US"/>
        </w:rPr>
      </w:pPr>
      <w:bookmarkStart w:id="0" w:name="_Toc238807061"/>
      <w:r w:rsidRPr="00C30126">
        <w:rPr>
          <w:rFonts w:ascii="Arial" w:hAnsi="Arial" w:cs="Arial"/>
          <w:b/>
          <w:bCs/>
          <w:color w:val="auto"/>
          <w:sz w:val="22"/>
          <w:szCs w:val="22"/>
          <w:lang w:val="en-US"/>
        </w:rPr>
        <w:lastRenderedPageBreak/>
        <w:t xml:space="preserve">Spectroscopic characterization and optimization of the </w:t>
      </w:r>
      <w:proofErr w:type="spellStart"/>
      <w:r w:rsidRPr="00C30126">
        <w:rPr>
          <w:rFonts w:ascii="Arial" w:hAnsi="Arial" w:cs="Arial"/>
          <w:b/>
          <w:bCs/>
          <w:color w:val="auto"/>
          <w:sz w:val="22"/>
          <w:szCs w:val="22"/>
          <w:lang w:val="en-US"/>
        </w:rPr>
        <w:t>nanometallization</w:t>
      </w:r>
      <w:proofErr w:type="spellEnd"/>
      <w:r w:rsidRPr="00C30126">
        <w:rPr>
          <w:rFonts w:ascii="Arial" w:hAnsi="Arial" w:cs="Arial"/>
          <w:b/>
          <w:bCs/>
          <w:color w:val="auto"/>
          <w:sz w:val="22"/>
          <w:szCs w:val="22"/>
          <w:lang w:val="en-US"/>
        </w:rPr>
        <w:t xml:space="preserve"> process</w:t>
      </w:r>
      <w:bookmarkEnd w:id="0"/>
      <w:r w:rsidRPr="00C30126">
        <w:rPr>
          <w:rFonts w:ascii="Arial" w:hAnsi="Arial" w:cs="Arial"/>
          <w:b/>
          <w:bCs/>
          <w:color w:val="auto"/>
          <w:sz w:val="22"/>
          <w:szCs w:val="22"/>
          <w:lang w:val="en-US"/>
        </w:rPr>
        <w:t xml:space="preserve"> </w:t>
      </w:r>
    </w:p>
    <w:p w14:paraId="12148BEC" w14:textId="5260B2DB" w:rsidR="00FA26AA" w:rsidRPr="00C30126" w:rsidRDefault="00FA26AA" w:rsidP="003B2864">
      <w:pPr>
        <w:spacing w:line="360" w:lineRule="auto"/>
        <w:jc w:val="both"/>
        <w:rPr>
          <w:rFonts w:ascii="Arial" w:hAnsi="Arial" w:cs="Arial"/>
          <w:lang w:val="en-US"/>
        </w:rPr>
      </w:pPr>
      <w:r w:rsidRPr="00C30126">
        <w:rPr>
          <w:rFonts w:ascii="Arial" w:hAnsi="Arial" w:cs="Arial"/>
          <w:lang w:val="en-US"/>
        </w:rPr>
        <w:t>Representative ATR-FTIR spectra were acquired from air-dried, two-photon-polymerized BSA/CUR and BSA/CUR</w:t>
      </w:r>
      <w:r w:rsidR="007625A6">
        <w:rPr>
          <w:rFonts w:ascii="Arial" w:hAnsi="Arial" w:cs="Arial"/>
          <w:lang w:val="en-US"/>
        </w:rPr>
        <w:t>-</w:t>
      </w:r>
      <w:r w:rsidRPr="00C30126">
        <w:rPr>
          <w:rFonts w:ascii="Arial" w:hAnsi="Arial" w:cs="Arial"/>
          <w:lang w:val="en-US"/>
        </w:rPr>
        <w:t>Au films on glass. The BSA/CUR</w:t>
      </w:r>
      <w:r w:rsidR="007625A6">
        <w:rPr>
          <w:rFonts w:ascii="Arial" w:hAnsi="Arial" w:cs="Arial"/>
          <w:lang w:val="en-US"/>
        </w:rPr>
        <w:t>-</w:t>
      </w:r>
      <w:r w:rsidRPr="00C30126">
        <w:rPr>
          <w:rFonts w:ascii="Arial" w:hAnsi="Arial" w:cs="Arial"/>
          <w:lang w:val="en-US"/>
        </w:rPr>
        <w:t>Au films were prepared using two immersion–precipitation cycles, corresponding to the condition used in the subsequent experiments. Both spectra retained the principal protein-associated amide-I region at approximately 1641 cm</w:t>
      </w:r>
      <w:r w:rsidRPr="00C30126">
        <w:rPr>
          <w:rFonts w:ascii="Cambria Math" w:hAnsi="Cambria Math" w:cs="Cambria Math"/>
          <w:lang w:val="en-US"/>
        </w:rPr>
        <w:t>⁻</w:t>
      </w:r>
      <w:r w:rsidRPr="00C30126">
        <w:rPr>
          <w:rFonts w:ascii="Arial" w:hAnsi="Arial" w:cs="Arial"/>
          <w:lang w:val="en-US"/>
        </w:rPr>
        <w:t>¹, attributed predominantly to peptide C=O stretching, and the amide-II region at approximately 1516–1529 cm</w:t>
      </w:r>
      <w:r w:rsidRPr="00C30126">
        <w:rPr>
          <w:rFonts w:ascii="Cambria Math" w:hAnsi="Cambria Math" w:cs="Cambria Math"/>
          <w:lang w:val="en-US"/>
        </w:rPr>
        <w:t>⁻</w:t>
      </w:r>
      <w:r w:rsidRPr="00C30126">
        <w:rPr>
          <w:rFonts w:ascii="Arial" w:hAnsi="Arial" w:cs="Arial"/>
          <w:lang w:val="en-US"/>
        </w:rPr>
        <w:t>¹, associated mainly with N–H bending and C–N stretching vibrations (</w:t>
      </w:r>
      <w:r w:rsidRPr="00C30126">
        <w:rPr>
          <w:rFonts w:ascii="Arial" w:hAnsi="Arial" w:cs="Arial"/>
          <w:b/>
          <w:bCs/>
          <w:lang w:val="en-US"/>
        </w:rPr>
        <w:t>Supplementary Fig. 1a</w:t>
      </w:r>
      <w:r w:rsidRPr="00C30126">
        <w:rPr>
          <w:rFonts w:ascii="Arial" w:hAnsi="Arial" w:cs="Arial"/>
          <w:lang w:val="en-US"/>
        </w:rPr>
        <w:t xml:space="preserve">). These observations demonstrate persistence of the proteinaceous chemical environment following </w:t>
      </w:r>
      <w:proofErr w:type="spellStart"/>
      <w:r w:rsidRPr="00C30126">
        <w:rPr>
          <w:rFonts w:ascii="Arial" w:hAnsi="Arial" w:cs="Arial"/>
          <w:lang w:val="en-US"/>
        </w:rPr>
        <w:t>nanometallization</w:t>
      </w:r>
      <w:proofErr w:type="spellEnd"/>
      <w:r w:rsidRPr="00C30126">
        <w:rPr>
          <w:rFonts w:ascii="Arial" w:hAnsi="Arial" w:cs="Arial"/>
          <w:lang w:val="en-US"/>
        </w:rPr>
        <w:t>. However, quantitative assessment of protein secondary structure requires resolution and deconvolution of the overlapping contributions within the amide-I region; retention of the principal amide bands alone cannot establish the absence of conformational changes or protein denaturation.</w:t>
      </w:r>
      <w:sdt>
        <w:sdtPr>
          <w:rPr>
            <w:rFonts w:ascii="Arial" w:hAnsi="Arial" w:cs="Arial"/>
            <w:vertAlign w:val="superscript"/>
            <w:lang w:val="en-US"/>
          </w:rPr>
          <w:tag w:val="MENDELEY_CITATION_v3_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"/>
          <w:id w:val="-582373964"/>
          <w:placeholder>
            <w:docPart w:val="DefaultPlaceholder_-1854013440"/>
          </w:placeholder>
        </w:sdtPr>
        <w:sdtContent>
          <w:r w:rsidR="009C712B" w:rsidRPr="00C30126">
            <w:rPr>
              <w:rFonts w:ascii="Arial" w:hAnsi="Arial" w:cs="Arial"/>
              <w:vertAlign w:val="superscript"/>
              <w:lang w:val="en-US"/>
            </w:rPr>
            <w:t>1,2</w:t>
          </w:r>
        </w:sdtContent>
      </w:sdt>
      <w:r w:rsidRPr="00C30126">
        <w:rPr>
          <w:rFonts w:ascii="Arial" w:hAnsi="Arial" w:cs="Arial"/>
          <w:lang w:val="en-US"/>
        </w:rPr>
        <w:t xml:space="preserve"> </w:t>
      </w:r>
    </w:p>
    <w:p w14:paraId="3948A125" w14:textId="6EAEAF54" w:rsidR="00FA26AA" w:rsidRPr="00C30126" w:rsidRDefault="00FA26AA" w:rsidP="00C30126">
      <w:pPr>
        <w:spacing w:line="360" w:lineRule="auto"/>
        <w:jc w:val="both"/>
        <w:rPr>
          <w:rFonts w:ascii="Arial" w:hAnsi="Arial" w:cs="Arial"/>
          <w:lang w:val="en-US"/>
        </w:rPr>
      </w:pPr>
      <w:r w:rsidRPr="00C30126">
        <w:rPr>
          <w:rFonts w:ascii="Arial" w:hAnsi="Arial" w:cs="Arial"/>
          <w:lang w:val="en-US"/>
        </w:rPr>
        <w:t xml:space="preserve">Representative Raman spectra of corresponding air-dried films also showed substantial differences following </w:t>
      </w:r>
      <w:proofErr w:type="spellStart"/>
      <w:r w:rsidRPr="00C30126">
        <w:rPr>
          <w:rFonts w:ascii="Arial" w:hAnsi="Arial" w:cs="Arial"/>
          <w:lang w:val="en-US"/>
        </w:rPr>
        <w:t>nanometallization</w:t>
      </w:r>
      <w:proofErr w:type="spellEnd"/>
      <w:r w:rsidRPr="00C30126">
        <w:rPr>
          <w:rFonts w:ascii="Arial" w:hAnsi="Arial" w:cs="Arial"/>
          <w:lang w:val="en-US"/>
        </w:rPr>
        <w:t xml:space="preserve"> (</w:t>
      </w:r>
      <w:r w:rsidRPr="00C30126">
        <w:rPr>
          <w:rFonts w:ascii="Arial" w:hAnsi="Arial" w:cs="Arial"/>
          <w:b/>
          <w:bCs/>
          <w:lang w:val="en-US"/>
        </w:rPr>
        <w:t>Supplementary Fig. 1b</w:t>
      </w:r>
      <w:r w:rsidRPr="00C30126">
        <w:rPr>
          <w:rFonts w:ascii="Arial" w:hAnsi="Arial" w:cs="Arial"/>
          <w:lang w:val="en-US"/>
        </w:rPr>
        <w:t>). In addition to changes in the relative intensities and profiles of the protein-associated bands, the BSA/CUR</w:t>
      </w:r>
      <w:r w:rsidR="007625A6">
        <w:rPr>
          <w:rFonts w:ascii="Arial" w:hAnsi="Arial" w:cs="Arial"/>
          <w:lang w:val="en-US"/>
        </w:rPr>
        <w:t>-</w:t>
      </w:r>
      <w:r w:rsidRPr="00C30126">
        <w:rPr>
          <w:rFonts w:ascii="Arial" w:hAnsi="Arial" w:cs="Arial"/>
          <w:lang w:val="en-US"/>
        </w:rPr>
        <w:t>Au spectrum contained a low-frequency feature near 254 cm</w:t>
      </w:r>
      <w:r w:rsidRPr="00C30126">
        <w:rPr>
          <w:rFonts w:ascii="Cambria Math" w:hAnsi="Cambria Math" w:cs="Cambria Math"/>
          <w:lang w:val="en-US"/>
        </w:rPr>
        <w:t>⁻</w:t>
      </w:r>
      <w:r w:rsidRPr="00C30126">
        <w:rPr>
          <w:rFonts w:ascii="Arial" w:hAnsi="Arial" w:cs="Arial"/>
          <w:lang w:val="en-US"/>
        </w:rPr>
        <w:t>¹. This feature falls within the spectral range in which Au</w:t>
      </w:r>
      <w:r w:rsidR="007625A6">
        <w:rPr>
          <w:rFonts w:ascii="Arial" w:hAnsi="Arial" w:cs="Arial"/>
          <w:lang w:val="en-US"/>
        </w:rPr>
        <w:t>-</w:t>
      </w:r>
      <w:r w:rsidRPr="00C30126">
        <w:rPr>
          <w:rFonts w:ascii="Arial" w:hAnsi="Arial" w:cs="Arial"/>
          <w:lang w:val="en-US"/>
        </w:rPr>
        <w:t>S-associated vibrations have been reported for thiolate-protected gold systems. Nevertheless, Au</w:t>
      </w:r>
      <w:r w:rsidR="007625A6">
        <w:rPr>
          <w:rFonts w:ascii="Arial" w:hAnsi="Arial" w:cs="Arial"/>
          <w:lang w:val="en-US"/>
        </w:rPr>
        <w:t>-</w:t>
      </w:r>
      <w:r w:rsidRPr="00C30126">
        <w:rPr>
          <w:rFonts w:ascii="Arial" w:hAnsi="Arial" w:cs="Arial"/>
          <w:lang w:val="en-US"/>
        </w:rPr>
        <w:t>S vibrational frequencies depend strongly on the gold structure, coordination environment and ligand identity, and the present representative spectrum cannot independently establish a specific Au</w:t>
      </w:r>
      <w:r w:rsidR="007625A6">
        <w:rPr>
          <w:rFonts w:ascii="Arial" w:hAnsi="Arial" w:cs="Arial"/>
          <w:lang w:val="en-US"/>
        </w:rPr>
        <w:t>-</w:t>
      </w:r>
      <w:r w:rsidRPr="00C30126">
        <w:rPr>
          <w:rFonts w:ascii="Arial" w:hAnsi="Arial" w:cs="Arial"/>
          <w:lang w:val="en-US"/>
        </w:rPr>
        <w:t>S bonding configuration.</w:t>
      </w:r>
      <w:sdt>
        <w:sdtPr>
          <w:rPr>
            <w:rFonts w:ascii="Arial" w:hAnsi="Arial" w:cs="Arial"/>
            <w:vertAlign w:val="superscript"/>
            <w:lang w:val="en-US"/>
          </w:rPr>
          <w:tag w:val="MENDELEY_CITATION_v3_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"/>
          <w:id w:val="1830172461"/>
          <w:placeholder>
            <w:docPart w:val="DefaultPlaceholder_-1854013440"/>
          </w:placeholder>
        </w:sdtPr>
        <w:sdtContent>
          <w:r w:rsidR="009C712B" w:rsidRPr="00C30126">
            <w:rPr>
              <w:rFonts w:ascii="Arial" w:hAnsi="Arial" w:cs="Arial"/>
              <w:vertAlign w:val="superscript"/>
              <w:lang w:val="en-US"/>
            </w:rPr>
            <w:t>3,4</w:t>
          </w:r>
        </w:sdtContent>
      </w:sdt>
      <w:r w:rsidRPr="00C30126">
        <w:rPr>
          <w:rFonts w:ascii="Arial" w:hAnsi="Arial" w:cs="Arial"/>
          <w:lang w:val="en-US"/>
        </w:rPr>
        <w:t xml:space="preserve"> The FTIR and Raman measurements are therefore treated as qualitative chemical fingerprints rather than quantitative measurements of protein conformation or interfacial bonding.</w:t>
      </w:r>
    </w:p>
    <w:p w14:paraId="325ADC10" w14:textId="77777777" w:rsidR="00FA26AA" w:rsidRPr="00C30126" w:rsidRDefault="00FA26AA" w:rsidP="00C30126">
      <w:pPr>
        <w:spacing w:line="360" w:lineRule="auto"/>
        <w:jc w:val="both"/>
        <w:rPr>
          <w:rFonts w:ascii="Arial" w:hAnsi="Arial" w:cs="Arial"/>
          <w:lang w:val="en-US"/>
        </w:rPr>
      </w:pPr>
      <w:r w:rsidRPr="00C30126">
        <w:rPr>
          <w:rFonts w:ascii="Arial" w:hAnsi="Arial" w:cs="Arial"/>
          <w:lang w:val="en-US"/>
        </w:rPr>
        <w:t>The evolution of the deposited phase was investigated after one, two and three immersion–precipitation cycles. SEM revealed nanoparticle-decorated struts under all three conditions, while the corresponding EDS maps and spectra confirmed Au signals after each cycle (</w:t>
      </w:r>
      <w:r w:rsidRPr="00C30126">
        <w:rPr>
          <w:rFonts w:ascii="Arial" w:hAnsi="Arial" w:cs="Arial"/>
          <w:b/>
          <w:bCs/>
          <w:lang w:val="en-US"/>
        </w:rPr>
        <w:t>Supplementary Fig. 1c</w:t>
      </w:r>
      <w:r w:rsidRPr="00C30126">
        <w:rPr>
          <w:rFonts w:ascii="Arial" w:hAnsi="Arial" w:cs="Arial"/>
          <w:lang w:val="en-US"/>
        </w:rPr>
        <w:t>). Analysis of 200 segmented nanoparticles per condition produced mean Feret diameters of 37.6 ± 10.3 nm after one cycle, 34.5 ± 8.9 nm after two cycles and 33.5 ± 7.3 nm after three cycles (</w:t>
      </w:r>
      <w:r w:rsidRPr="00C30126">
        <w:rPr>
          <w:rFonts w:ascii="Arial" w:hAnsi="Arial" w:cs="Arial"/>
          <w:b/>
          <w:bCs/>
          <w:lang w:val="en-US"/>
        </w:rPr>
        <w:t>Supplementary Fig. 1d</w:t>
      </w:r>
      <w:r w:rsidRPr="00C30126">
        <w:rPr>
          <w:rFonts w:ascii="Arial" w:hAnsi="Arial" w:cs="Arial"/>
          <w:lang w:val="en-US"/>
        </w:rPr>
        <w:t>). The distributions overlapped substantially and the mean Feret diameter did not increase monotonically with cycle number, indicating that additional immersion–precipitation cycles did not predominantly enlarge the individually resolved nanoparticles.</w:t>
      </w:r>
    </w:p>
    <w:p w14:paraId="62B9208F" w14:textId="77777777" w:rsidR="00FA26AA" w:rsidRPr="00C30126" w:rsidRDefault="00FA26AA" w:rsidP="00C30126">
      <w:pPr>
        <w:spacing w:line="360" w:lineRule="auto"/>
        <w:jc w:val="both"/>
        <w:rPr>
          <w:rFonts w:ascii="Arial" w:hAnsi="Arial" w:cs="Arial"/>
          <w:lang w:val="en-US"/>
        </w:rPr>
      </w:pPr>
      <w:r w:rsidRPr="00C30126">
        <w:rPr>
          <w:rFonts w:ascii="Arial" w:hAnsi="Arial" w:cs="Arial"/>
          <w:lang w:val="en-US"/>
        </w:rPr>
        <w:t>By contrast, the measured strut width increased progressively from 3.40 ± 0.34 </w:t>
      </w:r>
      <w:r w:rsidRPr="00C30126">
        <w:rPr>
          <w:rFonts w:ascii="Arial" w:hAnsi="Arial" w:cs="Arial"/>
        </w:rPr>
        <w:t>μ</w:t>
      </w:r>
      <w:r w:rsidRPr="00C30126">
        <w:rPr>
          <w:rFonts w:ascii="Arial" w:hAnsi="Arial" w:cs="Arial"/>
          <w:lang w:val="en-US"/>
        </w:rPr>
        <w:t>m after one cycle to 3.60 ± 0.15 </w:t>
      </w:r>
      <w:r w:rsidRPr="00C30126">
        <w:rPr>
          <w:rFonts w:ascii="Arial" w:hAnsi="Arial" w:cs="Arial"/>
        </w:rPr>
        <w:t>μ</w:t>
      </w:r>
      <w:r w:rsidRPr="00C30126">
        <w:rPr>
          <w:rFonts w:ascii="Arial" w:hAnsi="Arial" w:cs="Arial"/>
          <w:lang w:val="en-US"/>
        </w:rPr>
        <w:t>m after two cycles and 4.49 ± 0.42 </w:t>
      </w:r>
      <w:r w:rsidRPr="00C30126">
        <w:rPr>
          <w:rFonts w:ascii="Arial" w:hAnsi="Arial" w:cs="Arial"/>
        </w:rPr>
        <w:t>μ</w:t>
      </w:r>
      <w:r w:rsidRPr="00C30126">
        <w:rPr>
          <w:rFonts w:ascii="Arial" w:hAnsi="Arial" w:cs="Arial"/>
          <w:lang w:val="en-US"/>
        </w:rPr>
        <w:t>m after three cycles, based on three width measurements per condition (</w:t>
      </w:r>
      <w:r w:rsidRPr="00C30126">
        <w:rPr>
          <w:rFonts w:ascii="Arial" w:hAnsi="Arial" w:cs="Arial"/>
          <w:b/>
          <w:bCs/>
          <w:lang w:val="en-US"/>
        </w:rPr>
        <w:t>Supplementary Fig. 1e</w:t>
      </w:r>
      <w:r w:rsidRPr="00C30126">
        <w:rPr>
          <w:rFonts w:ascii="Arial" w:hAnsi="Arial" w:cs="Arial"/>
          <w:lang w:val="en-US"/>
        </w:rPr>
        <w:t xml:space="preserve">). The increase in strut width, despite the similar particle-size distributions, is consistent with cumulative deposition, </w:t>
      </w:r>
      <w:r w:rsidRPr="00C30126">
        <w:rPr>
          <w:rFonts w:ascii="Arial" w:hAnsi="Arial" w:cs="Arial"/>
          <w:lang w:val="en-US"/>
        </w:rPr>
        <w:lastRenderedPageBreak/>
        <w:t xml:space="preserve">increasing surface coverage and outward accumulation of the inorganic phase. Two immersion–precipitation cycles were therefore selected for the subsequent structural, pH-response, mechanical and spectroscopic experiments to balance extensive </w:t>
      </w:r>
      <w:proofErr w:type="spellStart"/>
      <w:r w:rsidRPr="00C30126">
        <w:rPr>
          <w:rFonts w:ascii="Arial" w:hAnsi="Arial" w:cs="Arial"/>
          <w:lang w:val="en-US"/>
        </w:rPr>
        <w:t>nanometallization</w:t>
      </w:r>
      <w:proofErr w:type="spellEnd"/>
      <w:r w:rsidRPr="00C30126">
        <w:rPr>
          <w:rFonts w:ascii="Arial" w:hAnsi="Arial" w:cs="Arial"/>
          <w:lang w:val="en-US"/>
        </w:rPr>
        <w:t xml:space="preserve"> with retention of geometric fidelity.</w:t>
      </w:r>
    </w:p>
    <w:p w14:paraId="73230A7A" w14:textId="77777777" w:rsidR="00FA26AA" w:rsidRPr="00C30126" w:rsidRDefault="00FA26AA" w:rsidP="00C30126">
      <w:pPr>
        <w:spacing w:line="360" w:lineRule="auto"/>
        <w:jc w:val="both"/>
        <w:rPr>
          <w:rFonts w:ascii="Arial" w:hAnsi="Arial" w:cs="Arial"/>
          <w:lang w:val="en-US"/>
        </w:rPr>
      </w:pPr>
      <w:r w:rsidRPr="00C30126">
        <w:rPr>
          <w:rFonts w:ascii="Arial" w:hAnsi="Arial" w:cs="Arial"/>
          <w:lang w:val="en-US"/>
        </w:rPr>
        <w:t>Local EDS composition was further evaluated using seven acquisitions obtained from different structures and experimental preparations after the two-cycle protocol. Using the original instrument-reported mass fractions without renormalization, the measurements produced average compositions of 44.08 ± 14.40 </w:t>
      </w:r>
      <w:proofErr w:type="spellStart"/>
      <w:r w:rsidRPr="00C30126">
        <w:rPr>
          <w:rFonts w:ascii="Arial" w:hAnsi="Arial" w:cs="Arial"/>
          <w:lang w:val="en-US"/>
        </w:rPr>
        <w:t>wt</w:t>
      </w:r>
      <w:proofErr w:type="spellEnd"/>
      <w:r w:rsidRPr="00C30126">
        <w:rPr>
          <w:rFonts w:ascii="Arial" w:hAnsi="Arial" w:cs="Arial"/>
          <w:lang w:val="en-US"/>
        </w:rPr>
        <w:t>% C, 15.62 ± 7.40 </w:t>
      </w:r>
      <w:proofErr w:type="spellStart"/>
      <w:r w:rsidRPr="00C30126">
        <w:rPr>
          <w:rFonts w:ascii="Arial" w:hAnsi="Arial" w:cs="Arial"/>
          <w:lang w:val="en-US"/>
        </w:rPr>
        <w:t>wt</w:t>
      </w:r>
      <w:proofErr w:type="spellEnd"/>
      <w:r w:rsidRPr="00C30126">
        <w:rPr>
          <w:rFonts w:ascii="Arial" w:hAnsi="Arial" w:cs="Arial"/>
          <w:lang w:val="en-US"/>
        </w:rPr>
        <w:t>% O and 37.78 ± 21.36 </w:t>
      </w:r>
      <w:proofErr w:type="spellStart"/>
      <w:r w:rsidRPr="00C30126">
        <w:rPr>
          <w:rFonts w:ascii="Arial" w:hAnsi="Arial" w:cs="Arial"/>
          <w:lang w:val="en-US"/>
        </w:rPr>
        <w:t>wt</w:t>
      </w:r>
      <w:proofErr w:type="spellEnd"/>
      <w:r w:rsidRPr="00C30126">
        <w:rPr>
          <w:rFonts w:ascii="Arial" w:hAnsi="Arial" w:cs="Arial"/>
          <w:lang w:val="en-US"/>
        </w:rPr>
        <w:t>% Au (mean ± </w:t>
      </w:r>
      <w:proofErr w:type="spellStart"/>
      <w:r w:rsidRPr="00C30126">
        <w:rPr>
          <w:rFonts w:ascii="Arial" w:hAnsi="Arial" w:cs="Arial"/>
          <w:lang w:val="en-US"/>
        </w:rPr>
        <w:t>s.d.</w:t>
      </w:r>
      <w:proofErr w:type="spellEnd"/>
      <w:r w:rsidRPr="00C30126">
        <w:rPr>
          <w:rFonts w:ascii="Arial" w:hAnsi="Arial" w:cs="Arial"/>
          <w:lang w:val="en-US"/>
        </w:rPr>
        <w:t xml:space="preserve">; </w:t>
      </w:r>
      <w:r w:rsidRPr="00C30126">
        <w:rPr>
          <w:rFonts w:ascii="Arial" w:hAnsi="Arial" w:cs="Arial"/>
          <w:b/>
          <w:bCs/>
          <w:lang w:val="en-US"/>
        </w:rPr>
        <w:t>Supplementary Fig. 1f</w:t>
      </w:r>
      <w:r w:rsidRPr="00C30126">
        <w:rPr>
          <w:rFonts w:ascii="Arial" w:hAnsi="Arial" w:cs="Arial"/>
          <w:lang w:val="en-US"/>
        </w:rPr>
        <w:t>). Nitrogen was quantified in one of the seven acquisitions at 17.72 </w:t>
      </w:r>
      <w:proofErr w:type="spellStart"/>
      <w:r w:rsidRPr="00C30126">
        <w:rPr>
          <w:rFonts w:ascii="Arial" w:hAnsi="Arial" w:cs="Arial"/>
          <w:lang w:val="en-US"/>
        </w:rPr>
        <w:t>wt</w:t>
      </w:r>
      <w:proofErr w:type="spellEnd"/>
      <w:r w:rsidRPr="00C30126">
        <w:rPr>
          <w:rFonts w:ascii="Arial" w:hAnsi="Arial" w:cs="Arial"/>
          <w:lang w:val="en-US"/>
        </w:rPr>
        <w:t>% and was not reported in the remaining acquisitions; it was therefore retained as a detected value and was not imputed as zero or removed by renormalization. The variability in the Au fraction reflects the local, surface-sensitive character of EDS, differences in the selected acquisition regions and heterogeneity in the nanoparticle coverage. These measurements demonstrate reproducible local detection of Au but should not be interpreted as a measurement of the bulk gold content of the structures or as evidence of Au distribution throughout the interior of the struts.</w:t>
      </w:r>
    </w:p>
    <w:p w14:paraId="311317FA" w14:textId="77777777" w:rsidR="00575DA4" w:rsidRPr="00C30126" w:rsidRDefault="00575DA4" w:rsidP="003F785F">
      <w:pPr>
        <w:keepNext/>
        <w:spacing w:line="360" w:lineRule="auto"/>
        <w:jc w:val="center"/>
        <w:rPr>
          <w:rFonts w:ascii="Arial" w:hAnsi="Arial" w:cs="Arial"/>
        </w:rPr>
      </w:pPr>
      <w:r w:rsidRPr="00C30126">
        <w:rPr>
          <w:rFonts w:ascii="Arial" w:hAnsi="Arial" w:cs="Arial"/>
          <w:noProof/>
          <w:lang w:val="en-US"/>
        </w:rPr>
        <w:lastRenderedPageBreak/>
        <w:drawing>
          <wp:inline distT="0" distB="0" distL="0" distR="0" wp14:anchorId="6EF6CEC8" wp14:editId="5BCB451E">
            <wp:extent cx="5652655" cy="5612555"/>
            <wp:effectExtent l="0" t="0" r="5715" b="7620"/>
            <wp:docPr id="6065917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591757" name="Picture 606591757"/>
                    <pic:cNvPicPr/>
                  </pic:nvPicPr>
                  <pic:blipFill rotWithShape="1">
                    <a:blip r:embed="rId8" cstate="print">
                      <a:extLst>
                        <a:ext uri="{28A0092B-C50C-407E-A947-70E740481C1C}">
                          <a14:useLocalDpi xmlns:a14="http://schemas.microsoft.com/office/drawing/2010/main" val="0"/>
                        </a:ext>
                      </a:extLst>
                    </a:blip>
                    <a:srcRect l="1174" t="2473" r="4286" b="1437"/>
                    <a:stretch>
                      <a:fillRect/>
                    </a:stretch>
                  </pic:blipFill>
                  <pic:spPr bwMode="auto">
                    <a:xfrm>
                      <a:off x="0" y="0"/>
                      <a:ext cx="5669339" cy="5629120"/>
                    </a:xfrm>
                    <a:prstGeom prst="rect">
                      <a:avLst/>
                    </a:prstGeom>
                    <a:ln>
                      <a:noFill/>
                    </a:ln>
                    <a:extLst>
                      <a:ext uri="{53640926-AAD7-44D8-BBD7-CCE9431645EC}">
                        <a14:shadowObscured xmlns:a14="http://schemas.microsoft.com/office/drawing/2010/main"/>
                      </a:ext>
                    </a:extLst>
                  </pic:spPr>
                </pic:pic>
              </a:graphicData>
            </a:graphic>
          </wp:inline>
        </w:drawing>
      </w:r>
    </w:p>
    <w:p w14:paraId="2DC8D067" w14:textId="57F799CF" w:rsidR="00FA26AA" w:rsidRPr="00C30126" w:rsidRDefault="00575DA4" w:rsidP="00C30126">
      <w:pPr>
        <w:pStyle w:val="Caption"/>
        <w:jc w:val="both"/>
        <w:rPr>
          <w:rFonts w:ascii="Arial" w:hAnsi="Arial" w:cs="Arial"/>
          <w:i w:val="0"/>
          <w:iCs w:val="0"/>
          <w:color w:val="auto"/>
          <w:sz w:val="16"/>
          <w:szCs w:val="16"/>
          <w:lang w:val="en-US"/>
        </w:rPr>
      </w:pPr>
      <w:r w:rsidRPr="00C30126">
        <w:rPr>
          <w:rFonts w:ascii="Arial" w:hAnsi="Arial" w:cs="Arial"/>
          <w:b/>
          <w:bCs/>
          <w:i w:val="0"/>
          <w:iCs w:val="0"/>
          <w:color w:val="auto"/>
          <w:sz w:val="16"/>
          <w:szCs w:val="16"/>
          <w:lang w:val="en-US"/>
        </w:rPr>
        <w:t xml:space="preserve">Supplementary Fig. </w:t>
      </w:r>
      <w:r w:rsidRPr="00C30126">
        <w:rPr>
          <w:rFonts w:ascii="Arial" w:hAnsi="Arial" w:cs="Arial"/>
          <w:b/>
          <w:bCs/>
          <w:i w:val="0"/>
          <w:iCs w:val="0"/>
          <w:color w:val="auto"/>
          <w:sz w:val="16"/>
          <w:szCs w:val="16"/>
        </w:rPr>
        <w:fldChar w:fldCharType="begin"/>
      </w:r>
      <w:r w:rsidRPr="00C30126">
        <w:rPr>
          <w:rFonts w:ascii="Arial" w:hAnsi="Arial" w:cs="Arial"/>
          <w:b/>
          <w:bCs/>
          <w:i w:val="0"/>
          <w:iCs w:val="0"/>
          <w:color w:val="auto"/>
          <w:sz w:val="16"/>
          <w:szCs w:val="16"/>
          <w:lang w:val="en-US"/>
        </w:rPr>
        <w:instrText xml:space="preserve"> SEQ Supplementary_Fig. \* ARABIC </w:instrText>
      </w:r>
      <w:r w:rsidRPr="00C30126">
        <w:rPr>
          <w:rFonts w:ascii="Arial" w:hAnsi="Arial" w:cs="Arial"/>
          <w:b/>
          <w:bCs/>
          <w:i w:val="0"/>
          <w:iCs w:val="0"/>
          <w:color w:val="auto"/>
          <w:sz w:val="16"/>
          <w:szCs w:val="16"/>
        </w:rPr>
        <w:fldChar w:fldCharType="separate"/>
      </w:r>
      <w:r w:rsidR="006333AB" w:rsidRPr="00C30126">
        <w:rPr>
          <w:rFonts w:ascii="Arial" w:hAnsi="Arial" w:cs="Arial"/>
          <w:b/>
          <w:bCs/>
          <w:i w:val="0"/>
          <w:iCs w:val="0"/>
          <w:noProof/>
          <w:color w:val="auto"/>
          <w:sz w:val="16"/>
          <w:szCs w:val="16"/>
          <w:lang w:val="en-US"/>
        </w:rPr>
        <w:t>1</w:t>
      </w:r>
      <w:r w:rsidRPr="00C30126">
        <w:rPr>
          <w:rFonts w:ascii="Arial" w:hAnsi="Arial" w:cs="Arial"/>
          <w:b/>
          <w:bCs/>
          <w:i w:val="0"/>
          <w:iCs w:val="0"/>
          <w:color w:val="auto"/>
          <w:sz w:val="16"/>
          <w:szCs w:val="16"/>
        </w:rPr>
        <w:fldChar w:fldCharType="end"/>
      </w:r>
      <w:r w:rsidRPr="00C30126">
        <w:rPr>
          <w:rFonts w:ascii="Arial" w:hAnsi="Arial" w:cs="Arial"/>
          <w:b/>
          <w:bCs/>
          <w:i w:val="0"/>
          <w:iCs w:val="0"/>
          <w:color w:val="auto"/>
          <w:sz w:val="16"/>
          <w:szCs w:val="16"/>
          <w:lang w:val="en-US"/>
        </w:rPr>
        <w:t>:</w:t>
      </w:r>
      <w:r w:rsidRPr="00C30126">
        <w:rPr>
          <w:rFonts w:ascii="Arial" w:hAnsi="Arial" w:cs="Arial"/>
          <w:i w:val="0"/>
          <w:iCs w:val="0"/>
          <w:color w:val="auto"/>
          <w:sz w:val="16"/>
          <w:szCs w:val="16"/>
          <w:lang w:val="en-US"/>
        </w:rPr>
        <w:t xml:space="preserve"> </w:t>
      </w:r>
      <w:r w:rsidRPr="00C30126">
        <w:rPr>
          <w:rFonts w:ascii="Arial" w:hAnsi="Arial" w:cs="Arial"/>
          <w:b/>
          <w:bCs/>
          <w:i w:val="0"/>
          <w:iCs w:val="0"/>
          <w:color w:val="auto"/>
          <w:sz w:val="16"/>
          <w:szCs w:val="16"/>
          <w:lang w:val="en-US"/>
        </w:rPr>
        <w:t>Spectroscopic characterization and cycle-dependent evolution of BSA/CUR</w:t>
      </w:r>
      <w:r w:rsidR="007625A6">
        <w:rPr>
          <w:rFonts w:ascii="Arial" w:hAnsi="Arial" w:cs="Arial"/>
          <w:b/>
          <w:bCs/>
          <w:i w:val="0"/>
          <w:iCs w:val="0"/>
          <w:color w:val="auto"/>
          <w:sz w:val="16"/>
          <w:szCs w:val="16"/>
          <w:lang w:val="en-US"/>
        </w:rPr>
        <w:t>-</w:t>
      </w:r>
      <w:r w:rsidRPr="00C30126">
        <w:rPr>
          <w:rFonts w:ascii="Arial" w:hAnsi="Arial" w:cs="Arial"/>
          <w:b/>
          <w:bCs/>
          <w:i w:val="0"/>
          <w:iCs w:val="0"/>
          <w:color w:val="auto"/>
          <w:sz w:val="16"/>
          <w:szCs w:val="16"/>
          <w:lang w:val="en-US"/>
        </w:rPr>
        <w:t xml:space="preserve">Au </w:t>
      </w:r>
      <w:proofErr w:type="spellStart"/>
      <w:r w:rsidRPr="00C30126">
        <w:rPr>
          <w:rFonts w:ascii="Arial" w:hAnsi="Arial" w:cs="Arial"/>
          <w:b/>
          <w:bCs/>
          <w:i w:val="0"/>
          <w:iCs w:val="0"/>
          <w:color w:val="auto"/>
          <w:sz w:val="16"/>
          <w:szCs w:val="16"/>
          <w:lang w:val="en-US"/>
        </w:rPr>
        <w:t>nanometallization</w:t>
      </w:r>
      <w:proofErr w:type="spellEnd"/>
      <w:r w:rsidRPr="00C30126">
        <w:rPr>
          <w:rFonts w:ascii="Arial" w:hAnsi="Arial" w:cs="Arial"/>
          <w:b/>
          <w:bCs/>
          <w:i w:val="0"/>
          <w:iCs w:val="0"/>
          <w:color w:val="auto"/>
          <w:sz w:val="16"/>
          <w:szCs w:val="16"/>
          <w:lang w:val="en-US"/>
        </w:rPr>
        <w:t>.</w:t>
      </w:r>
      <w:r w:rsidRPr="00C30126">
        <w:rPr>
          <w:rFonts w:ascii="Arial" w:hAnsi="Arial" w:cs="Arial"/>
          <w:i w:val="0"/>
          <w:iCs w:val="0"/>
          <w:color w:val="auto"/>
          <w:sz w:val="16"/>
          <w:szCs w:val="16"/>
          <w:lang w:val="en-US"/>
        </w:rPr>
        <w:t xml:space="preserve"> </w:t>
      </w:r>
      <w:r w:rsidRPr="00C30126">
        <w:rPr>
          <w:rFonts w:ascii="Arial" w:hAnsi="Arial" w:cs="Arial"/>
          <w:b/>
          <w:bCs/>
          <w:i w:val="0"/>
          <w:iCs w:val="0"/>
          <w:color w:val="auto"/>
          <w:sz w:val="16"/>
          <w:szCs w:val="16"/>
          <w:lang w:val="en-US"/>
        </w:rPr>
        <w:t>a,</w:t>
      </w:r>
      <w:r w:rsidRPr="00C30126">
        <w:rPr>
          <w:rFonts w:ascii="Arial" w:hAnsi="Arial" w:cs="Arial"/>
          <w:i w:val="0"/>
          <w:iCs w:val="0"/>
          <w:color w:val="auto"/>
          <w:sz w:val="16"/>
          <w:szCs w:val="16"/>
          <w:lang w:val="en-US"/>
        </w:rPr>
        <w:t xml:space="preserve"> Representative ATR-FTIR spectra of air-dried, two-photon-polymerized BSA/CUR and BSA/CUR</w:t>
      </w:r>
      <w:r w:rsidR="007625A6">
        <w:rPr>
          <w:rFonts w:ascii="Arial" w:hAnsi="Arial" w:cs="Arial"/>
          <w:i w:val="0"/>
          <w:iCs w:val="0"/>
          <w:color w:val="auto"/>
          <w:sz w:val="16"/>
          <w:szCs w:val="16"/>
          <w:lang w:val="en-US"/>
        </w:rPr>
        <w:t>-</w:t>
      </w:r>
      <w:r w:rsidRPr="00C30126">
        <w:rPr>
          <w:rFonts w:ascii="Arial" w:hAnsi="Arial" w:cs="Arial"/>
          <w:i w:val="0"/>
          <w:iCs w:val="0"/>
          <w:color w:val="auto"/>
          <w:sz w:val="16"/>
          <w:szCs w:val="16"/>
          <w:lang w:val="en-US"/>
        </w:rPr>
        <w:t>Au films on glass. The BSA/CUR</w:t>
      </w:r>
      <w:r w:rsidR="007625A6">
        <w:rPr>
          <w:rFonts w:ascii="Arial" w:hAnsi="Arial" w:cs="Arial"/>
          <w:i w:val="0"/>
          <w:iCs w:val="0"/>
          <w:color w:val="auto"/>
          <w:sz w:val="16"/>
          <w:szCs w:val="16"/>
          <w:lang w:val="en-US"/>
        </w:rPr>
        <w:t>-</w:t>
      </w:r>
      <w:r w:rsidRPr="00C30126">
        <w:rPr>
          <w:rFonts w:ascii="Arial" w:hAnsi="Arial" w:cs="Arial"/>
          <w:i w:val="0"/>
          <w:iCs w:val="0"/>
          <w:color w:val="auto"/>
          <w:sz w:val="16"/>
          <w:szCs w:val="16"/>
          <w:lang w:val="en-US"/>
        </w:rPr>
        <w:t>Au film was subjected to two immersion</w:t>
      </w:r>
      <w:r w:rsidR="007625A6">
        <w:rPr>
          <w:rFonts w:ascii="Arial" w:hAnsi="Arial" w:cs="Arial"/>
          <w:i w:val="0"/>
          <w:iCs w:val="0"/>
          <w:color w:val="auto"/>
          <w:sz w:val="16"/>
          <w:szCs w:val="16"/>
          <w:lang w:val="en-US"/>
        </w:rPr>
        <w:t>-</w:t>
      </w:r>
      <w:r w:rsidRPr="00C30126">
        <w:rPr>
          <w:rFonts w:ascii="Arial" w:hAnsi="Arial" w:cs="Arial"/>
          <w:i w:val="0"/>
          <w:iCs w:val="0"/>
          <w:color w:val="auto"/>
          <w:sz w:val="16"/>
          <w:szCs w:val="16"/>
          <w:lang w:val="en-US"/>
        </w:rPr>
        <w:t xml:space="preserve">precipitation cycles. </w:t>
      </w:r>
      <w:r w:rsidRPr="00C30126">
        <w:rPr>
          <w:rFonts w:ascii="Arial" w:hAnsi="Arial" w:cs="Arial"/>
          <w:b/>
          <w:bCs/>
          <w:i w:val="0"/>
          <w:iCs w:val="0"/>
          <w:color w:val="auto"/>
          <w:sz w:val="16"/>
          <w:szCs w:val="16"/>
          <w:lang w:val="en-US"/>
        </w:rPr>
        <w:t>b,</w:t>
      </w:r>
      <w:r w:rsidRPr="00C30126">
        <w:rPr>
          <w:rFonts w:ascii="Arial" w:hAnsi="Arial" w:cs="Arial"/>
          <w:i w:val="0"/>
          <w:iCs w:val="0"/>
          <w:color w:val="auto"/>
          <w:sz w:val="16"/>
          <w:szCs w:val="16"/>
          <w:lang w:val="en-US"/>
        </w:rPr>
        <w:t xml:space="preserve"> Representative baseline-corrected, smoothed and intensity-normalized Raman spectra of corresponding air-dried films. </w:t>
      </w:r>
      <w:r w:rsidRPr="00C30126">
        <w:rPr>
          <w:rFonts w:ascii="Arial" w:hAnsi="Arial" w:cs="Arial"/>
          <w:b/>
          <w:bCs/>
          <w:i w:val="0"/>
          <w:iCs w:val="0"/>
          <w:color w:val="auto"/>
          <w:sz w:val="16"/>
          <w:szCs w:val="16"/>
          <w:lang w:val="en-US"/>
        </w:rPr>
        <w:t>c,</w:t>
      </w:r>
      <w:r w:rsidRPr="00C30126">
        <w:rPr>
          <w:rFonts w:ascii="Arial" w:hAnsi="Arial" w:cs="Arial"/>
          <w:i w:val="0"/>
          <w:iCs w:val="0"/>
          <w:color w:val="auto"/>
          <w:sz w:val="16"/>
          <w:szCs w:val="16"/>
          <w:lang w:val="en-US"/>
        </w:rPr>
        <w:t xml:space="preserve"> SEM images, corresponding Au EDS maps shown in blue and representative EDS spectra after one, two and three immersion</w:t>
      </w:r>
      <w:r w:rsidR="007625A6">
        <w:rPr>
          <w:rFonts w:ascii="Arial" w:hAnsi="Arial" w:cs="Arial"/>
          <w:i w:val="0"/>
          <w:iCs w:val="0"/>
          <w:color w:val="auto"/>
          <w:sz w:val="16"/>
          <w:szCs w:val="16"/>
          <w:lang w:val="en-US"/>
        </w:rPr>
        <w:t>-</w:t>
      </w:r>
      <w:r w:rsidRPr="00C30126">
        <w:rPr>
          <w:rFonts w:ascii="Arial" w:hAnsi="Arial" w:cs="Arial"/>
          <w:i w:val="0"/>
          <w:iCs w:val="0"/>
          <w:color w:val="auto"/>
          <w:sz w:val="16"/>
          <w:szCs w:val="16"/>
          <w:lang w:val="en-US"/>
        </w:rPr>
        <w:t xml:space="preserve">precipitation cycles. </w:t>
      </w:r>
      <w:r w:rsidRPr="00C30126">
        <w:rPr>
          <w:rFonts w:ascii="Arial" w:hAnsi="Arial" w:cs="Arial"/>
          <w:b/>
          <w:bCs/>
          <w:i w:val="0"/>
          <w:iCs w:val="0"/>
          <w:color w:val="auto"/>
          <w:sz w:val="16"/>
          <w:szCs w:val="16"/>
          <w:lang w:val="en-US"/>
        </w:rPr>
        <w:t>d,</w:t>
      </w:r>
      <w:r w:rsidRPr="00C30126">
        <w:rPr>
          <w:rFonts w:ascii="Arial" w:hAnsi="Arial" w:cs="Arial"/>
          <w:i w:val="0"/>
          <w:iCs w:val="0"/>
          <w:color w:val="auto"/>
          <w:sz w:val="16"/>
          <w:szCs w:val="16"/>
          <w:lang w:val="en-US"/>
        </w:rPr>
        <w:t xml:space="preserve"> Feret-diameter distributions of 200 segmented nanoparticles per cycle condition. Reported values are mean ± </w:t>
      </w:r>
      <w:proofErr w:type="spellStart"/>
      <w:r w:rsidRPr="00C30126">
        <w:rPr>
          <w:rFonts w:ascii="Arial" w:hAnsi="Arial" w:cs="Arial"/>
          <w:i w:val="0"/>
          <w:iCs w:val="0"/>
          <w:color w:val="auto"/>
          <w:sz w:val="16"/>
          <w:szCs w:val="16"/>
          <w:lang w:val="en-US"/>
        </w:rPr>
        <w:t>s.d.</w:t>
      </w:r>
      <w:proofErr w:type="spellEnd"/>
      <w:r w:rsidRPr="00C30126">
        <w:rPr>
          <w:rFonts w:ascii="Arial" w:hAnsi="Arial" w:cs="Arial"/>
          <w:i w:val="0"/>
          <w:iCs w:val="0"/>
          <w:color w:val="auto"/>
          <w:sz w:val="16"/>
          <w:szCs w:val="16"/>
          <w:lang w:val="en-US"/>
        </w:rPr>
        <w:t xml:space="preserve"> </w:t>
      </w:r>
      <w:r w:rsidRPr="00C30126">
        <w:rPr>
          <w:rFonts w:ascii="Arial" w:hAnsi="Arial" w:cs="Arial"/>
          <w:b/>
          <w:bCs/>
          <w:i w:val="0"/>
          <w:iCs w:val="0"/>
          <w:color w:val="auto"/>
          <w:sz w:val="16"/>
          <w:szCs w:val="16"/>
          <w:lang w:val="en-US"/>
        </w:rPr>
        <w:t>e,</w:t>
      </w:r>
      <w:r w:rsidRPr="00C30126">
        <w:rPr>
          <w:rFonts w:ascii="Arial" w:hAnsi="Arial" w:cs="Arial"/>
          <w:i w:val="0"/>
          <w:iCs w:val="0"/>
          <w:color w:val="auto"/>
          <w:sz w:val="16"/>
          <w:szCs w:val="16"/>
          <w:lang w:val="en-US"/>
        </w:rPr>
        <w:t xml:space="preserve"> Strut widths after one, two and three immersion</w:t>
      </w:r>
      <w:r w:rsidR="007625A6">
        <w:rPr>
          <w:rFonts w:ascii="Arial" w:hAnsi="Arial" w:cs="Arial"/>
          <w:i w:val="0"/>
          <w:iCs w:val="0"/>
          <w:color w:val="auto"/>
          <w:sz w:val="16"/>
          <w:szCs w:val="16"/>
          <w:lang w:val="en-US"/>
        </w:rPr>
        <w:t>-</w:t>
      </w:r>
      <w:r w:rsidRPr="00C30126">
        <w:rPr>
          <w:rFonts w:ascii="Arial" w:hAnsi="Arial" w:cs="Arial"/>
          <w:i w:val="0"/>
          <w:iCs w:val="0"/>
          <w:color w:val="auto"/>
          <w:sz w:val="16"/>
          <w:szCs w:val="16"/>
          <w:lang w:val="en-US"/>
        </w:rPr>
        <w:t>precipitation cycles. Bars show mean ± </w:t>
      </w:r>
      <w:proofErr w:type="spellStart"/>
      <w:r w:rsidRPr="00C30126">
        <w:rPr>
          <w:rFonts w:ascii="Arial" w:hAnsi="Arial" w:cs="Arial"/>
          <w:i w:val="0"/>
          <w:iCs w:val="0"/>
          <w:color w:val="auto"/>
          <w:sz w:val="16"/>
          <w:szCs w:val="16"/>
          <w:lang w:val="en-US"/>
        </w:rPr>
        <w:t>s.d.</w:t>
      </w:r>
      <w:proofErr w:type="spellEnd"/>
      <w:r w:rsidRPr="00C30126">
        <w:rPr>
          <w:rFonts w:ascii="Arial" w:hAnsi="Arial" w:cs="Arial"/>
          <w:i w:val="0"/>
          <w:iCs w:val="0"/>
          <w:color w:val="auto"/>
          <w:sz w:val="16"/>
          <w:szCs w:val="16"/>
          <w:lang w:val="en-US"/>
        </w:rPr>
        <w:t xml:space="preserve"> from three width measurements per condition; individual measurements are overlaid. </w:t>
      </w:r>
      <w:r w:rsidRPr="00C30126">
        <w:rPr>
          <w:rFonts w:ascii="Arial" w:hAnsi="Arial" w:cs="Arial"/>
          <w:b/>
          <w:bCs/>
          <w:i w:val="0"/>
          <w:iCs w:val="0"/>
          <w:color w:val="auto"/>
          <w:sz w:val="16"/>
          <w:szCs w:val="16"/>
          <w:lang w:val="en-US"/>
        </w:rPr>
        <w:t>f,</w:t>
      </w:r>
      <w:r w:rsidRPr="00C30126">
        <w:rPr>
          <w:rFonts w:ascii="Arial" w:hAnsi="Arial" w:cs="Arial"/>
          <w:i w:val="0"/>
          <w:iCs w:val="0"/>
          <w:color w:val="auto"/>
          <w:sz w:val="16"/>
          <w:szCs w:val="16"/>
          <w:lang w:val="en-US"/>
        </w:rPr>
        <w:t xml:space="preserve"> Summary of the original instrument-reported mass fractions obtained from seven local EDS acquisitions on structures subjected to the two-cycle protocol. Nitrogen was quantified at one acquisition site and was not imputed for sites at which it was not reported. Scale bars are shown in the respective panels.</w:t>
      </w:r>
    </w:p>
    <w:p w14:paraId="14191D58" w14:textId="5BF280CB" w:rsidR="00131BE6" w:rsidRPr="00C30126" w:rsidRDefault="00575DA4" w:rsidP="00C30126">
      <w:pPr>
        <w:pStyle w:val="Heading1"/>
        <w:spacing w:line="360" w:lineRule="auto"/>
        <w:jc w:val="both"/>
        <w:rPr>
          <w:rFonts w:ascii="Arial" w:hAnsi="Arial" w:cs="Arial"/>
          <w:b/>
          <w:bCs/>
          <w:color w:val="auto"/>
          <w:sz w:val="22"/>
          <w:szCs w:val="22"/>
          <w:lang w:val="en-US"/>
        </w:rPr>
      </w:pPr>
      <w:bookmarkStart w:id="1" w:name="_Toc238807062"/>
      <w:r w:rsidRPr="00C30126">
        <w:rPr>
          <w:rFonts w:ascii="Arial" w:hAnsi="Arial" w:cs="Arial"/>
          <w:b/>
          <w:bCs/>
          <w:color w:val="auto"/>
          <w:sz w:val="22"/>
          <w:szCs w:val="22"/>
          <w:lang w:val="en-US"/>
        </w:rPr>
        <w:t xml:space="preserve">Architectural compatibility of post-print </w:t>
      </w:r>
      <w:proofErr w:type="spellStart"/>
      <w:r w:rsidRPr="00C30126">
        <w:rPr>
          <w:rFonts w:ascii="Arial" w:hAnsi="Arial" w:cs="Arial"/>
          <w:b/>
          <w:bCs/>
          <w:color w:val="auto"/>
          <w:sz w:val="22"/>
          <w:szCs w:val="22"/>
          <w:lang w:val="en-US"/>
        </w:rPr>
        <w:t>nanometallization</w:t>
      </w:r>
      <w:bookmarkEnd w:id="1"/>
      <w:proofErr w:type="spellEnd"/>
      <w:r w:rsidRPr="00C30126">
        <w:rPr>
          <w:rFonts w:ascii="Arial" w:hAnsi="Arial" w:cs="Arial"/>
          <w:b/>
          <w:bCs/>
          <w:color w:val="auto"/>
          <w:sz w:val="22"/>
          <w:szCs w:val="22"/>
          <w:lang w:val="en-US"/>
        </w:rPr>
        <w:t xml:space="preserve"> </w:t>
      </w:r>
    </w:p>
    <w:p w14:paraId="685502B5" w14:textId="05DE227C" w:rsidR="00575DA4" w:rsidRPr="00C30126" w:rsidRDefault="00575DA4" w:rsidP="00C30126">
      <w:pPr>
        <w:spacing w:line="360" w:lineRule="auto"/>
        <w:jc w:val="both"/>
        <w:rPr>
          <w:rFonts w:ascii="Arial" w:hAnsi="Arial" w:cs="Arial"/>
          <w:lang w:val="en-US"/>
        </w:rPr>
      </w:pPr>
      <w:r w:rsidRPr="00C30126">
        <w:rPr>
          <w:rFonts w:ascii="Arial" w:hAnsi="Arial" w:cs="Arial"/>
          <w:lang w:val="en-US"/>
        </w:rPr>
        <w:t>To assess whether the sequential fabrication process could be applied beyond the lattice used for material characterization, multiple three-dimensional architectures were fabricated from the same BSA/CUR photoresist and subsequently subjected to two immersion</w:t>
      </w:r>
      <w:r w:rsidR="007625A6">
        <w:rPr>
          <w:rFonts w:ascii="Arial" w:hAnsi="Arial" w:cs="Arial"/>
          <w:lang w:val="en-US"/>
        </w:rPr>
        <w:t>-</w:t>
      </w:r>
      <w:r w:rsidRPr="00C30126">
        <w:rPr>
          <w:rFonts w:ascii="Arial" w:hAnsi="Arial" w:cs="Arial"/>
          <w:lang w:val="en-US"/>
        </w:rPr>
        <w:t xml:space="preserve">precipitation cycles. SEM showed recognizable geometry after </w:t>
      </w:r>
      <w:proofErr w:type="spellStart"/>
      <w:r w:rsidRPr="00C30126">
        <w:rPr>
          <w:rFonts w:ascii="Arial" w:hAnsi="Arial" w:cs="Arial"/>
          <w:lang w:val="en-US"/>
        </w:rPr>
        <w:t>nanometallization</w:t>
      </w:r>
      <w:proofErr w:type="spellEnd"/>
      <w:r w:rsidRPr="00C30126">
        <w:rPr>
          <w:rFonts w:ascii="Arial" w:hAnsi="Arial" w:cs="Arial"/>
          <w:lang w:val="en-US"/>
        </w:rPr>
        <w:t xml:space="preserve"> across two gyroid variants, a volumetric mesh containing fine suspended connections, arrays of hollow </w:t>
      </w:r>
      <w:proofErr w:type="spellStart"/>
      <w:r w:rsidRPr="00C30126">
        <w:rPr>
          <w:rFonts w:ascii="Arial" w:hAnsi="Arial" w:cs="Arial"/>
          <w:lang w:val="en-US"/>
        </w:rPr>
        <w:lastRenderedPageBreak/>
        <w:t>microtowers</w:t>
      </w:r>
      <w:proofErr w:type="spellEnd"/>
      <w:r w:rsidRPr="00C30126">
        <w:rPr>
          <w:rFonts w:ascii="Arial" w:hAnsi="Arial" w:cs="Arial"/>
          <w:lang w:val="en-US"/>
        </w:rPr>
        <w:t>, a flower-like structure and a three-dimensional chiral architecture designed for potential metamaterial applications (</w:t>
      </w:r>
      <w:r w:rsidRPr="00C30126">
        <w:rPr>
          <w:rFonts w:ascii="Arial" w:hAnsi="Arial" w:cs="Arial"/>
          <w:b/>
          <w:bCs/>
          <w:lang w:val="en-US"/>
        </w:rPr>
        <w:t>Supplementary Fig. 2</w:t>
      </w:r>
      <w:r w:rsidRPr="00C30126">
        <w:rPr>
          <w:rFonts w:ascii="Arial" w:hAnsi="Arial" w:cs="Arial"/>
          <w:lang w:val="en-US"/>
        </w:rPr>
        <w:t>).</w:t>
      </w:r>
    </w:p>
    <w:p w14:paraId="0F02F96C" w14:textId="4805AEE4" w:rsidR="00575DA4" w:rsidRPr="00C30126" w:rsidRDefault="00575DA4" w:rsidP="00C30126">
      <w:pPr>
        <w:spacing w:line="360" w:lineRule="auto"/>
        <w:jc w:val="both"/>
        <w:rPr>
          <w:rFonts w:ascii="Arial" w:hAnsi="Arial" w:cs="Arial"/>
          <w:lang w:val="en-US"/>
        </w:rPr>
      </w:pPr>
      <w:r w:rsidRPr="00C30126">
        <w:rPr>
          <w:rFonts w:ascii="Arial" w:hAnsi="Arial" w:cs="Arial"/>
          <w:lang w:val="en-US"/>
        </w:rPr>
        <w:t xml:space="preserve">The volumetric mesh retained interconnected features with dimensions extending to the </w:t>
      </w:r>
      <w:proofErr w:type="spellStart"/>
      <w:r w:rsidRPr="00C30126">
        <w:rPr>
          <w:rFonts w:ascii="Arial" w:hAnsi="Arial" w:cs="Arial"/>
          <w:lang w:val="en-US"/>
        </w:rPr>
        <w:t>micrometre</w:t>
      </w:r>
      <w:proofErr w:type="spellEnd"/>
      <w:r w:rsidRPr="00C30126">
        <w:rPr>
          <w:rFonts w:ascii="Arial" w:hAnsi="Arial" w:cs="Arial"/>
          <w:lang w:val="en-US"/>
        </w:rPr>
        <w:t xml:space="preserve"> and </w:t>
      </w:r>
      <w:proofErr w:type="spellStart"/>
      <w:r w:rsidRPr="00C30126">
        <w:rPr>
          <w:rFonts w:ascii="Arial" w:hAnsi="Arial" w:cs="Arial"/>
          <w:lang w:val="en-US"/>
        </w:rPr>
        <w:t>submicrometre</w:t>
      </w:r>
      <w:proofErr w:type="spellEnd"/>
      <w:r w:rsidRPr="00C30126">
        <w:rPr>
          <w:rFonts w:ascii="Arial" w:hAnsi="Arial" w:cs="Arial"/>
          <w:lang w:val="en-US"/>
        </w:rPr>
        <w:t xml:space="preserve"> scale, while higher-magnification imaging showed nanoparticle decoration across the exposed junctions. Similarly, the gyroids and hollow </w:t>
      </w:r>
      <w:proofErr w:type="spellStart"/>
      <w:r w:rsidRPr="00C30126">
        <w:rPr>
          <w:rFonts w:ascii="Arial" w:hAnsi="Arial" w:cs="Arial"/>
          <w:lang w:val="en-US"/>
        </w:rPr>
        <w:t>microtowers</w:t>
      </w:r>
      <w:proofErr w:type="spellEnd"/>
      <w:r w:rsidRPr="00C30126">
        <w:rPr>
          <w:rFonts w:ascii="Arial" w:hAnsi="Arial" w:cs="Arial"/>
          <w:lang w:val="en-US"/>
        </w:rPr>
        <w:t xml:space="preserve"> retained their characteristic internal openings and external architecture following the aqueous treatment, repeated reduction and washing steps. These structures demonstrate that defining the geometry before introducing the inorganic phase enables the same </w:t>
      </w:r>
      <w:proofErr w:type="spellStart"/>
      <w:r w:rsidRPr="00C30126">
        <w:rPr>
          <w:rFonts w:ascii="Arial" w:hAnsi="Arial" w:cs="Arial"/>
          <w:lang w:val="en-US"/>
        </w:rPr>
        <w:t>nanometallization</w:t>
      </w:r>
      <w:proofErr w:type="spellEnd"/>
      <w:r w:rsidRPr="00C30126">
        <w:rPr>
          <w:rFonts w:ascii="Arial" w:hAnsi="Arial" w:cs="Arial"/>
          <w:lang w:val="en-US"/>
        </w:rPr>
        <w:t xml:space="preserve"> protocol to be applied to topologically distinct architectures. The images were not used to quantitatively compare coating thickness or nanoparticle uniformity between designs.</w:t>
      </w:r>
    </w:p>
    <w:p w14:paraId="374816A5" w14:textId="77777777" w:rsidR="00575DA4" w:rsidRPr="00C30126" w:rsidRDefault="00B1289F" w:rsidP="003F785F">
      <w:pPr>
        <w:keepNext/>
        <w:spacing w:line="360" w:lineRule="auto"/>
        <w:jc w:val="center"/>
        <w:rPr>
          <w:rFonts w:ascii="Arial" w:hAnsi="Arial" w:cs="Arial"/>
        </w:rPr>
      </w:pPr>
      <w:r w:rsidRPr="00C30126">
        <w:rPr>
          <w:rFonts w:ascii="Arial" w:hAnsi="Arial" w:cs="Arial"/>
          <w:noProof/>
          <w:lang w:val="en-US"/>
        </w:rPr>
        <w:drawing>
          <wp:inline distT="0" distB="0" distL="0" distR="0" wp14:anchorId="330EA9EC" wp14:editId="64E5B7DB">
            <wp:extent cx="5756564" cy="4302069"/>
            <wp:effectExtent l="0" t="0" r="0" b="3810"/>
            <wp:docPr id="13293136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313624" name="Picture 1329313624"/>
                    <pic:cNvPicPr/>
                  </pic:nvPicPr>
                  <pic:blipFill rotWithShape="1">
                    <a:blip r:embed="rId9" cstate="print">
                      <a:extLst>
                        <a:ext uri="{28A0092B-C50C-407E-A947-70E740481C1C}">
                          <a14:useLocalDpi xmlns:a14="http://schemas.microsoft.com/office/drawing/2010/main" val="0"/>
                        </a:ext>
                      </a:extLst>
                    </a:blip>
                    <a:srcRect l="632" t="1217" r="2210" b="892"/>
                    <a:stretch>
                      <a:fillRect/>
                    </a:stretch>
                  </pic:blipFill>
                  <pic:spPr bwMode="auto">
                    <a:xfrm>
                      <a:off x="0" y="0"/>
                      <a:ext cx="5770356" cy="4312376"/>
                    </a:xfrm>
                    <a:prstGeom prst="rect">
                      <a:avLst/>
                    </a:prstGeom>
                    <a:ln>
                      <a:noFill/>
                    </a:ln>
                    <a:extLst>
                      <a:ext uri="{53640926-AAD7-44D8-BBD7-CCE9431645EC}">
                        <a14:shadowObscured xmlns:a14="http://schemas.microsoft.com/office/drawing/2010/main"/>
                      </a:ext>
                    </a:extLst>
                  </pic:spPr>
                </pic:pic>
              </a:graphicData>
            </a:graphic>
          </wp:inline>
        </w:drawing>
      </w:r>
    </w:p>
    <w:p w14:paraId="1620B3E2" w14:textId="11606F7C" w:rsidR="00B1289F" w:rsidRPr="00C30126" w:rsidRDefault="00575DA4" w:rsidP="00C30126">
      <w:pPr>
        <w:pStyle w:val="Caption"/>
        <w:jc w:val="both"/>
        <w:rPr>
          <w:rFonts w:ascii="Arial" w:hAnsi="Arial" w:cs="Arial"/>
          <w:i w:val="0"/>
          <w:iCs w:val="0"/>
          <w:color w:val="auto"/>
          <w:sz w:val="16"/>
          <w:szCs w:val="16"/>
          <w:lang w:val="en-US"/>
        </w:rPr>
      </w:pPr>
      <w:r w:rsidRPr="00C30126">
        <w:rPr>
          <w:rFonts w:ascii="Arial" w:hAnsi="Arial" w:cs="Arial"/>
          <w:b/>
          <w:bCs/>
          <w:i w:val="0"/>
          <w:iCs w:val="0"/>
          <w:color w:val="auto"/>
          <w:sz w:val="16"/>
          <w:szCs w:val="16"/>
          <w:lang w:val="en-US"/>
        </w:rPr>
        <w:t xml:space="preserve">Supplementary Fig. </w:t>
      </w:r>
      <w:r w:rsidRPr="00C30126">
        <w:rPr>
          <w:rFonts w:ascii="Arial" w:hAnsi="Arial" w:cs="Arial"/>
          <w:b/>
          <w:bCs/>
          <w:i w:val="0"/>
          <w:iCs w:val="0"/>
          <w:color w:val="auto"/>
          <w:sz w:val="16"/>
          <w:szCs w:val="16"/>
        </w:rPr>
        <w:fldChar w:fldCharType="begin"/>
      </w:r>
      <w:r w:rsidRPr="00C30126">
        <w:rPr>
          <w:rFonts w:ascii="Arial" w:hAnsi="Arial" w:cs="Arial"/>
          <w:b/>
          <w:bCs/>
          <w:i w:val="0"/>
          <w:iCs w:val="0"/>
          <w:color w:val="auto"/>
          <w:sz w:val="16"/>
          <w:szCs w:val="16"/>
          <w:lang w:val="en-US"/>
        </w:rPr>
        <w:instrText xml:space="preserve"> SEQ Supplementary_Fig. \* ARABIC </w:instrText>
      </w:r>
      <w:r w:rsidRPr="00C30126">
        <w:rPr>
          <w:rFonts w:ascii="Arial" w:hAnsi="Arial" w:cs="Arial"/>
          <w:b/>
          <w:bCs/>
          <w:i w:val="0"/>
          <w:iCs w:val="0"/>
          <w:color w:val="auto"/>
          <w:sz w:val="16"/>
          <w:szCs w:val="16"/>
        </w:rPr>
        <w:fldChar w:fldCharType="separate"/>
      </w:r>
      <w:r w:rsidR="006333AB" w:rsidRPr="00C30126">
        <w:rPr>
          <w:rFonts w:ascii="Arial" w:hAnsi="Arial" w:cs="Arial"/>
          <w:b/>
          <w:bCs/>
          <w:i w:val="0"/>
          <w:iCs w:val="0"/>
          <w:noProof/>
          <w:color w:val="auto"/>
          <w:sz w:val="16"/>
          <w:szCs w:val="16"/>
          <w:lang w:val="en-US"/>
        </w:rPr>
        <w:t>2</w:t>
      </w:r>
      <w:r w:rsidRPr="00C30126">
        <w:rPr>
          <w:rFonts w:ascii="Arial" w:hAnsi="Arial" w:cs="Arial"/>
          <w:b/>
          <w:bCs/>
          <w:i w:val="0"/>
          <w:iCs w:val="0"/>
          <w:color w:val="auto"/>
          <w:sz w:val="16"/>
          <w:szCs w:val="16"/>
        </w:rPr>
        <w:fldChar w:fldCharType="end"/>
      </w:r>
      <w:r w:rsidRPr="00C30126">
        <w:rPr>
          <w:rFonts w:ascii="Arial" w:hAnsi="Arial" w:cs="Arial"/>
          <w:b/>
          <w:bCs/>
          <w:i w:val="0"/>
          <w:iCs w:val="0"/>
          <w:color w:val="auto"/>
          <w:sz w:val="16"/>
          <w:szCs w:val="16"/>
          <w:lang w:val="en-US"/>
        </w:rPr>
        <w:t xml:space="preserve">: Architectural compatibility of the sequential fabrication and </w:t>
      </w:r>
      <w:proofErr w:type="spellStart"/>
      <w:r w:rsidRPr="00C30126">
        <w:rPr>
          <w:rFonts w:ascii="Arial" w:hAnsi="Arial" w:cs="Arial"/>
          <w:b/>
          <w:bCs/>
          <w:i w:val="0"/>
          <w:iCs w:val="0"/>
          <w:color w:val="auto"/>
          <w:sz w:val="16"/>
          <w:szCs w:val="16"/>
          <w:lang w:val="en-US"/>
        </w:rPr>
        <w:t>nanometallization</w:t>
      </w:r>
      <w:proofErr w:type="spellEnd"/>
      <w:r w:rsidRPr="00C30126">
        <w:rPr>
          <w:rFonts w:ascii="Arial" w:hAnsi="Arial" w:cs="Arial"/>
          <w:b/>
          <w:bCs/>
          <w:i w:val="0"/>
          <w:iCs w:val="0"/>
          <w:color w:val="auto"/>
          <w:sz w:val="16"/>
          <w:szCs w:val="16"/>
          <w:lang w:val="en-US"/>
        </w:rPr>
        <w:t xml:space="preserve"> process.</w:t>
      </w:r>
      <w:r w:rsidRPr="00C30126">
        <w:rPr>
          <w:rFonts w:ascii="Arial" w:hAnsi="Arial" w:cs="Arial"/>
          <w:i w:val="0"/>
          <w:iCs w:val="0"/>
          <w:color w:val="auto"/>
          <w:sz w:val="16"/>
          <w:szCs w:val="16"/>
          <w:lang w:val="en-US"/>
        </w:rPr>
        <w:t xml:space="preserve"> SEM images of representative BSA/CUR</w:t>
      </w:r>
      <w:r w:rsidR="007625A6">
        <w:rPr>
          <w:rFonts w:ascii="Arial" w:hAnsi="Arial" w:cs="Arial"/>
          <w:i w:val="0"/>
          <w:iCs w:val="0"/>
          <w:color w:val="auto"/>
          <w:sz w:val="16"/>
          <w:szCs w:val="16"/>
          <w:lang w:val="en-US"/>
        </w:rPr>
        <w:t>-</w:t>
      </w:r>
      <w:r w:rsidRPr="00C30126">
        <w:rPr>
          <w:rFonts w:ascii="Arial" w:hAnsi="Arial" w:cs="Arial"/>
          <w:i w:val="0"/>
          <w:iCs w:val="0"/>
          <w:color w:val="auto"/>
          <w:sz w:val="16"/>
          <w:szCs w:val="16"/>
          <w:lang w:val="en-US"/>
        </w:rPr>
        <w:t xml:space="preserve">Au microarchitectures following two immersion–precipitation cycles. </w:t>
      </w:r>
      <w:proofErr w:type="spellStart"/>
      <w:r w:rsidRPr="00C30126">
        <w:rPr>
          <w:rFonts w:ascii="Arial" w:hAnsi="Arial" w:cs="Arial"/>
          <w:b/>
          <w:bCs/>
          <w:i w:val="0"/>
          <w:iCs w:val="0"/>
          <w:color w:val="auto"/>
          <w:sz w:val="16"/>
          <w:szCs w:val="16"/>
          <w:lang w:val="en-US"/>
        </w:rPr>
        <w:t>a,b</w:t>
      </w:r>
      <w:proofErr w:type="spellEnd"/>
      <w:r w:rsidRPr="00C30126">
        <w:rPr>
          <w:rFonts w:ascii="Arial" w:hAnsi="Arial" w:cs="Arial"/>
          <w:b/>
          <w:bCs/>
          <w:i w:val="0"/>
          <w:iCs w:val="0"/>
          <w:color w:val="auto"/>
          <w:sz w:val="16"/>
          <w:szCs w:val="16"/>
          <w:lang w:val="en-US"/>
        </w:rPr>
        <w:t>,</w:t>
      </w:r>
      <w:r w:rsidRPr="00C30126">
        <w:rPr>
          <w:rFonts w:ascii="Arial" w:hAnsi="Arial" w:cs="Arial"/>
          <w:i w:val="0"/>
          <w:iCs w:val="0"/>
          <w:color w:val="auto"/>
          <w:sz w:val="16"/>
          <w:szCs w:val="16"/>
          <w:lang w:val="en-US"/>
        </w:rPr>
        <w:t xml:space="preserve"> </w:t>
      </w:r>
      <w:proofErr w:type="gramStart"/>
      <w:r w:rsidRPr="00C30126">
        <w:rPr>
          <w:rFonts w:ascii="Arial" w:hAnsi="Arial" w:cs="Arial"/>
          <w:i w:val="0"/>
          <w:iCs w:val="0"/>
          <w:color w:val="auto"/>
          <w:sz w:val="16"/>
          <w:szCs w:val="16"/>
          <w:lang w:val="en-US"/>
        </w:rPr>
        <w:t>Two</w:t>
      </w:r>
      <w:proofErr w:type="gramEnd"/>
      <w:r w:rsidRPr="00C30126">
        <w:rPr>
          <w:rFonts w:ascii="Arial" w:hAnsi="Arial" w:cs="Arial"/>
          <w:i w:val="0"/>
          <w:iCs w:val="0"/>
          <w:color w:val="auto"/>
          <w:sz w:val="16"/>
          <w:szCs w:val="16"/>
          <w:lang w:val="en-US"/>
        </w:rPr>
        <w:t xml:space="preserve"> variants of gyroid architectures shown from different viewing directions. </w:t>
      </w:r>
      <w:r w:rsidRPr="00C30126">
        <w:rPr>
          <w:rFonts w:ascii="Arial" w:hAnsi="Arial" w:cs="Arial"/>
          <w:b/>
          <w:bCs/>
          <w:i w:val="0"/>
          <w:iCs w:val="0"/>
          <w:color w:val="auto"/>
          <w:sz w:val="16"/>
          <w:szCs w:val="16"/>
          <w:lang w:val="en-US"/>
        </w:rPr>
        <w:t>c,</w:t>
      </w:r>
      <w:r w:rsidRPr="00C30126">
        <w:rPr>
          <w:rFonts w:ascii="Arial" w:hAnsi="Arial" w:cs="Arial"/>
          <w:i w:val="0"/>
          <w:iCs w:val="0"/>
          <w:color w:val="auto"/>
          <w:sz w:val="16"/>
          <w:szCs w:val="16"/>
          <w:lang w:val="en-US"/>
        </w:rPr>
        <w:t xml:space="preserve"> Volumetric mesh containing fine suspended and interconnected struts, together with progressively higher magnifications of representative connections and junctions. </w:t>
      </w:r>
      <w:r w:rsidRPr="00C30126">
        <w:rPr>
          <w:rFonts w:ascii="Arial" w:hAnsi="Arial" w:cs="Arial"/>
          <w:b/>
          <w:bCs/>
          <w:i w:val="0"/>
          <w:iCs w:val="0"/>
          <w:color w:val="auto"/>
          <w:sz w:val="16"/>
          <w:szCs w:val="16"/>
          <w:lang w:val="en-US"/>
        </w:rPr>
        <w:t>d,</w:t>
      </w:r>
      <w:r w:rsidRPr="00C30126">
        <w:rPr>
          <w:rFonts w:ascii="Arial" w:hAnsi="Arial" w:cs="Arial"/>
          <w:i w:val="0"/>
          <w:iCs w:val="0"/>
          <w:color w:val="auto"/>
          <w:sz w:val="16"/>
          <w:szCs w:val="16"/>
          <w:lang w:val="en-US"/>
        </w:rPr>
        <w:t xml:space="preserve"> Arrays of hollow </w:t>
      </w:r>
      <w:proofErr w:type="spellStart"/>
      <w:r w:rsidRPr="00C30126">
        <w:rPr>
          <w:rFonts w:ascii="Arial" w:hAnsi="Arial" w:cs="Arial"/>
          <w:i w:val="0"/>
          <w:iCs w:val="0"/>
          <w:color w:val="auto"/>
          <w:sz w:val="16"/>
          <w:szCs w:val="16"/>
          <w:lang w:val="en-US"/>
        </w:rPr>
        <w:t>microtowers</w:t>
      </w:r>
      <w:proofErr w:type="spellEnd"/>
      <w:r w:rsidRPr="00C30126">
        <w:rPr>
          <w:rFonts w:ascii="Arial" w:hAnsi="Arial" w:cs="Arial"/>
          <w:i w:val="0"/>
          <w:iCs w:val="0"/>
          <w:color w:val="auto"/>
          <w:sz w:val="16"/>
          <w:szCs w:val="16"/>
          <w:lang w:val="en-US"/>
        </w:rPr>
        <w:t xml:space="preserve"> shown at different magnifications. </w:t>
      </w:r>
      <w:r w:rsidRPr="00C30126">
        <w:rPr>
          <w:rFonts w:ascii="Arial" w:hAnsi="Arial" w:cs="Arial"/>
          <w:b/>
          <w:bCs/>
          <w:i w:val="0"/>
          <w:iCs w:val="0"/>
          <w:color w:val="auto"/>
          <w:sz w:val="16"/>
          <w:szCs w:val="16"/>
          <w:lang w:val="en-US"/>
        </w:rPr>
        <w:t>e,</w:t>
      </w:r>
      <w:r w:rsidRPr="00C30126">
        <w:rPr>
          <w:rFonts w:ascii="Arial" w:hAnsi="Arial" w:cs="Arial"/>
          <w:i w:val="0"/>
          <w:iCs w:val="0"/>
          <w:color w:val="auto"/>
          <w:sz w:val="16"/>
          <w:szCs w:val="16"/>
          <w:lang w:val="en-US"/>
        </w:rPr>
        <w:t xml:space="preserve"> Flower-like architecture shown from top and oblique viewing directions. </w:t>
      </w:r>
      <w:r w:rsidRPr="00C30126">
        <w:rPr>
          <w:rFonts w:ascii="Arial" w:hAnsi="Arial" w:cs="Arial"/>
          <w:b/>
          <w:bCs/>
          <w:i w:val="0"/>
          <w:iCs w:val="0"/>
          <w:color w:val="auto"/>
          <w:sz w:val="16"/>
          <w:szCs w:val="16"/>
          <w:lang w:val="en-US"/>
        </w:rPr>
        <w:t>f,</w:t>
      </w:r>
      <w:r w:rsidRPr="00C30126">
        <w:rPr>
          <w:rFonts w:ascii="Arial" w:hAnsi="Arial" w:cs="Arial"/>
          <w:i w:val="0"/>
          <w:iCs w:val="0"/>
          <w:color w:val="auto"/>
          <w:sz w:val="16"/>
          <w:szCs w:val="16"/>
          <w:lang w:val="en-US"/>
        </w:rPr>
        <w:t xml:space="preserve"> Three-dimensional chiral architecture designed for potential metamaterial applications. These examples demonstrate retention of recognizable architecture-specific features after post-print </w:t>
      </w:r>
      <w:proofErr w:type="spellStart"/>
      <w:r w:rsidRPr="00C30126">
        <w:rPr>
          <w:rFonts w:ascii="Arial" w:hAnsi="Arial" w:cs="Arial"/>
          <w:i w:val="0"/>
          <w:iCs w:val="0"/>
          <w:color w:val="auto"/>
          <w:sz w:val="16"/>
          <w:szCs w:val="16"/>
          <w:lang w:val="en-US"/>
        </w:rPr>
        <w:t>nanometallization</w:t>
      </w:r>
      <w:proofErr w:type="spellEnd"/>
      <w:r w:rsidRPr="00C30126">
        <w:rPr>
          <w:rFonts w:ascii="Arial" w:hAnsi="Arial" w:cs="Arial"/>
          <w:i w:val="0"/>
          <w:iCs w:val="0"/>
          <w:color w:val="auto"/>
          <w:sz w:val="16"/>
          <w:szCs w:val="16"/>
          <w:lang w:val="en-US"/>
        </w:rPr>
        <w:t>. Scale bars are shown in the respective panels.</w:t>
      </w:r>
    </w:p>
    <w:p w14:paraId="3AA97D59" w14:textId="66FE2BAC" w:rsidR="00131BE6" w:rsidRPr="00C30126" w:rsidRDefault="00575DA4" w:rsidP="003B2864">
      <w:pPr>
        <w:pStyle w:val="Heading1"/>
        <w:spacing w:line="360" w:lineRule="auto"/>
        <w:jc w:val="both"/>
        <w:rPr>
          <w:rFonts w:ascii="Arial" w:hAnsi="Arial" w:cs="Arial"/>
          <w:b/>
          <w:bCs/>
          <w:color w:val="auto"/>
          <w:sz w:val="22"/>
          <w:szCs w:val="22"/>
          <w:lang w:val="en-US"/>
        </w:rPr>
      </w:pPr>
      <w:bookmarkStart w:id="2" w:name="_Toc238807063"/>
      <w:r w:rsidRPr="00C30126">
        <w:rPr>
          <w:rFonts w:ascii="Arial" w:hAnsi="Arial" w:cs="Arial"/>
          <w:b/>
          <w:bCs/>
          <w:color w:val="auto"/>
          <w:sz w:val="22"/>
          <w:szCs w:val="22"/>
          <w:lang w:val="en-US"/>
        </w:rPr>
        <w:lastRenderedPageBreak/>
        <w:t>Au-rich architecture-associated residues following calcination</w:t>
      </w:r>
      <w:bookmarkEnd w:id="2"/>
      <w:r w:rsidRPr="00C30126">
        <w:rPr>
          <w:rFonts w:ascii="Arial" w:hAnsi="Arial" w:cs="Arial"/>
          <w:b/>
          <w:bCs/>
          <w:color w:val="auto"/>
          <w:sz w:val="22"/>
          <w:szCs w:val="22"/>
          <w:lang w:val="en-US"/>
        </w:rPr>
        <w:t xml:space="preserve"> </w:t>
      </w:r>
      <w:r w:rsidR="00131BE6" w:rsidRPr="00C30126">
        <w:rPr>
          <w:rFonts w:ascii="Arial" w:hAnsi="Arial" w:cs="Arial"/>
          <w:b/>
          <w:bCs/>
          <w:color w:val="auto"/>
          <w:sz w:val="22"/>
          <w:szCs w:val="22"/>
          <w:lang w:val="en-US"/>
        </w:rPr>
        <w:t xml:space="preserve"> </w:t>
      </w:r>
    </w:p>
    <w:p w14:paraId="3F719C3E" w14:textId="3A5606B6" w:rsidR="00575DA4" w:rsidRPr="00C30126" w:rsidRDefault="00575DA4" w:rsidP="003B2864">
      <w:pPr>
        <w:spacing w:line="360" w:lineRule="auto"/>
        <w:jc w:val="both"/>
        <w:rPr>
          <w:rFonts w:ascii="Arial" w:hAnsi="Arial" w:cs="Arial"/>
          <w:lang w:val="en-US"/>
        </w:rPr>
      </w:pPr>
      <w:r w:rsidRPr="00C30126">
        <w:rPr>
          <w:rFonts w:ascii="Arial" w:hAnsi="Arial" w:cs="Arial"/>
          <w:lang w:val="en-US"/>
        </w:rPr>
        <w:t xml:space="preserve">Post-calcination characterization was performed as an exploratory proof-of-concept experiment to examine whether the deposited gold extended across the printed </w:t>
      </w:r>
      <w:proofErr w:type="gramStart"/>
      <w:r w:rsidRPr="00C30126">
        <w:rPr>
          <w:rFonts w:ascii="Arial" w:hAnsi="Arial" w:cs="Arial"/>
          <w:lang w:val="en-US"/>
        </w:rPr>
        <w:t>architectures</w:t>
      </w:r>
      <w:proofErr w:type="gramEnd"/>
      <w:r w:rsidRPr="00C30126">
        <w:rPr>
          <w:rFonts w:ascii="Arial" w:hAnsi="Arial" w:cs="Arial"/>
          <w:lang w:val="en-US"/>
        </w:rPr>
        <w:t xml:space="preserve"> sufficiently to leave an architecture-associated inorganic residue after removal of most of the organic matrix. BSA/CUR</w:t>
      </w:r>
      <w:r w:rsidR="007625A6">
        <w:rPr>
          <w:rFonts w:ascii="Arial" w:hAnsi="Arial" w:cs="Arial"/>
          <w:lang w:val="en-US"/>
        </w:rPr>
        <w:t>-</w:t>
      </w:r>
      <w:r w:rsidRPr="00C30126">
        <w:rPr>
          <w:rFonts w:ascii="Arial" w:hAnsi="Arial" w:cs="Arial"/>
          <w:lang w:val="en-US"/>
        </w:rPr>
        <w:t>Au square lattices and flower-like structures were fabricated on quartz substrates, subjected to two immersion</w:t>
      </w:r>
      <w:r w:rsidR="005529EA">
        <w:rPr>
          <w:rFonts w:ascii="Arial" w:hAnsi="Arial" w:cs="Arial"/>
          <w:lang w:val="en-US"/>
        </w:rPr>
        <w:t>-</w:t>
      </w:r>
      <w:r w:rsidRPr="00C30126">
        <w:rPr>
          <w:rFonts w:ascii="Arial" w:hAnsi="Arial" w:cs="Arial"/>
          <w:lang w:val="en-US"/>
        </w:rPr>
        <w:t>precipitation cycles and calcined in a TL 1100-8 furnace (</w:t>
      </w:r>
      <w:proofErr w:type="spellStart"/>
      <w:r w:rsidRPr="00C30126">
        <w:rPr>
          <w:rFonts w:ascii="Arial" w:hAnsi="Arial" w:cs="Arial"/>
          <w:lang w:val="en-US"/>
        </w:rPr>
        <w:t>Thermolab</w:t>
      </w:r>
      <w:proofErr w:type="spellEnd"/>
      <w:r w:rsidRPr="00C30126">
        <w:rPr>
          <w:rFonts w:ascii="Arial" w:hAnsi="Arial" w:cs="Arial"/>
          <w:lang w:val="en-US"/>
        </w:rPr>
        <w:t>/Borel) in ambient air. The temperature was increased to 900 °C at 1 °C min</w:t>
      </w:r>
      <w:r w:rsidRPr="00C30126">
        <w:rPr>
          <w:rFonts w:ascii="Cambria Math" w:hAnsi="Cambria Math" w:cs="Cambria Math"/>
          <w:lang w:val="en-US"/>
        </w:rPr>
        <w:t>⁻</w:t>
      </w:r>
      <w:r w:rsidRPr="00C30126">
        <w:rPr>
          <w:rFonts w:ascii="Arial" w:hAnsi="Arial" w:cs="Arial"/>
          <w:lang w:val="en-US"/>
        </w:rPr>
        <w:t>¹, maintained at 900 °C for 1 h and subsequently decreased at 1 °C min</w:t>
      </w:r>
      <w:r w:rsidRPr="00C30126">
        <w:rPr>
          <w:rFonts w:ascii="Cambria Math" w:hAnsi="Cambria Math" w:cs="Cambria Math"/>
          <w:lang w:val="en-US"/>
        </w:rPr>
        <w:t>⁻</w:t>
      </w:r>
      <w:r w:rsidRPr="00C30126">
        <w:rPr>
          <w:rFonts w:ascii="Arial" w:hAnsi="Arial" w:cs="Arial"/>
          <w:lang w:val="en-US"/>
        </w:rPr>
        <w:t>¹. Calcination was used only as an analytical proof of concept and not as the intended endpoint of the BSA/CUR–Au hybrid platform. Related hydrogel-infusion approaches instead use thermal removal of the organic template as a primary manufacturing step for producing metal or ceramic replicas.</w:t>
      </w:r>
      <w:sdt>
        <w:sdtPr>
          <w:rPr>
            <w:rFonts w:ascii="Arial" w:hAnsi="Arial" w:cs="Arial"/>
            <w:vertAlign w:val="superscript"/>
            <w:lang w:val="en-US"/>
          </w:rPr>
          <w:tag w:val="MENDELEY_CITATION_v3_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"/>
          <w:id w:val="2052180257"/>
          <w:placeholder>
            <w:docPart w:val="DefaultPlaceholder_-1854013440"/>
          </w:placeholder>
        </w:sdtPr>
        <w:sdtContent>
          <w:r w:rsidR="009C712B" w:rsidRPr="00C30126">
            <w:rPr>
              <w:rFonts w:ascii="Arial" w:hAnsi="Arial" w:cs="Arial"/>
              <w:vertAlign w:val="superscript"/>
              <w:lang w:val="en-US"/>
            </w:rPr>
            <w:t>5,6</w:t>
          </w:r>
        </w:sdtContent>
      </w:sdt>
    </w:p>
    <w:p w14:paraId="0483BED5" w14:textId="77777777" w:rsidR="00575DA4" w:rsidRPr="00C30126" w:rsidRDefault="00575DA4" w:rsidP="00C30126">
      <w:pPr>
        <w:spacing w:line="360" w:lineRule="auto"/>
        <w:jc w:val="both"/>
        <w:rPr>
          <w:rFonts w:ascii="Arial" w:hAnsi="Arial" w:cs="Arial"/>
          <w:lang w:val="en-US"/>
        </w:rPr>
      </w:pPr>
      <w:r w:rsidRPr="00C30126">
        <w:rPr>
          <w:rFonts w:ascii="Arial" w:hAnsi="Arial" w:cs="Arial"/>
          <w:lang w:val="en-US"/>
        </w:rPr>
        <w:t>Following calcination, porous residues remained attached to the quartz substrate at the positions of both printed architectures (</w:t>
      </w:r>
      <w:r w:rsidRPr="00C30126">
        <w:rPr>
          <w:rFonts w:ascii="Arial" w:hAnsi="Arial" w:cs="Arial"/>
          <w:b/>
          <w:bCs/>
          <w:lang w:val="en-US"/>
        </w:rPr>
        <w:t>Supplementary Fig. 3a,b</w:t>
      </w:r>
      <w:r w:rsidRPr="00C30126">
        <w:rPr>
          <w:rFonts w:ascii="Arial" w:hAnsi="Arial" w:cs="Arial"/>
          <w:lang w:val="en-US"/>
        </w:rPr>
        <w:t>). The square-lattice residue retained a recognizable overall outline and pore arrangement, although substantial surface coarsening, porosity and local deformation were evident. The calcined flower-like residue underwent more pronounced geometric transformation, including inward movement and closure of its petal-like elements. These observations demonstrate that the final morphology is strongly affected by the starting architecture and thermal treatment, and that the furnace conditions and design would require further optimization if shape-preserving metallic replicas were desired.</w:t>
      </w:r>
    </w:p>
    <w:p w14:paraId="4D3CAFB8" w14:textId="22875209" w:rsidR="00575DA4" w:rsidRPr="00C30126" w:rsidRDefault="00575DA4" w:rsidP="00C30126">
      <w:pPr>
        <w:spacing w:line="360" w:lineRule="auto"/>
        <w:jc w:val="both"/>
        <w:rPr>
          <w:rFonts w:ascii="Arial" w:hAnsi="Arial" w:cs="Arial"/>
          <w:lang w:val="en-US"/>
        </w:rPr>
      </w:pPr>
      <w:r w:rsidRPr="00C30126">
        <w:rPr>
          <w:rFonts w:ascii="Arial" w:hAnsi="Arial" w:cs="Arial"/>
          <w:lang w:val="en-US"/>
        </w:rPr>
        <w:t>Local EDS was acquired from the calcined residue without sputter coating. The measured composition was 91.43 </w:t>
      </w:r>
      <w:proofErr w:type="spellStart"/>
      <w:r w:rsidRPr="00C30126">
        <w:rPr>
          <w:rFonts w:ascii="Arial" w:hAnsi="Arial" w:cs="Arial"/>
          <w:lang w:val="en-US"/>
        </w:rPr>
        <w:t>wt</w:t>
      </w:r>
      <w:proofErr w:type="spellEnd"/>
      <w:r w:rsidRPr="00C30126">
        <w:rPr>
          <w:rFonts w:ascii="Arial" w:hAnsi="Arial" w:cs="Arial"/>
          <w:lang w:val="en-US"/>
        </w:rPr>
        <w:t>% Au, 3.15 </w:t>
      </w:r>
      <w:proofErr w:type="spellStart"/>
      <w:r w:rsidRPr="00C30126">
        <w:rPr>
          <w:rFonts w:ascii="Arial" w:hAnsi="Arial" w:cs="Arial"/>
          <w:lang w:val="en-US"/>
        </w:rPr>
        <w:t>wt</w:t>
      </w:r>
      <w:proofErr w:type="spellEnd"/>
      <w:r w:rsidRPr="00C30126">
        <w:rPr>
          <w:rFonts w:ascii="Arial" w:hAnsi="Arial" w:cs="Arial"/>
          <w:lang w:val="en-US"/>
        </w:rPr>
        <w:t>% C and 5.41 </w:t>
      </w:r>
      <w:proofErr w:type="spellStart"/>
      <w:r w:rsidRPr="00C30126">
        <w:rPr>
          <w:rFonts w:ascii="Arial" w:hAnsi="Arial" w:cs="Arial"/>
          <w:lang w:val="en-US"/>
        </w:rPr>
        <w:t>wt</w:t>
      </w:r>
      <w:proofErr w:type="spellEnd"/>
      <w:r w:rsidRPr="00C30126">
        <w:rPr>
          <w:rFonts w:ascii="Arial" w:hAnsi="Arial" w:cs="Arial"/>
          <w:lang w:val="en-US"/>
        </w:rPr>
        <w:t>% O, corresponding to 43.58 at% Au, 24.65 at% C and 31.77 at% O (</w:t>
      </w:r>
      <w:r w:rsidRPr="00C30126">
        <w:rPr>
          <w:rFonts w:ascii="Arial" w:hAnsi="Arial" w:cs="Arial"/>
          <w:b/>
          <w:bCs/>
          <w:lang w:val="en-US"/>
        </w:rPr>
        <w:t>Supplementary Fig. 3c</w:t>
      </w:r>
      <w:r w:rsidRPr="00C30126">
        <w:rPr>
          <w:rFonts w:ascii="Arial" w:hAnsi="Arial" w:cs="Arial"/>
          <w:lang w:val="en-US"/>
        </w:rPr>
        <w:t>). The high local Au fraction demonstrates that the immersion</w:t>
      </w:r>
      <w:r w:rsidR="005529EA">
        <w:rPr>
          <w:rFonts w:ascii="Arial" w:hAnsi="Arial" w:cs="Arial"/>
          <w:lang w:val="en-US"/>
        </w:rPr>
        <w:t>-</w:t>
      </w:r>
      <w:r w:rsidRPr="00C30126">
        <w:rPr>
          <w:rFonts w:ascii="Arial" w:hAnsi="Arial" w:cs="Arial"/>
          <w:lang w:val="en-US"/>
        </w:rPr>
        <w:t>precipitation process deposited sufficient inorganic material across the printed architecture to leave an Au-rich residue after calcination. However, because the measurement was local and the experiment was exploratory, it does not quantify the bulk composition, calcination yield or shrinkage of the complete structure. Similarly, retention of an Au-rich residue after thermal treatment does not independently establish that a continuous, load-bearing gold network existed before calcination or that nanoparticles were distributed throughout the interior of the protein struts.</w:t>
      </w:r>
    </w:p>
    <w:p w14:paraId="3AD66C11" w14:textId="77777777" w:rsidR="00575DA4" w:rsidRPr="00C30126" w:rsidRDefault="00575DA4" w:rsidP="00C30126">
      <w:pPr>
        <w:spacing w:line="360" w:lineRule="auto"/>
        <w:jc w:val="both"/>
        <w:rPr>
          <w:rFonts w:ascii="Arial" w:hAnsi="Arial" w:cs="Arial"/>
          <w:lang w:val="en-US"/>
        </w:rPr>
      </w:pPr>
    </w:p>
    <w:p w14:paraId="45A5343D" w14:textId="77777777" w:rsidR="00575DA4" w:rsidRPr="00C30126" w:rsidRDefault="00B1289F" w:rsidP="003F785F">
      <w:pPr>
        <w:keepNext/>
        <w:spacing w:line="360" w:lineRule="auto"/>
        <w:jc w:val="center"/>
        <w:rPr>
          <w:rFonts w:ascii="Arial" w:hAnsi="Arial" w:cs="Arial"/>
        </w:rPr>
      </w:pPr>
      <w:r w:rsidRPr="00C30126">
        <w:rPr>
          <w:rFonts w:ascii="Arial" w:hAnsi="Arial" w:cs="Arial"/>
          <w:noProof/>
          <w:lang w:val="en-US"/>
        </w:rPr>
        <w:lastRenderedPageBreak/>
        <w:drawing>
          <wp:inline distT="0" distB="0" distL="0" distR="0" wp14:anchorId="7E22A1AD" wp14:editId="1BC16253">
            <wp:extent cx="5621482" cy="4087182"/>
            <wp:effectExtent l="0" t="0" r="0" b="8890"/>
            <wp:docPr id="8109704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970444" name="Picture 81097044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26343" cy="4090717"/>
                    </a:xfrm>
                    <a:prstGeom prst="rect">
                      <a:avLst/>
                    </a:prstGeom>
                  </pic:spPr>
                </pic:pic>
              </a:graphicData>
            </a:graphic>
          </wp:inline>
        </w:drawing>
      </w:r>
    </w:p>
    <w:p w14:paraId="54C26C7B" w14:textId="794B424C" w:rsidR="00B1289F" w:rsidRPr="00C30126" w:rsidRDefault="00575DA4" w:rsidP="00C30126">
      <w:pPr>
        <w:pStyle w:val="Caption"/>
        <w:jc w:val="both"/>
        <w:rPr>
          <w:rFonts w:ascii="Arial" w:hAnsi="Arial" w:cs="Arial"/>
          <w:i w:val="0"/>
          <w:iCs w:val="0"/>
          <w:color w:val="auto"/>
          <w:sz w:val="16"/>
          <w:szCs w:val="16"/>
          <w:lang w:val="en-US"/>
        </w:rPr>
      </w:pPr>
      <w:r w:rsidRPr="00C30126">
        <w:rPr>
          <w:rFonts w:ascii="Arial" w:hAnsi="Arial" w:cs="Arial"/>
          <w:b/>
          <w:bCs/>
          <w:i w:val="0"/>
          <w:iCs w:val="0"/>
          <w:color w:val="auto"/>
          <w:sz w:val="16"/>
          <w:szCs w:val="16"/>
          <w:lang w:val="en-US"/>
        </w:rPr>
        <w:t xml:space="preserve">Supplementary Fig. </w:t>
      </w:r>
      <w:r w:rsidRPr="00C30126">
        <w:rPr>
          <w:rFonts w:ascii="Arial" w:hAnsi="Arial" w:cs="Arial"/>
          <w:b/>
          <w:bCs/>
          <w:i w:val="0"/>
          <w:iCs w:val="0"/>
          <w:color w:val="auto"/>
          <w:sz w:val="16"/>
          <w:szCs w:val="16"/>
        </w:rPr>
        <w:fldChar w:fldCharType="begin"/>
      </w:r>
      <w:r w:rsidRPr="00C30126">
        <w:rPr>
          <w:rFonts w:ascii="Arial" w:hAnsi="Arial" w:cs="Arial"/>
          <w:b/>
          <w:bCs/>
          <w:i w:val="0"/>
          <w:iCs w:val="0"/>
          <w:color w:val="auto"/>
          <w:sz w:val="16"/>
          <w:szCs w:val="16"/>
          <w:lang w:val="en-US"/>
        </w:rPr>
        <w:instrText xml:space="preserve"> SEQ Supplementary_Fig. \* ARABIC </w:instrText>
      </w:r>
      <w:r w:rsidRPr="00C30126">
        <w:rPr>
          <w:rFonts w:ascii="Arial" w:hAnsi="Arial" w:cs="Arial"/>
          <w:b/>
          <w:bCs/>
          <w:i w:val="0"/>
          <w:iCs w:val="0"/>
          <w:color w:val="auto"/>
          <w:sz w:val="16"/>
          <w:szCs w:val="16"/>
        </w:rPr>
        <w:fldChar w:fldCharType="separate"/>
      </w:r>
      <w:r w:rsidR="006333AB" w:rsidRPr="00C30126">
        <w:rPr>
          <w:rFonts w:ascii="Arial" w:hAnsi="Arial" w:cs="Arial"/>
          <w:b/>
          <w:bCs/>
          <w:i w:val="0"/>
          <w:iCs w:val="0"/>
          <w:noProof/>
          <w:color w:val="auto"/>
          <w:sz w:val="16"/>
          <w:szCs w:val="16"/>
          <w:lang w:val="en-US"/>
        </w:rPr>
        <w:t>3</w:t>
      </w:r>
      <w:r w:rsidRPr="00C30126">
        <w:rPr>
          <w:rFonts w:ascii="Arial" w:hAnsi="Arial" w:cs="Arial"/>
          <w:b/>
          <w:bCs/>
          <w:i w:val="0"/>
          <w:iCs w:val="0"/>
          <w:color w:val="auto"/>
          <w:sz w:val="16"/>
          <w:szCs w:val="16"/>
        </w:rPr>
        <w:fldChar w:fldCharType="end"/>
      </w:r>
      <w:r w:rsidRPr="00C30126">
        <w:rPr>
          <w:rFonts w:ascii="Arial" w:hAnsi="Arial" w:cs="Arial"/>
          <w:b/>
          <w:bCs/>
          <w:i w:val="0"/>
          <w:iCs w:val="0"/>
          <w:color w:val="auto"/>
          <w:sz w:val="16"/>
          <w:szCs w:val="16"/>
          <w:lang w:val="en-US"/>
        </w:rPr>
        <w:t>:</w:t>
      </w:r>
      <w:r w:rsidRPr="00C30126">
        <w:rPr>
          <w:rFonts w:ascii="Arial" w:hAnsi="Arial" w:cs="Arial"/>
          <w:i w:val="0"/>
          <w:iCs w:val="0"/>
          <w:color w:val="auto"/>
          <w:sz w:val="16"/>
          <w:szCs w:val="16"/>
          <w:lang w:val="en-US"/>
        </w:rPr>
        <w:t xml:space="preserve"> </w:t>
      </w:r>
      <w:r w:rsidRPr="00C30126">
        <w:rPr>
          <w:rFonts w:ascii="Arial" w:hAnsi="Arial" w:cs="Arial"/>
          <w:b/>
          <w:bCs/>
          <w:i w:val="0"/>
          <w:iCs w:val="0"/>
          <w:color w:val="auto"/>
          <w:sz w:val="16"/>
          <w:szCs w:val="16"/>
          <w:lang w:val="en-US"/>
        </w:rPr>
        <w:t>Au-rich architecture-associated residues remaining after calcination of BSA/CUR–Au structures.</w:t>
      </w:r>
      <w:r w:rsidRPr="00C30126">
        <w:rPr>
          <w:rFonts w:ascii="Arial" w:hAnsi="Arial" w:cs="Arial"/>
          <w:i w:val="0"/>
          <w:iCs w:val="0"/>
          <w:color w:val="auto"/>
          <w:sz w:val="16"/>
          <w:szCs w:val="16"/>
          <w:lang w:val="en-US"/>
        </w:rPr>
        <w:t xml:space="preserve"> All SEM images show structures after calcination in ambient air at 900 °C. </w:t>
      </w:r>
      <w:proofErr w:type="gramStart"/>
      <w:r w:rsidRPr="00C30126">
        <w:rPr>
          <w:rFonts w:ascii="Arial" w:hAnsi="Arial" w:cs="Arial"/>
          <w:b/>
          <w:bCs/>
          <w:i w:val="0"/>
          <w:iCs w:val="0"/>
          <w:color w:val="auto"/>
          <w:sz w:val="16"/>
          <w:szCs w:val="16"/>
          <w:lang w:val="en-US"/>
        </w:rPr>
        <w:t>a,</w:t>
      </w:r>
      <w:proofErr w:type="gramEnd"/>
      <w:r w:rsidRPr="00C30126">
        <w:rPr>
          <w:rFonts w:ascii="Arial" w:hAnsi="Arial" w:cs="Arial"/>
          <w:i w:val="0"/>
          <w:iCs w:val="0"/>
          <w:color w:val="auto"/>
          <w:sz w:val="16"/>
          <w:szCs w:val="16"/>
          <w:lang w:val="en-US"/>
        </w:rPr>
        <w:t xml:space="preserve"> SEM images of a calcined square-lattice residue remaining attached to a quartz substrate, shown from different viewing directions and at progressively higher magnifications. The recognizable lattice outline is retained despite substantial coarsening and porosity. </w:t>
      </w:r>
      <w:r w:rsidRPr="00C30126">
        <w:rPr>
          <w:rFonts w:ascii="Arial" w:hAnsi="Arial" w:cs="Arial"/>
          <w:b/>
          <w:bCs/>
          <w:i w:val="0"/>
          <w:iCs w:val="0"/>
          <w:color w:val="auto"/>
          <w:sz w:val="16"/>
          <w:szCs w:val="16"/>
          <w:lang w:val="en-US"/>
        </w:rPr>
        <w:t>b,</w:t>
      </w:r>
      <w:r w:rsidRPr="00C30126">
        <w:rPr>
          <w:rFonts w:ascii="Arial" w:hAnsi="Arial" w:cs="Arial"/>
          <w:i w:val="0"/>
          <w:iCs w:val="0"/>
          <w:color w:val="auto"/>
          <w:sz w:val="16"/>
          <w:szCs w:val="16"/>
          <w:lang w:val="en-US"/>
        </w:rPr>
        <w:t xml:space="preserve"> SEM images of a calcined flower-like residue remaining attached to quartz, showing deformation and closure of its petal-like elements. </w:t>
      </w:r>
      <w:r w:rsidRPr="00C30126">
        <w:rPr>
          <w:rFonts w:ascii="Arial" w:hAnsi="Arial" w:cs="Arial"/>
          <w:b/>
          <w:bCs/>
          <w:i w:val="0"/>
          <w:iCs w:val="0"/>
          <w:color w:val="auto"/>
          <w:sz w:val="16"/>
          <w:szCs w:val="16"/>
          <w:lang w:val="en-US"/>
        </w:rPr>
        <w:t>c,</w:t>
      </w:r>
      <w:r w:rsidRPr="00C30126">
        <w:rPr>
          <w:rFonts w:ascii="Arial" w:hAnsi="Arial" w:cs="Arial"/>
          <w:i w:val="0"/>
          <w:iCs w:val="0"/>
          <w:color w:val="auto"/>
          <w:sz w:val="16"/>
          <w:szCs w:val="16"/>
          <w:lang w:val="en-US"/>
        </w:rPr>
        <w:t xml:space="preserve"> Representative local EDS spectrum and instrument-reported composition acquired from an </w:t>
      </w:r>
      <w:proofErr w:type="spellStart"/>
      <w:r w:rsidRPr="00C30126">
        <w:rPr>
          <w:rFonts w:ascii="Arial" w:hAnsi="Arial" w:cs="Arial"/>
          <w:i w:val="0"/>
          <w:iCs w:val="0"/>
          <w:color w:val="auto"/>
          <w:sz w:val="16"/>
          <w:szCs w:val="16"/>
          <w:lang w:val="en-US"/>
        </w:rPr>
        <w:t>unsputtered</w:t>
      </w:r>
      <w:proofErr w:type="spellEnd"/>
      <w:r w:rsidRPr="00C30126">
        <w:rPr>
          <w:rFonts w:ascii="Arial" w:hAnsi="Arial" w:cs="Arial"/>
          <w:i w:val="0"/>
          <w:iCs w:val="0"/>
          <w:color w:val="auto"/>
          <w:sz w:val="16"/>
          <w:szCs w:val="16"/>
          <w:lang w:val="en-US"/>
        </w:rPr>
        <w:t xml:space="preserve"> calcined residue. The measured composition was 91.43 </w:t>
      </w:r>
      <w:proofErr w:type="spellStart"/>
      <w:r w:rsidRPr="00C30126">
        <w:rPr>
          <w:rFonts w:ascii="Arial" w:hAnsi="Arial" w:cs="Arial"/>
          <w:i w:val="0"/>
          <w:iCs w:val="0"/>
          <w:color w:val="auto"/>
          <w:sz w:val="16"/>
          <w:szCs w:val="16"/>
          <w:lang w:val="en-US"/>
        </w:rPr>
        <w:t>wt</w:t>
      </w:r>
      <w:proofErr w:type="spellEnd"/>
      <w:r w:rsidRPr="00C30126">
        <w:rPr>
          <w:rFonts w:ascii="Arial" w:hAnsi="Arial" w:cs="Arial"/>
          <w:i w:val="0"/>
          <w:iCs w:val="0"/>
          <w:color w:val="auto"/>
          <w:sz w:val="16"/>
          <w:szCs w:val="16"/>
          <w:lang w:val="en-US"/>
        </w:rPr>
        <w:t>% Au, 3.15 </w:t>
      </w:r>
      <w:proofErr w:type="spellStart"/>
      <w:r w:rsidRPr="00C30126">
        <w:rPr>
          <w:rFonts w:ascii="Arial" w:hAnsi="Arial" w:cs="Arial"/>
          <w:i w:val="0"/>
          <w:iCs w:val="0"/>
          <w:color w:val="auto"/>
          <w:sz w:val="16"/>
          <w:szCs w:val="16"/>
          <w:lang w:val="en-US"/>
        </w:rPr>
        <w:t>wt</w:t>
      </w:r>
      <w:proofErr w:type="spellEnd"/>
      <w:r w:rsidRPr="00C30126">
        <w:rPr>
          <w:rFonts w:ascii="Arial" w:hAnsi="Arial" w:cs="Arial"/>
          <w:i w:val="0"/>
          <w:iCs w:val="0"/>
          <w:color w:val="auto"/>
          <w:sz w:val="16"/>
          <w:szCs w:val="16"/>
          <w:lang w:val="en-US"/>
        </w:rPr>
        <w:t>% C and 5.41 </w:t>
      </w:r>
      <w:proofErr w:type="spellStart"/>
      <w:r w:rsidRPr="00C30126">
        <w:rPr>
          <w:rFonts w:ascii="Arial" w:hAnsi="Arial" w:cs="Arial"/>
          <w:i w:val="0"/>
          <w:iCs w:val="0"/>
          <w:color w:val="auto"/>
          <w:sz w:val="16"/>
          <w:szCs w:val="16"/>
          <w:lang w:val="en-US"/>
        </w:rPr>
        <w:t>wt</w:t>
      </w:r>
      <w:proofErr w:type="spellEnd"/>
      <w:r w:rsidRPr="00C30126">
        <w:rPr>
          <w:rFonts w:ascii="Arial" w:hAnsi="Arial" w:cs="Arial"/>
          <w:i w:val="0"/>
          <w:iCs w:val="0"/>
          <w:color w:val="auto"/>
          <w:sz w:val="16"/>
          <w:szCs w:val="16"/>
          <w:lang w:val="en-US"/>
        </w:rPr>
        <w:t>% O. Scale bars are shown in the respective panels.</w:t>
      </w:r>
    </w:p>
    <w:p w14:paraId="173CA5BF" w14:textId="3388DACB" w:rsidR="003675BB" w:rsidRPr="00C30126" w:rsidRDefault="00A04C51" w:rsidP="00C30126">
      <w:pPr>
        <w:pStyle w:val="Heading1"/>
        <w:spacing w:line="360" w:lineRule="auto"/>
        <w:jc w:val="both"/>
        <w:rPr>
          <w:rFonts w:ascii="Arial" w:hAnsi="Arial" w:cs="Arial"/>
          <w:b/>
          <w:bCs/>
          <w:color w:val="auto"/>
          <w:sz w:val="22"/>
          <w:szCs w:val="22"/>
          <w:lang w:val="en-US"/>
        </w:rPr>
      </w:pPr>
      <w:bookmarkStart w:id="3" w:name="_Toc238807064"/>
      <w:r w:rsidRPr="00C30126">
        <w:rPr>
          <w:rFonts w:ascii="Arial" w:hAnsi="Arial" w:cs="Arial"/>
          <w:b/>
          <w:bCs/>
          <w:color w:val="auto"/>
          <w:sz w:val="22"/>
          <w:szCs w:val="22"/>
          <w:lang w:val="en-US"/>
        </w:rPr>
        <w:t>Direction-dependent and cyclic pH response</w:t>
      </w:r>
      <w:bookmarkEnd w:id="3"/>
    </w:p>
    <w:p w14:paraId="58DF4F10" w14:textId="77777777" w:rsidR="00A04C51" w:rsidRDefault="00A04C51" w:rsidP="00C30126">
      <w:pPr>
        <w:spacing w:line="360" w:lineRule="auto"/>
        <w:jc w:val="both"/>
        <w:rPr>
          <w:rFonts w:ascii="Arial" w:hAnsi="Arial" w:cs="Arial"/>
          <w:lang w:val="en-US"/>
        </w:rPr>
      </w:pPr>
      <w:r w:rsidRPr="00C30126">
        <w:rPr>
          <w:rFonts w:ascii="Arial" w:hAnsi="Arial" w:cs="Arial"/>
          <w:lang w:val="en-US"/>
        </w:rPr>
        <w:t>To provide the complete dimensional datasets underlying Figs. 2 and 3, absolute and normalized measurements were examined throughout five consecutive pH cycles (</w:t>
      </w:r>
      <w:r w:rsidRPr="00C30126">
        <w:rPr>
          <w:rFonts w:ascii="Arial" w:hAnsi="Arial" w:cs="Arial"/>
          <w:b/>
          <w:bCs/>
          <w:lang w:val="en-US"/>
        </w:rPr>
        <w:t>Supplementary Fig. 4</w:t>
      </w:r>
      <w:r w:rsidRPr="00C30126">
        <w:rPr>
          <w:rFonts w:ascii="Arial" w:hAnsi="Arial" w:cs="Arial"/>
          <w:lang w:val="en-US"/>
        </w:rPr>
        <w:t>). For every cycle, the hydrated structures were sequentially exposed to pH 7.4, 4.7, 2.5, 7.4, 9.0, 11.5 and 7.4. Normalized dimensional change was calculated relative to the intermediate pH 7.4 measurement within the same cycle:</w:t>
      </w:r>
    </w:p>
    <w:p w14:paraId="006ECCCF" w14:textId="502FD6AF" w:rsidR="007625A6" w:rsidRPr="00C30126" w:rsidRDefault="007625A6" w:rsidP="00C30126">
      <w:pPr>
        <w:spacing w:line="360" w:lineRule="auto"/>
        <w:jc w:val="both"/>
        <w:rPr>
          <w:rFonts w:ascii="Arial" w:hAnsi="Arial" w:cs="Arial"/>
          <w:lang w:val="en-US"/>
        </w:rPr>
      </w:pPr>
      <m:oMathPara>
        <m:oMath>
          <m:r>
            <m:rPr>
              <m:sty m:val="p"/>
            </m:rPr>
            <w:rPr>
              <w:rFonts w:ascii="Cambria Math" w:hAnsi="Cambria Math" w:cs="Arial"/>
            </w:rPr>
            <m:t>Δ</m:t>
          </m:r>
          <m:r>
            <w:rPr>
              <w:rFonts w:ascii="Cambria Math" w:hAnsi="Cambria Math" w:cs="Arial"/>
            </w:rPr>
            <m:t>D</m:t>
          </m:r>
          <m:d>
            <m:dPr>
              <m:ctrlPr>
                <w:rPr>
                  <w:rFonts w:ascii="Cambria Math" w:hAnsi="Cambria Math" w:cs="Arial"/>
                </w:rPr>
              </m:ctrlPr>
            </m:dPr>
            <m:e>
              <m:r>
                <w:rPr>
                  <w:rFonts w:ascii="Cambria Math" w:hAnsi="Cambria Math" w:cs="Arial"/>
                </w:rPr>
                <m:t>%</m:t>
              </m:r>
            </m:e>
          </m:d>
          <m:r>
            <w:rPr>
              <w:rFonts w:ascii="Cambria Math" w:hAnsi="Cambria Math" w:cs="Arial"/>
            </w:rPr>
            <m:t>=</m:t>
          </m:r>
          <m:f>
            <m:fPr>
              <m:ctrlPr>
                <w:rPr>
                  <w:rFonts w:ascii="Cambria Math" w:hAnsi="Cambria Math" w:cs="Arial"/>
                </w:rPr>
              </m:ctrlPr>
            </m:fPr>
            <m:num>
              <m:sSub>
                <m:sSubPr>
                  <m:ctrlPr>
                    <w:rPr>
                      <w:rFonts w:ascii="Cambria Math" w:hAnsi="Cambria Math" w:cs="Arial"/>
                    </w:rPr>
                  </m:ctrlPr>
                </m:sSubPr>
                <m:e>
                  <m:r>
                    <w:rPr>
                      <w:rFonts w:ascii="Cambria Math" w:hAnsi="Cambria Math" w:cs="Arial"/>
                    </w:rPr>
                    <m:t>D</m:t>
                  </m:r>
                </m:e>
                <m:sub>
                  <m:r>
                    <m:rPr>
                      <m:sty m:val="p"/>
                    </m:rPr>
                    <w:rPr>
                      <w:rFonts w:ascii="Cambria Math" w:hAnsi="Cambria Math" w:cs="Arial"/>
                    </w:rPr>
                    <m:t>pH</m:t>
                  </m:r>
                </m:sub>
              </m:sSub>
              <m:r>
                <w:rPr>
                  <w:rFonts w:ascii="Cambria Math" w:hAnsi="Cambria Math" w:cs="Arial"/>
                </w:rPr>
                <m:t>-</m:t>
              </m:r>
              <m:sSub>
                <m:sSubPr>
                  <m:ctrlPr>
                    <w:rPr>
                      <w:rFonts w:ascii="Cambria Math" w:hAnsi="Cambria Math" w:cs="Arial"/>
                    </w:rPr>
                  </m:ctrlPr>
                </m:sSubPr>
                <m:e>
                  <m:r>
                    <w:rPr>
                      <w:rFonts w:ascii="Cambria Math" w:hAnsi="Cambria Math" w:cs="Arial"/>
                    </w:rPr>
                    <m:t>D</m:t>
                  </m:r>
                </m:e>
                <m:sub>
                  <m:r>
                    <w:rPr>
                      <w:rFonts w:ascii="Cambria Math" w:hAnsi="Cambria Math" w:cs="Arial"/>
                    </w:rPr>
                    <m:t>7.4</m:t>
                  </m:r>
                </m:sub>
              </m:sSub>
            </m:num>
            <m:den>
              <m:sSub>
                <m:sSubPr>
                  <m:ctrlPr>
                    <w:rPr>
                      <w:rFonts w:ascii="Cambria Math" w:hAnsi="Cambria Math" w:cs="Arial"/>
                    </w:rPr>
                  </m:ctrlPr>
                </m:sSubPr>
                <m:e>
                  <m:r>
                    <w:rPr>
                      <w:rFonts w:ascii="Cambria Math" w:hAnsi="Cambria Math" w:cs="Arial"/>
                    </w:rPr>
                    <m:t>D</m:t>
                  </m:r>
                </m:e>
                <m:sub>
                  <m:r>
                    <w:rPr>
                      <w:rFonts w:ascii="Cambria Math" w:hAnsi="Cambria Math" w:cs="Arial"/>
                    </w:rPr>
                    <m:t>7.4</m:t>
                  </m:r>
                </m:sub>
              </m:sSub>
            </m:den>
          </m:f>
          <m:r>
            <w:rPr>
              <w:rFonts w:ascii="Cambria Math" w:hAnsi="Cambria Math" w:cs="Arial"/>
            </w:rPr>
            <m:t>×100</m:t>
          </m:r>
        </m:oMath>
      </m:oMathPara>
    </w:p>
    <w:p w14:paraId="4980B907" w14:textId="653D3F01" w:rsidR="00A04C51" w:rsidRPr="00C30126" w:rsidRDefault="00A04C51" w:rsidP="00C30126">
      <w:pPr>
        <w:spacing w:line="360" w:lineRule="auto"/>
        <w:jc w:val="both"/>
        <w:rPr>
          <w:rFonts w:ascii="Arial" w:hAnsi="Arial" w:cs="Arial"/>
          <w:lang w:val="en-US"/>
        </w:rPr>
      </w:pPr>
      <w:r w:rsidRPr="00C30126">
        <w:rPr>
          <w:rFonts w:ascii="Arial" w:hAnsi="Arial" w:cs="Arial"/>
          <w:lang w:val="en-US"/>
        </w:rPr>
        <w:t>The absolute lateral dimensions reproduced the contraction–expansion sequence during each cycle, with substantially larger dimensional excursions in BSA/CUR cubes and tori than in their BSA/CUR</w:t>
      </w:r>
      <w:r w:rsidR="007625A6">
        <w:rPr>
          <w:rFonts w:ascii="Arial" w:hAnsi="Arial" w:cs="Arial"/>
          <w:lang w:val="en-US"/>
        </w:rPr>
        <w:t>-</w:t>
      </w:r>
      <w:r w:rsidRPr="00C30126">
        <w:rPr>
          <w:rFonts w:ascii="Arial" w:hAnsi="Arial" w:cs="Arial"/>
          <w:lang w:val="en-US"/>
        </w:rPr>
        <w:t>Au counterparts (</w:t>
      </w:r>
      <w:r w:rsidRPr="00C30126">
        <w:rPr>
          <w:rFonts w:ascii="Arial" w:hAnsi="Arial" w:cs="Arial"/>
          <w:b/>
          <w:bCs/>
          <w:lang w:val="en-US"/>
        </w:rPr>
        <w:t>Supplementary Fig. 4a</w:t>
      </w:r>
      <w:r w:rsidRPr="00C30126">
        <w:rPr>
          <w:rFonts w:ascii="Arial" w:hAnsi="Arial" w:cs="Arial"/>
          <w:lang w:val="en-US"/>
        </w:rPr>
        <w:t>). Normalization to the intermediate pH 7.4 state enabled comparison between independently fabricated structures of different initial sizes and showed that the difference between the two compositions persisted throughout all five cycles (</w:t>
      </w:r>
      <w:r w:rsidRPr="00C30126">
        <w:rPr>
          <w:rFonts w:ascii="Arial" w:hAnsi="Arial" w:cs="Arial"/>
          <w:b/>
          <w:bCs/>
          <w:lang w:val="en-US"/>
        </w:rPr>
        <w:t>Supplementary Fig. 4b</w:t>
      </w:r>
      <w:r w:rsidRPr="00C30126">
        <w:rPr>
          <w:rFonts w:ascii="Arial" w:hAnsi="Arial" w:cs="Arial"/>
          <w:lang w:val="en-US"/>
        </w:rPr>
        <w:t xml:space="preserve">). Reversible pH-dependent dimensional changes have </w:t>
      </w:r>
      <w:r w:rsidRPr="00C30126">
        <w:rPr>
          <w:rFonts w:ascii="Arial" w:hAnsi="Arial" w:cs="Arial"/>
          <w:lang w:val="en-US"/>
        </w:rPr>
        <w:lastRenderedPageBreak/>
        <w:t>previously been reported in multiphoton-fabricated BSA hydrogels, although their magnitude depends on photoresist composition, architecture, constraint and the surrounding ionic environment.</w:t>
      </w:r>
      <w:sdt>
        <w:sdtPr>
          <w:rPr>
            <w:rFonts w:ascii="Arial" w:hAnsi="Arial" w:cs="Arial"/>
            <w:vertAlign w:val="superscript"/>
            <w:lang w:val="en-US"/>
          </w:rPr>
          <w:tag w:val="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"/>
          <w:id w:val="89441194"/>
          <w:placeholder>
            <w:docPart w:val="DefaultPlaceholder_-1854013440"/>
          </w:placeholder>
        </w:sdtPr>
        <w:sdtContent>
          <w:r w:rsidR="009C712B" w:rsidRPr="00C30126">
            <w:rPr>
              <w:rFonts w:ascii="Arial" w:hAnsi="Arial" w:cs="Arial"/>
              <w:vertAlign w:val="superscript"/>
              <w:lang w:val="en-US"/>
            </w:rPr>
            <w:t>7–9</w:t>
          </w:r>
        </w:sdtContent>
      </w:sdt>
    </w:p>
    <w:p w14:paraId="6A47251F" w14:textId="66A6AC5A" w:rsidR="00A04C51" w:rsidRPr="00C30126" w:rsidRDefault="00A04C51" w:rsidP="00C30126">
      <w:pPr>
        <w:spacing w:line="360" w:lineRule="auto"/>
        <w:jc w:val="both"/>
        <w:rPr>
          <w:rFonts w:ascii="Arial" w:hAnsi="Arial" w:cs="Arial"/>
          <w:lang w:val="en-US"/>
        </w:rPr>
      </w:pPr>
      <w:r w:rsidRPr="00C30126">
        <w:rPr>
          <w:rFonts w:ascii="Arial" w:hAnsi="Arial" w:cs="Arial"/>
          <w:lang w:val="en-US"/>
        </w:rPr>
        <w:t>The absolute and normalized height measurements similarly showed that the out-of-plane response depended strongly on architecture (</w:t>
      </w:r>
      <w:r w:rsidRPr="00C30126">
        <w:rPr>
          <w:rFonts w:ascii="Arial" w:hAnsi="Arial" w:cs="Arial"/>
          <w:b/>
          <w:bCs/>
          <w:lang w:val="en-US"/>
        </w:rPr>
        <w:t>Supplementary Fig. 4c,d</w:t>
      </w:r>
      <w:r w:rsidRPr="00C30126">
        <w:rPr>
          <w:rFonts w:ascii="Arial" w:hAnsi="Arial" w:cs="Arial"/>
          <w:lang w:val="en-US"/>
        </w:rPr>
        <w:t>). Non-metallized roofed tubular lattices exhibited the largest alkaline expansion but also the most pronounced reduction in actuation range over repeated cycles. The corresponding BSA/CUR</w:t>
      </w:r>
      <w:r w:rsidR="007625A6">
        <w:rPr>
          <w:rFonts w:ascii="Arial" w:hAnsi="Arial" w:cs="Arial"/>
          <w:lang w:val="en-US"/>
        </w:rPr>
        <w:t>-</w:t>
      </w:r>
      <w:r w:rsidRPr="00C30126">
        <w:rPr>
          <w:rFonts w:ascii="Arial" w:hAnsi="Arial" w:cs="Arial"/>
          <w:lang w:val="en-US"/>
        </w:rPr>
        <w:t>Au lattices displayed a substantially smaller deformation amplitude and a shallower cycle-dependent decline. The cubes exhibited smaller vertical changes, emphasizing that network swelling was translated differently by solid and open-lattice architectures.</w:t>
      </w:r>
    </w:p>
    <w:p w14:paraId="4667FF76" w14:textId="151BD466" w:rsidR="00A04C51" w:rsidRPr="00C30126" w:rsidRDefault="00A04C51" w:rsidP="00C30126">
      <w:pPr>
        <w:spacing w:line="360" w:lineRule="auto"/>
        <w:jc w:val="both"/>
        <w:rPr>
          <w:rFonts w:ascii="Arial" w:hAnsi="Arial" w:cs="Arial"/>
          <w:lang w:val="en-US"/>
        </w:rPr>
      </w:pPr>
      <w:r w:rsidRPr="00C30126">
        <w:rPr>
          <w:rFonts w:ascii="Arial" w:hAnsi="Arial" w:cs="Arial"/>
          <w:lang w:val="en-US"/>
        </w:rPr>
        <w:t>Analysis of torus wall thickness separated local strut swelling from the overall change in torus diameter. The BSA/CUR wall thickness increased from approximately 27 µm at pH 7.4 to 49 µm at pH 11.5, whereas the BSA/CUR</w:t>
      </w:r>
      <w:r w:rsidR="007625A6">
        <w:rPr>
          <w:rFonts w:ascii="Arial" w:hAnsi="Arial" w:cs="Arial"/>
          <w:lang w:val="en-US"/>
        </w:rPr>
        <w:t>-</w:t>
      </w:r>
      <w:r w:rsidRPr="00C30126">
        <w:rPr>
          <w:rFonts w:ascii="Arial" w:hAnsi="Arial" w:cs="Arial"/>
          <w:lang w:val="en-US"/>
        </w:rPr>
        <w:t>Au wall thickness increased only from approximately 25 to 27 µm (</w:t>
      </w:r>
      <w:r w:rsidRPr="00C30126">
        <w:rPr>
          <w:rFonts w:ascii="Arial" w:hAnsi="Arial" w:cs="Arial"/>
          <w:b/>
          <w:bCs/>
          <w:lang w:val="en-US"/>
        </w:rPr>
        <w:t>Supplementary Fig. 4e</w:t>
      </w:r>
      <w:r w:rsidRPr="00C30126">
        <w:rPr>
          <w:rFonts w:ascii="Arial" w:hAnsi="Arial" w:cs="Arial"/>
          <w:lang w:val="en-US"/>
        </w:rPr>
        <w:t>). The corresponding pH 11.5-to-pH 7.4 ratios remained distinct across the five cycles, with no clear monotonic cycle-dependent trend in either composition (</w:t>
      </w:r>
      <w:r w:rsidRPr="00C30126">
        <w:rPr>
          <w:rFonts w:ascii="Arial" w:hAnsi="Arial" w:cs="Arial"/>
          <w:b/>
          <w:bCs/>
          <w:lang w:val="en-US"/>
        </w:rPr>
        <w:t>Supplementary Fig. 4f</w:t>
      </w:r>
      <w:r w:rsidRPr="00C30126">
        <w:rPr>
          <w:rFonts w:ascii="Arial" w:hAnsi="Arial" w:cs="Arial"/>
          <w:lang w:val="en-US"/>
        </w:rPr>
        <w:t>). The regression lines are therefore presented as descriptive fits and were not subjected to inferential statistical testing.</w:t>
      </w:r>
    </w:p>
    <w:p w14:paraId="4142FFDA" w14:textId="77777777" w:rsidR="00A04C51" w:rsidRPr="00C30126" w:rsidRDefault="00A04C51" w:rsidP="003F785F">
      <w:pPr>
        <w:keepNext/>
        <w:spacing w:line="360" w:lineRule="auto"/>
        <w:jc w:val="center"/>
        <w:rPr>
          <w:rFonts w:ascii="Arial" w:hAnsi="Arial" w:cs="Arial"/>
        </w:rPr>
      </w:pPr>
      <w:r w:rsidRPr="00C30126">
        <w:rPr>
          <w:rFonts w:ascii="Arial" w:hAnsi="Arial" w:cs="Arial"/>
          <w:noProof/>
          <w:lang w:val="en-US"/>
        </w:rPr>
        <w:lastRenderedPageBreak/>
        <w:drawing>
          <wp:inline distT="0" distB="0" distL="0" distR="0" wp14:anchorId="0A21E88D" wp14:editId="40F1EA96">
            <wp:extent cx="5704609" cy="6475770"/>
            <wp:effectExtent l="0" t="0" r="0" b="1270"/>
            <wp:docPr id="9661406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140610" name="Picture 966140610"/>
                    <pic:cNvPicPr/>
                  </pic:nvPicPr>
                  <pic:blipFill rotWithShape="1">
                    <a:blip r:embed="rId11" cstate="print">
                      <a:extLst>
                        <a:ext uri="{28A0092B-C50C-407E-A947-70E740481C1C}">
                          <a14:useLocalDpi xmlns:a14="http://schemas.microsoft.com/office/drawing/2010/main" val="0"/>
                        </a:ext>
                      </a:extLst>
                    </a:blip>
                    <a:srcRect l="1265" t="2861" r="3834" b="2330"/>
                    <a:stretch>
                      <a:fillRect/>
                    </a:stretch>
                  </pic:blipFill>
                  <pic:spPr bwMode="auto">
                    <a:xfrm>
                      <a:off x="0" y="0"/>
                      <a:ext cx="5717937" cy="6490900"/>
                    </a:xfrm>
                    <a:prstGeom prst="rect">
                      <a:avLst/>
                    </a:prstGeom>
                    <a:ln>
                      <a:noFill/>
                    </a:ln>
                    <a:extLst>
                      <a:ext uri="{53640926-AAD7-44D8-BBD7-CCE9431645EC}">
                        <a14:shadowObscured xmlns:a14="http://schemas.microsoft.com/office/drawing/2010/main"/>
                      </a:ext>
                    </a:extLst>
                  </pic:spPr>
                </pic:pic>
              </a:graphicData>
            </a:graphic>
          </wp:inline>
        </w:drawing>
      </w:r>
    </w:p>
    <w:p w14:paraId="1EFB06C6" w14:textId="2B75F887" w:rsidR="00A04C51" w:rsidRPr="00C30126" w:rsidRDefault="00A04C51" w:rsidP="00C30126">
      <w:pPr>
        <w:pStyle w:val="Caption"/>
        <w:jc w:val="both"/>
        <w:rPr>
          <w:rFonts w:ascii="Arial" w:hAnsi="Arial" w:cs="Arial"/>
          <w:i w:val="0"/>
          <w:iCs w:val="0"/>
          <w:color w:val="auto"/>
          <w:sz w:val="16"/>
          <w:szCs w:val="16"/>
          <w:lang w:val="en-US"/>
        </w:rPr>
      </w:pPr>
      <w:r w:rsidRPr="00C30126">
        <w:rPr>
          <w:rFonts w:ascii="Arial" w:hAnsi="Arial" w:cs="Arial"/>
          <w:b/>
          <w:bCs/>
          <w:i w:val="0"/>
          <w:iCs w:val="0"/>
          <w:color w:val="auto"/>
          <w:sz w:val="16"/>
          <w:szCs w:val="16"/>
          <w:lang w:val="en-US"/>
        </w:rPr>
        <w:t xml:space="preserve">Supplementary Fig. </w:t>
      </w:r>
      <w:r w:rsidRPr="00C30126">
        <w:rPr>
          <w:rFonts w:ascii="Arial" w:hAnsi="Arial" w:cs="Arial"/>
          <w:b/>
          <w:bCs/>
          <w:i w:val="0"/>
          <w:iCs w:val="0"/>
          <w:color w:val="auto"/>
          <w:sz w:val="16"/>
          <w:szCs w:val="16"/>
        </w:rPr>
        <w:fldChar w:fldCharType="begin"/>
      </w:r>
      <w:r w:rsidRPr="00C30126">
        <w:rPr>
          <w:rFonts w:ascii="Arial" w:hAnsi="Arial" w:cs="Arial"/>
          <w:b/>
          <w:bCs/>
          <w:i w:val="0"/>
          <w:iCs w:val="0"/>
          <w:color w:val="auto"/>
          <w:sz w:val="16"/>
          <w:szCs w:val="16"/>
          <w:lang w:val="en-US"/>
        </w:rPr>
        <w:instrText xml:space="preserve"> SEQ Supplementary_Fig. \* ARABIC </w:instrText>
      </w:r>
      <w:r w:rsidRPr="00C30126">
        <w:rPr>
          <w:rFonts w:ascii="Arial" w:hAnsi="Arial" w:cs="Arial"/>
          <w:b/>
          <w:bCs/>
          <w:i w:val="0"/>
          <w:iCs w:val="0"/>
          <w:color w:val="auto"/>
          <w:sz w:val="16"/>
          <w:szCs w:val="16"/>
        </w:rPr>
        <w:fldChar w:fldCharType="separate"/>
      </w:r>
      <w:r w:rsidR="006333AB" w:rsidRPr="00C30126">
        <w:rPr>
          <w:rFonts w:ascii="Arial" w:hAnsi="Arial" w:cs="Arial"/>
          <w:b/>
          <w:bCs/>
          <w:i w:val="0"/>
          <w:iCs w:val="0"/>
          <w:noProof/>
          <w:color w:val="auto"/>
          <w:sz w:val="16"/>
          <w:szCs w:val="16"/>
          <w:lang w:val="en-US"/>
        </w:rPr>
        <w:t>4</w:t>
      </w:r>
      <w:r w:rsidRPr="00C30126">
        <w:rPr>
          <w:rFonts w:ascii="Arial" w:hAnsi="Arial" w:cs="Arial"/>
          <w:b/>
          <w:bCs/>
          <w:i w:val="0"/>
          <w:iCs w:val="0"/>
          <w:color w:val="auto"/>
          <w:sz w:val="16"/>
          <w:szCs w:val="16"/>
        </w:rPr>
        <w:fldChar w:fldCharType="end"/>
      </w:r>
      <w:r w:rsidRPr="00C30126">
        <w:rPr>
          <w:rFonts w:ascii="Arial" w:hAnsi="Arial" w:cs="Arial"/>
          <w:b/>
          <w:bCs/>
          <w:i w:val="0"/>
          <w:iCs w:val="0"/>
          <w:color w:val="auto"/>
          <w:sz w:val="16"/>
          <w:szCs w:val="16"/>
          <w:lang w:val="en-US"/>
        </w:rPr>
        <w:t>: Complete lateral and vertical pH-response datasets.</w:t>
      </w:r>
      <w:r w:rsidRPr="00C30126">
        <w:rPr>
          <w:rFonts w:ascii="Arial" w:hAnsi="Arial" w:cs="Arial"/>
          <w:i w:val="0"/>
          <w:iCs w:val="0"/>
          <w:color w:val="auto"/>
          <w:sz w:val="16"/>
          <w:szCs w:val="16"/>
          <w:lang w:val="en-US"/>
        </w:rPr>
        <w:t xml:space="preserve"> </w:t>
      </w:r>
      <w:r w:rsidRPr="00C30126">
        <w:rPr>
          <w:rFonts w:ascii="Arial" w:hAnsi="Arial" w:cs="Arial"/>
          <w:b/>
          <w:bCs/>
          <w:i w:val="0"/>
          <w:iCs w:val="0"/>
          <w:color w:val="auto"/>
          <w:sz w:val="16"/>
          <w:szCs w:val="16"/>
          <w:lang w:val="en-US"/>
        </w:rPr>
        <w:t>a,</w:t>
      </w:r>
      <w:r w:rsidRPr="00C30126">
        <w:rPr>
          <w:rFonts w:ascii="Arial" w:hAnsi="Arial" w:cs="Arial"/>
          <w:i w:val="0"/>
          <w:iCs w:val="0"/>
          <w:color w:val="auto"/>
          <w:sz w:val="16"/>
          <w:szCs w:val="16"/>
          <w:lang w:val="en-US"/>
        </w:rPr>
        <w:t xml:space="preserve"> Absolute XY dimensions of BSA/CUR and BSA/CUR–Au cubes and tori throughout five pH cycles. </w:t>
      </w:r>
      <w:r w:rsidRPr="00C30126">
        <w:rPr>
          <w:rFonts w:ascii="Arial" w:hAnsi="Arial" w:cs="Arial"/>
          <w:b/>
          <w:bCs/>
          <w:i w:val="0"/>
          <w:iCs w:val="0"/>
          <w:color w:val="auto"/>
          <w:sz w:val="16"/>
          <w:szCs w:val="16"/>
          <w:lang w:val="en-US"/>
        </w:rPr>
        <w:t>b,</w:t>
      </w:r>
      <w:r w:rsidRPr="00C30126">
        <w:rPr>
          <w:rFonts w:ascii="Arial" w:hAnsi="Arial" w:cs="Arial"/>
          <w:i w:val="0"/>
          <w:iCs w:val="0"/>
          <w:color w:val="auto"/>
          <w:sz w:val="16"/>
          <w:szCs w:val="16"/>
          <w:lang w:val="en-US"/>
        </w:rPr>
        <w:t xml:space="preserve"> Corresponding normalized lateral dimensions, expressed relative to the intermediate pH 7.4 measurement within each cycle. </w:t>
      </w:r>
      <w:r w:rsidRPr="00C30126">
        <w:rPr>
          <w:rFonts w:ascii="Arial" w:hAnsi="Arial" w:cs="Arial"/>
          <w:b/>
          <w:bCs/>
          <w:i w:val="0"/>
          <w:iCs w:val="0"/>
          <w:color w:val="auto"/>
          <w:sz w:val="16"/>
          <w:szCs w:val="16"/>
          <w:lang w:val="en-US"/>
        </w:rPr>
        <w:t>c,</w:t>
      </w:r>
      <w:r w:rsidRPr="00C30126">
        <w:rPr>
          <w:rFonts w:ascii="Arial" w:hAnsi="Arial" w:cs="Arial"/>
          <w:i w:val="0"/>
          <w:iCs w:val="0"/>
          <w:color w:val="auto"/>
          <w:sz w:val="16"/>
          <w:szCs w:val="16"/>
          <w:lang w:val="en-US"/>
        </w:rPr>
        <w:t xml:space="preserve"> Absolute Z dimensions of BSA/CUR and BSA/CUR–Au cubes and roofed tubular lattices throughout five cycles. </w:t>
      </w:r>
      <w:r w:rsidRPr="00C30126">
        <w:rPr>
          <w:rFonts w:ascii="Arial" w:hAnsi="Arial" w:cs="Arial"/>
          <w:b/>
          <w:bCs/>
          <w:i w:val="0"/>
          <w:iCs w:val="0"/>
          <w:color w:val="auto"/>
          <w:sz w:val="16"/>
          <w:szCs w:val="16"/>
          <w:lang w:val="en-US"/>
        </w:rPr>
        <w:t>d,</w:t>
      </w:r>
      <w:r w:rsidRPr="00C30126">
        <w:rPr>
          <w:rFonts w:ascii="Arial" w:hAnsi="Arial" w:cs="Arial"/>
          <w:i w:val="0"/>
          <w:iCs w:val="0"/>
          <w:color w:val="auto"/>
          <w:sz w:val="16"/>
          <w:szCs w:val="16"/>
          <w:lang w:val="en-US"/>
        </w:rPr>
        <w:t xml:space="preserve"> Corresponding normalized vertical dimensions. </w:t>
      </w:r>
      <w:r w:rsidRPr="00C30126">
        <w:rPr>
          <w:rFonts w:ascii="Arial" w:hAnsi="Arial" w:cs="Arial"/>
          <w:b/>
          <w:bCs/>
          <w:i w:val="0"/>
          <w:iCs w:val="0"/>
          <w:color w:val="auto"/>
          <w:sz w:val="16"/>
          <w:szCs w:val="16"/>
          <w:lang w:val="en-US"/>
        </w:rPr>
        <w:t>e,</w:t>
      </w:r>
      <w:r w:rsidRPr="00C30126">
        <w:rPr>
          <w:rFonts w:ascii="Arial" w:hAnsi="Arial" w:cs="Arial"/>
          <w:i w:val="0"/>
          <w:iCs w:val="0"/>
          <w:color w:val="auto"/>
          <w:sz w:val="16"/>
          <w:szCs w:val="16"/>
          <w:lang w:val="en-US"/>
        </w:rPr>
        <w:t xml:space="preserve"> Torus wall thickness,</w:t>
      </w:r>
      <w:r w:rsidR="007625A6">
        <w:rPr>
          <w:rFonts w:ascii="Arial" w:hAnsi="Arial" w:cs="Arial"/>
          <w:i w:val="0"/>
          <w:iCs w:val="0"/>
          <w:color w:val="auto"/>
          <w:sz w:val="16"/>
          <w:szCs w:val="16"/>
          <w:lang w:val="en-US"/>
        </w:rPr>
        <w:t xml:space="preserve"> </w:t>
      </w:r>
      <m:oMath>
        <m:sSub>
          <m:sSubPr>
            <m:ctrlPr>
              <w:rPr>
                <w:rFonts w:ascii="Cambria Math" w:hAnsi="Cambria Math" w:cs="Arial"/>
                <w:color w:val="auto"/>
                <w:sz w:val="16"/>
                <w:szCs w:val="16"/>
              </w:rPr>
            </m:ctrlPr>
          </m:sSubPr>
          <m:e>
            <m:r>
              <w:rPr>
                <w:rFonts w:ascii="Cambria Math" w:hAnsi="Cambria Math" w:cs="Arial"/>
                <w:color w:val="auto"/>
                <w:sz w:val="16"/>
                <w:szCs w:val="16"/>
              </w:rPr>
              <m:t>t</m:t>
            </m:r>
          </m:e>
          <m:sub>
            <m:r>
              <w:rPr>
                <w:rFonts w:ascii="Cambria Math" w:hAnsi="Cambria Math" w:cs="Arial"/>
                <w:color w:val="auto"/>
                <w:sz w:val="16"/>
                <w:szCs w:val="16"/>
                <w:lang w:val="en-US"/>
              </w:rPr>
              <m:t>wall</m:t>
            </m:r>
          </m:sub>
        </m:sSub>
        <m:r>
          <w:rPr>
            <w:rFonts w:ascii="Cambria Math" w:hAnsi="Cambria Math" w:cs="Arial"/>
            <w:color w:val="auto"/>
            <w:sz w:val="16"/>
            <w:szCs w:val="16"/>
            <w:lang w:val="en-US"/>
          </w:rPr>
          <m:t>=(</m:t>
        </m:r>
        <m:sSub>
          <m:sSubPr>
            <m:ctrlPr>
              <w:rPr>
                <w:rFonts w:ascii="Cambria Math" w:hAnsi="Cambria Math" w:cs="Arial"/>
                <w:color w:val="auto"/>
                <w:sz w:val="16"/>
                <w:szCs w:val="16"/>
              </w:rPr>
            </m:ctrlPr>
          </m:sSubPr>
          <m:e>
            <m:r>
              <w:rPr>
                <w:rFonts w:ascii="Cambria Math" w:hAnsi="Cambria Math" w:cs="Arial"/>
                <w:color w:val="auto"/>
                <w:sz w:val="16"/>
                <w:szCs w:val="16"/>
              </w:rPr>
              <m:t>D</m:t>
            </m:r>
          </m:e>
          <m:sub>
            <m:r>
              <w:rPr>
                <w:rFonts w:ascii="Cambria Math" w:hAnsi="Cambria Math" w:cs="Arial"/>
                <w:color w:val="auto"/>
                <w:sz w:val="16"/>
                <w:szCs w:val="16"/>
              </w:rPr>
              <m:t>o</m:t>
            </m:r>
            <m:r>
              <w:rPr>
                <w:rFonts w:ascii="Cambria Math" w:hAnsi="Cambria Math" w:cs="Arial"/>
                <w:color w:val="auto"/>
                <w:sz w:val="16"/>
                <w:szCs w:val="16"/>
                <w:lang w:val="en-US"/>
              </w:rPr>
              <m:t>ut</m:t>
            </m:r>
          </m:sub>
        </m:sSub>
      </m:oMath>
      <w:r w:rsidR="00BC1C33">
        <w:rPr>
          <w:rFonts w:ascii="Arial" w:hAnsi="Arial" w:cs="Arial"/>
          <w:i w:val="0"/>
          <w:color w:val="auto"/>
          <w:sz w:val="16"/>
          <w:szCs w:val="16"/>
          <w:lang w:val="en-US"/>
        </w:rPr>
        <w:t>-</w:t>
      </w:r>
      <w:r w:rsidR="007625A6">
        <w:rPr>
          <w:rFonts w:ascii="Arial" w:hAnsi="Arial" w:cs="Arial"/>
          <w:i w:val="0"/>
          <w:iCs w:val="0"/>
          <w:color w:val="auto"/>
          <w:sz w:val="16"/>
          <w:szCs w:val="16"/>
          <w:lang w:val="en-US"/>
        </w:rPr>
        <w:t xml:space="preserve"> </w:t>
      </w:r>
      <m:oMath>
        <m:sSub>
          <m:sSubPr>
            <m:ctrlPr>
              <w:rPr>
                <w:rFonts w:ascii="Cambria Math" w:hAnsi="Cambria Math" w:cs="Arial"/>
                <w:color w:val="auto"/>
                <w:sz w:val="16"/>
                <w:szCs w:val="16"/>
              </w:rPr>
            </m:ctrlPr>
          </m:sSubPr>
          <m:e>
            <m:r>
              <w:rPr>
                <w:rFonts w:ascii="Cambria Math" w:hAnsi="Cambria Math" w:cs="Arial"/>
                <w:color w:val="auto"/>
                <w:sz w:val="16"/>
                <w:szCs w:val="16"/>
              </w:rPr>
              <m:t>D</m:t>
            </m:r>
          </m:e>
          <m:sub>
            <m:r>
              <w:rPr>
                <w:rFonts w:ascii="Cambria Math" w:hAnsi="Cambria Math" w:cs="Arial"/>
                <w:color w:val="auto"/>
                <w:sz w:val="16"/>
                <w:szCs w:val="16"/>
              </w:rPr>
              <m:t>i</m:t>
            </m:r>
            <m:r>
              <w:rPr>
                <w:rFonts w:ascii="Cambria Math" w:hAnsi="Cambria Math" w:cs="Arial"/>
                <w:color w:val="auto"/>
                <w:sz w:val="16"/>
                <w:szCs w:val="16"/>
                <w:lang w:val="en-US"/>
              </w:rPr>
              <m:t>n</m:t>
            </m:r>
          </m:sub>
        </m:sSub>
      </m:oMath>
      <w:r w:rsidR="00BC1C33">
        <w:rPr>
          <w:rFonts w:ascii="Arial" w:hAnsi="Arial" w:cs="Arial"/>
          <w:i w:val="0"/>
          <w:iCs w:val="0"/>
          <w:color w:val="auto"/>
          <w:sz w:val="16"/>
          <w:szCs w:val="16"/>
          <w:lang w:val="en-US"/>
        </w:rPr>
        <w:t xml:space="preserve">)/2, </w:t>
      </w:r>
      <w:r w:rsidRPr="00C30126">
        <w:rPr>
          <w:rFonts w:ascii="Arial" w:hAnsi="Arial" w:cs="Arial"/>
          <w:i w:val="0"/>
          <w:iCs w:val="0"/>
          <w:color w:val="auto"/>
          <w:sz w:val="16"/>
          <w:szCs w:val="16"/>
          <w:lang w:val="en-US"/>
        </w:rPr>
        <w:t xml:space="preserve">as a function of </w:t>
      </w:r>
      <w:proofErr w:type="spellStart"/>
      <w:r w:rsidRPr="00C30126">
        <w:rPr>
          <w:rFonts w:ascii="Arial" w:hAnsi="Arial" w:cs="Arial"/>
          <w:i w:val="0"/>
          <w:iCs w:val="0"/>
          <w:color w:val="auto"/>
          <w:sz w:val="16"/>
          <w:szCs w:val="16"/>
          <w:lang w:val="en-US"/>
        </w:rPr>
        <w:t>pH.</w:t>
      </w:r>
      <w:proofErr w:type="spellEnd"/>
      <w:r w:rsidRPr="00C30126">
        <w:rPr>
          <w:rFonts w:ascii="Arial" w:hAnsi="Arial" w:cs="Arial"/>
          <w:i w:val="0"/>
          <w:iCs w:val="0"/>
          <w:color w:val="auto"/>
          <w:sz w:val="16"/>
          <w:szCs w:val="16"/>
          <w:lang w:val="en-US"/>
        </w:rPr>
        <w:t xml:space="preserve"> </w:t>
      </w:r>
      <w:r w:rsidRPr="00C30126">
        <w:rPr>
          <w:rFonts w:ascii="Arial" w:hAnsi="Arial" w:cs="Arial"/>
          <w:b/>
          <w:bCs/>
          <w:i w:val="0"/>
          <w:iCs w:val="0"/>
          <w:color w:val="auto"/>
          <w:sz w:val="16"/>
          <w:szCs w:val="16"/>
          <w:lang w:val="en-US"/>
        </w:rPr>
        <w:t>f,</w:t>
      </w:r>
      <w:r w:rsidRPr="00C30126">
        <w:rPr>
          <w:rFonts w:ascii="Arial" w:hAnsi="Arial" w:cs="Arial"/>
          <w:i w:val="0"/>
          <w:iCs w:val="0"/>
          <w:color w:val="auto"/>
          <w:sz w:val="16"/>
          <w:szCs w:val="16"/>
          <w:lang w:val="en-US"/>
        </w:rPr>
        <w:t xml:space="preserve"> Wall-thickness ratio </w:t>
      </w:r>
      <m:oMath>
        <m:sSub>
          <m:sSubPr>
            <m:ctrlPr>
              <w:rPr>
                <w:rFonts w:ascii="Cambria Math" w:hAnsi="Cambria Math" w:cs="Arial"/>
                <w:color w:val="auto"/>
                <w:sz w:val="16"/>
                <w:szCs w:val="16"/>
              </w:rPr>
            </m:ctrlPr>
          </m:sSubPr>
          <m:e>
            <m:r>
              <w:rPr>
                <w:rFonts w:ascii="Cambria Math" w:hAnsi="Cambria Math" w:cs="Arial"/>
                <w:color w:val="auto"/>
                <w:sz w:val="16"/>
                <w:szCs w:val="16"/>
              </w:rPr>
              <m:t>t</m:t>
            </m:r>
          </m:e>
          <m:sub>
            <m:r>
              <w:rPr>
                <w:rFonts w:ascii="Cambria Math" w:hAnsi="Cambria Math" w:cs="Arial"/>
                <w:color w:val="auto"/>
                <w:sz w:val="16"/>
                <w:szCs w:val="16"/>
                <w:lang w:val="en-US"/>
              </w:rPr>
              <m:t>wall</m:t>
            </m:r>
          </m:sub>
        </m:sSub>
        <m:d>
          <m:dPr>
            <m:ctrlPr>
              <w:rPr>
                <w:rFonts w:ascii="Cambria Math" w:hAnsi="Cambria Math" w:cs="Arial"/>
                <w:color w:val="auto"/>
                <w:sz w:val="16"/>
                <w:szCs w:val="16"/>
              </w:rPr>
            </m:ctrlPr>
          </m:dPr>
          <m:e>
            <m:r>
              <w:rPr>
                <w:rFonts w:ascii="Cambria Math" w:hAnsi="Cambria Math" w:cs="Arial"/>
                <w:color w:val="auto"/>
                <w:sz w:val="16"/>
                <w:szCs w:val="16"/>
                <w:lang w:val="en-US"/>
              </w:rPr>
              <m:t>pH 11.5</m:t>
            </m:r>
          </m:e>
        </m:d>
        <m:r>
          <w:rPr>
            <w:rFonts w:ascii="Cambria Math" w:hAnsi="Cambria Math" w:cs="Arial"/>
            <w:color w:val="auto"/>
            <w:sz w:val="16"/>
            <w:szCs w:val="16"/>
            <w:lang w:val="en-US"/>
          </w:rPr>
          <m:t>/</m:t>
        </m:r>
        <m:sSub>
          <m:sSubPr>
            <m:ctrlPr>
              <w:rPr>
                <w:rFonts w:ascii="Cambria Math" w:hAnsi="Cambria Math" w:cs="Arial"/>
                <w:color w:val="auto"/>
                <w:sz w:val="16"/>
                <w:szCs w:val="16"/>
              </w:rPr>
            </m:ctrlPr>
          </m:sSubPr>
          <m:e>
            <m:r>
              <w:rPr>
                <w:rFonts w:ascii="Cambria Math" w:hAnsi="Cambria Math" w:cs="Arial"/>
                <w:color w:val="auto"/>
                <w:sz w:val="16"/>
                <w:szCs w:val="16"/>
              </w:rPr>
              <m:t>t</m:t>
            </m:r>
          </m:e>
          <m:sub>
            <m:r>
              <w:rPr>
                <w:rFonts w:ascii="Cambria Math" w:hAnsi="Cambria Math" w:cs="Arial"/>
                <w:color w:val="auto"/>
                <w:sz w:val="16"/>
                <w:szCs w:val="16"/>
                <w:lang w:val="en-US"/>
              </w:rPr>
              <m:t>wall</m:t>
            </m:r>
          </m:sub>
        </m:sSub>
        <m:d>
          <m:dPr>
            <m:ctrlPr>
              <w:rPr>
                <w:rFonts w:ascii="Cambria Math" w:hAnsi="Cambria Math" w:cs="Arial"/>
                <w:color w:val="auto"/>
                <w:sz w:val="16"/>
                <w:szCs w:val="16"/>
              </w:rPr>
            </m:ctrlPr>
          </m:dPr>
          <m:e>
            <m:r>
              <w:rPr>
                <w:rFonts w:ascii="Cambria Math" w:hAnsi="Cambria Math" w:cs="Arial"/>
                <w:color w:val="auto"/>
                <w:sz w:val="16"/>
                <w:szCs w:val="16"/>
                <w:lang w:val="en-US"/>
              </w:rPr>
              <m:t>pH 7.4</m:t>
            </m:r>
          </m:e>
        </m:d>
        <m:r>
          <w:rPr>
            <w:rFonts w:ascii="Cambria Math" w:hAnsi="Arial" w:cs="Arial"/>
            <w:color w:val="auto"/>
            <w:sz w:val="16"/>
            <w:szCs w:val="16"/>
            <w:lang w:val="en-US"/>
          </w:rPr>
          <m:t xml:space="preserve"> </m:t>
        </m:r>
      </m:oMath>
      <w:r w:rsidRPr="00C30126">
        <w:rPr>
          <w:rFonts w:ascii="Arial" w:hAnsi="Arial" w:cs="Arial"/>
          <w:i w:val="0"/>
          <w:iCs w:val="0"/>
          <w:color w:val="auto"/>
          <w:sz w:val="16"/>
          <w:szCs w:val="16"/>
          <w:lang w:val="en-US"/>
        </w:rPr>
        <w:t>over five cycles; red lines are descriptive linear fits. Data are mean ± s.d. from (n=3) independently fabricated structures per material and geometry; the same structures were followed throughout all five cycles.</w:t>
      </w:r>
    </w:p>
    <w:p w14:paraId="4BA91245" w14:textId="77777777" w:rsidR="00A04C51" w:rsidRPr="00C30126" w:rsidRDefault="00A04C51" w:rsidP="003B2864">
      <w:pPr>
        <w:pStyle w:val="Heading1"/>
        <w:spacing w:line="360" w:lineRule="auto"/>
        <w:jc w:val="both"/>
        <w:rPr>
          <w:rFonts w:ascii="Arial" w:hAnsi="Arial" w:cs="Arial"/>
          <w:b/>
          <w:bCs/>
          <w:color w:val="auto"/>
          <w:sz w:val="22"/>
          <w:szCs w:val="22"/>
          <w:lang w:val="en-US"/>
        </w:rPr>
      </w:pPr>
      <w:bookmarkStart w:id="4" w:name="_Toc238807065"/>
      <w:r w:rsidRPr="00C30126">
        <w:rPr>
          <w:rFonts w:ascii="Arial" w:hAnsi="Arial" w:cs="Arial"/>
          <w:b/>
          <w:bCs/>
          <w:color w:val="auto"/>
          <w:sz w:val="22"/>
          <w:szCs w:val="22"/>
          <w:lang w:val="en-US"/>
        </w:rPr>
        <w:t>Morphological verification of the response architectures</w:t>
      </w:r>
      <w:bookmarkEnd w:id="4"/>
    </w:p>
    <w:p w14:paraId="302EC519" w14:textId="105D160C" w:rsidR="00A04C51" w:rsidRPr="00C30126" w:rsidRDefault="00A04C51" w:rsidP="003B2864">
      <w:pPr>
        <w:spacing w:line="360" w:lineRule="auto"/>
        <w:jc w:val="both"/>
        <w:rPr>
          <w:rFonts w:ascii="Arial" w:hAnsi="Arial" w:cs="Arial"/>
          <w:lang w:val="en-US"/>
        </w:rPr>
      </w:pPr>
      <w:r w:rsidRPr="00C30126">
        <w:rPr>
          <w:rFonts w:ascii="Arial" w:hAnsi="Arial" w:cs="Arial"/>
          <w:lang w:val="en-US"/>
        </w:rPr>
        <w:t>SEM imaging confirmed the dry-state morphology of the BSA/CUR</w:t>
      </w:r>
      <w:r w:rsidR="00BC1C33">
        <w:rPr>
          <w:rFonts w:ascii="Arial" w:hAnsi="Arial" w:cs="Arial"/>
          <w:lang w:val="en-US"/>
        </w:rPr>
        <w:t>-</w:t>
      </w:r>
      <w:r w:rsidRPr="00C30126">
        <w:rPr>
          <w:rFonts w:ascii="Arial" w:hAnsi="Arial" w:cs="Arial"/>
          <w:lang w:val="en-US"/>
        </w:rPr>
        <w:t>Au architectures used for the vertical-response and compression experiments (</w:t>
      </w:r>
      <w:r w:rsidRPr="00C30126">
        <w:rPr>
          <w:rFonts w:ascii="Arial" w:hAnsi="Arial" w:cs="Arial"/>
          <w:b/>
          <w:bCs/>
          <w:lang w:val="en-US"/>
        </w:rPr>
        <w:t>Supplementary Fig. 5a</w:t>
      </w:r>
      <w:r w:rsidRPr="00C30126">
        <w:rPr>
          <w:rFonts w:ascii="Arial" w:hAnsi="Arial" w:cs="Arial"/>
          <w:lang w:val="en-US"/>
        </w:rPr>
        <w:t xml:space="preserve">). The roofed tubular lattice contained diagonally interconnected walls supporting a continuous upper plate, which provided a defined surface for optical height measurements and subsequent contact </w:t>
      </w:r>
      <w:r w:rsidRPr="00C30126">
        <w:rPr>
          <w:rFonts w:ascii="Arial" w:hAnsi="Arial" w:cs="Arial"/>
          <w:lang w:val="en-US"/>
        </w:rPr>
        <w:lastRenderedPageBreak/>
        <w:t xml:space="preserve">with the compression platen. SEM images of the spiral architecture used for qualitative visualization of pH-driven deformation are shown in </w:t>
      </w:r>
      <w:r w:rsidRPr="00C30126">
        <w:rPr>
          <w:rFonts w:ascii="Arial" w:hAnsi="Arial" w:cs="Arial"/>
          <w:b/>
          <w:bCs/>
          <w:lang w:val="en-US"/>
        </w:rPr>
        <w:t>Supplementary Fig. 5b</w:t>
      </w:r>
      <w:r w:rsidRPr="00C30126">
        <w:rPr>
          <w:rFonts w:ascii="Arial" w:hAnsi="Arial" w:cs="Arial"/>
          <w:lang w:val="en-US"/>
        </w:rPr>
        <w:t>. All structures received two immersion</w:t>
      </w:r>
      <w:r w:rsidR="00BC1C33">
        <w:rPr>
          <w:rFonts w:ascii="Arial" w:hAnsi="Arial" w:cs="Arial"/>
          <w:lang w:val="en-US"/>
        </w:rPr>
        <w:t>-</w:t>
      </w:r>
      <w:r w:rsidRPr="00C30126">
        <w:rPr>
          <w:rFonts w:ascii="Arial" w:hAnsi="Arial" w:cs="Arial"/>
          <w:lang w:val="en-US"/>
        </w:rPr>
        <w:t>precipitation cycles and were additionally sputter-coated with gold for SEM imaging; these micrographs are therefore used only to document architecture and not to determine elemental composition.</w:t>
      </w:r>
    </w:p>
    <w:p w14:paraId="2A189173" w14:textId="77777777" w:rsidR="00A04C51" w:rsidRPr="00C30126" w:rsidRDefault="00A04C51" w:rsidP="003F785F">
      <w:pPr>
        <w:keepNext/>
        <w:spacing w:line="360" w:lineRule="auto"/>
        <w:jc w:val="center"/>
        <w:rPr>
          <w:rFonts w:ascii="Arial" w:hAnsi="Arial" w:cs="Arial"/>
        </w:rPr>
      </w:pPr>
      <w:r w:rsidRPr="00C30126">
        <w:rPr>
          <w:rFonts w:ascii="Arial" w:hAnsi="Arial" w:cs="Arial"/>
          <w:noProof/>
          <w:lang w:val="en-US"/>
        </w:rPr>
        <w:drawing>
          <wp:inline distT="0" distB="0" distL="0" distR="0" wp14:anchorId="09CDD2DC" wp14:editId="787523F8">
            <wp:extent cx="5766608" cy="2182091"/>
            <wp:effectExtent l="0" t="0" r="5715" b="8890"/>
            <wp:docPr id="973401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40123" name="Picture 9734012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75795" cy="2185567"/>
                    </a:xfrm>
                    <a:prstGeom prst="rect">
                      <a:avLst/>
                    </a:prstGeom>
                  </pic:spPr>
                </pic:pic>
              </a:graphicData>
            </a:graphic>
          </wp:inline>
        </w:drawing>
      </w:r>
    </w:p>
    <w:p w14:paraId="5A1666C8" w14:textId="1E5DC162" w:rsidR="00A04C51" w:rsidRPr="00C30126" w:rsidRDefault="00A04C51" w:rsidP="00C30126">
      <w:pPr>
        <w:pStyle w:val="Caption"/>
        <w:jc w:val="both"/>
        <w:rPr>
          <w:rFonts w:ascii="Arial" w:hAnsi="Arial" w:cs="Arial"/>
          <w:i w:val="0"/>
          <w:iCs w:val="0"/>
          <w:color w:val="auto"/>
          <w:sz w:val="16"/>
          <w:szCs w:val="16"/>
          <w:lang w:val="en-US"/>
        </w:rPr>
      </w:pPr>
      <w:r w:rsidRPr="00C30126">
        <w:rPr>
          <w:rFonts w:ascii="Arial" w:hAnsi="Arial" w:cs="Arial"/>
          <w:b/>
          <w:bCs/>
          <w:i w:val="0"/>
          <w:iCs w:val="0"/>
          <w:color w:val="auto"/>
          <w:sz w:val="16"/>
          <w:szCs w:val="16"/>
          <w:lang w:val="en-US"/>
        </w:rPr>
        <w:t xml:space="preserve">Supplementary Fig. </w:t>
      </w:r>
      <w:r w:rsidRPr="00C30126">
        <w:rPr>
          <w:rFonts w:ascii="Arial" w:hAnsi="Arial" w:cs="Arial"/>
          <w:b/>
          <w:bCs/>
          <w:i w:val="0"/>
          <w:iCs w:val="0"/>
          <w:color w:val="auto"/>
          <w:sz w:val="16"/>
          <w:szCs w:val="16"/>
        </w:rPr>
        <w:fldChar w:fldCharType="begin"/>
      </w:r>
      <w:r w:rsidRPr="00C30126">
        <w:rPr>
          <w:rFonts w:ascii="Arial" w:hAnsi="Arial" w:cs="Arial"/>
          <w:b/>
          <w:bCs/>
          <w:i w:val="0"/>
          <w:iCs w:val="0"/>
          <w:color w:val="auto"/>
          <w:sz w:val="16"/>
          <w:szCs w:val="16"/>
          <w:lang w:val="en-US"/>
        </w:rPr>
        <w:instrText xml:space="preserve"> SEQ Supplementary_Fig. \* ARABIC </w:instrText>
      </w:r>
      <w:r w:rsidRPr="00C30126">
        <w:rPr>
          <w:rFonts w:ascii="Arial" w:hAnsi="Arial" w:cs="Arial"/>
          <w:b/>
          <w:bCs/>
          <w:i w:val="0"/>
          <w:iCs w:val="0"/>
          <w:color w:val="auto"/>
          <w:sz w:val="16"/>
          <w:szCs w:val="16"/>
        </w:rPr>
        <w:fldChar w:fldCharType="separate"/>
      </w:r>
      <w:r w:rsidR="006333AB" w:rsidRPr="00C30126">
        <w:rPr>
          <w:rFonts w:ascii="Arial" w:hAnsi="Arial" w:cs="Arial"/>
          <w:b/>
          <w:bCs/>
          <w:i w:val="0"/>
          <w:iCs w:val="0"/>
          <w:noProof/>
          <w:color w:val="auto"/>
          <w:sz w:val="16"/>
          <w:szCs w:val="16"/>
          <w:lang w:val="en-US"/>
        </w:rPr>
        <w:t>5</w:t>
      </w:r>
      <w:r w:rsidRPr="00C30126">
        <w:rPr>
          <w:rFonts w:ascii="Arial" w:hAnsi="Arial" w:cs="Arial"/>
          <w:b/>
          <w:bCs/>
          <w:i w:val="0"/>
          <w:iCs w:val="0"/>
          <w:color w:val="auto"/>
          <w:sz w:val="16"/>
          <w:szCs w:val="16"/>
        </w:rPr>
        <w:fldChar w:fldCharType="end"/>
      </w:r>
      <w:r w:rsidRPr="00C30126">
        <w:rPr>
          <w:rFonts w:ascii="Arial" w:hAnsi="Arial" w:cs="Arial"/>
          <w:b/>
          <w:bCs/>
          <w:i w:val="0"/>
          <w:iCs w:val="0"/>
          <w:color w:val="auto"/>
          <w:sz w:val="16"/>
          <w:szCs w:val="16"/>
          <w:lang w:val="en-US"/>
        </w:rPr>
        <w:t>:</w:t>
      </w:r>
      <w:r w:rsidRPr="00C30126">
        <w:rPr>
          <w:rFonts w:ascii="Arial" w:hAnsi="Arial" w:cs="Arial"/>
          <w:i w:val="0"/>
          <w:iCs w:val="0"/>
          <w:color w:val="auto"/>
          <w:sz w:val="16"/>
          <w:szCs w:val="16"/>
          <w:lang w:val="en-US"/>
        </w:rPr>
        <w:t xml:space="preserve"> </w:t>
      </w:r>
      <w:r w:rsidRPr="00C30126">
        <w:rPr>
          <w:rFonts w:ascii="Arial" w:hAnsi="Arial" w:cs="Arial"/>
          <w:b/>
          <w:bCs/>
          <w:i w:val="0"/>
          <w:iCs w:val="0"/>
          <w:color w:val="auto"/>
          <w:sz w:val="16"/>
          <w:szCs w:val="16"/>
          <w:lang w:val="en-US"/>
        </w:rPr>
        <w:t>Architectures used for vertical-response measurements, compression and qualitative pH actuation.</w:t>
      </w:r>
      <w:r w:rsidRPr="00C30126">
        <w:rPr>
          <w:rFonts w:ascii="Arial" w:hAnsi="Arial" w:cs="Arial"/>
          <w:i w:val="0"/>
          <w:iCs w:val="0"/>
          <w:color w:val="auto"/>
          <w:sz w:val="16"/>
          <w:szCs w:val="16"/>
          <w:lang w:val="en-US"/>
        </w:rPr>
        <w:t xml:space="preserve"> </w:t>
      </w:r>
      <w:r w:rsidRPr="00C30126">
        <w:rPr>
          <w:rFonts w:ascii="Arial" w:hAnsi="Arial" w:cs="Arial"/>
          <w:b/>
          <w:bCs/>
          <w:i w:val="0"/>
          <w:iCs w:val="0"/>
          <w:color w:val="auto"/>
          <w:sz w:val="16"/>
          <w:szCs w:val="16"/>
          <w:lang w:val="en-US"/>
        </w:rPr>
        <w:t>a,</w:t>
      </w:r>
      <w:r w:rsidRPr="00C30126">
        <w:rPr>
          <w:rFonts w:ascii="Arial" w:hAnsi="Arial" w:cs="Arial"/>
          <w:i w:val="0"/>
          <w:iCs w:val="0"/>
          <w:color w:val="auto"/>
          <w:sz w:val="16"/>
          <w:szCs w:val="16"/>
          <w:lang w:val="en-US"/>
        </w:rPr>
        <w:t xml:space="preserve"> SEM images of BSA/CUR</w:t>
      </w:r>
      <w:r w:rsidR="00BC1C33">
        <w:rPr>
          <w:rFonts w:ascii="Arial" w:hAnsi="Arial" w:cs="Arial"/>
          <w:i w:val="0"/>
          <w:iCs w:val="0"/>
          <w:color w:val="auto"/>
          <w:sz w:val="16"/>
          <w:szCs w:val="16"/>
          <w:lang w:val="en-US"/>
        </w:rPr>
        <w:t>-</w:t>
      </w:r>
      <w:r w:rsidRPr="00C30126">
        <w:rPr>
          <w:rFonts w:ascii="Arial" w:hAnsi="Arial" w:cs="Arial"/>
          <w:i w:val="0"/>
          <w:iCs w:val="0"/>
          <w:color w:val="auto"/>
          <w:sz w:val="16"/>
          <w:szCs w:val="16"/>
          <w:lang w:val="en-US"/>
        </w:rPr>
        <w:t xml:space="preserve">Au roofed tubular lattices shown from different orientations and magnifications. The continuous upper plate provided a defined surface for height measurement and compression-platen contact. </w:t>
      </w:r>
      <w:r w:rsidRPr="00C30126">
        <w:rPr>
          <w:rFonts w:ascii="Arial" w:hAnsi="Arial" w:cs="Arial"/>
          <w:b/>
          <w:bCs/>
          <w:i w:val="0"/>
          <w:iCs w:val="0"/>
          <w:color w:val="auto"/>
          <w:sz w:val="16"/>
          <w:szCs w:val="16"/>
          <w:lang w:val="en-US"/>
        </w:rPr>
        <w:t>b,</w:t>
      </w:r>
      <w:r w:rsidRPr="00C30126">
        <w:rPr>
          <w:rFonts w:ascii="Arial" w:hAnsi="Arial" w:cs="Arial"/>
          <w:i w:val="0"/>
          <w:iCs w:val="0"/>
          <w:color w:val="auto"/>
          <w:sz w:val="16"/>
          <w:szCs w:val="16"/>
          <w:lang w:val="en-US"/>
        </w:rPr>
        <w:t xml:space="preserve"> SEM images of</w:t>
      </w:r>
      <w:r w:rsidR="00D201E8">
        <w:rPr>
          <w:rFonts w:ascii="Arial" w:hAnsi="Arial" w:cs="Arial"/>
          <w:i w:val="0"/>
          <w:iCs w:val="0"/>
          <w:color w:val="auto"/>
          <w:sz w:val="16"/>
          <w:szCs w:val="16"/>
          <w:lang w:val="en-US"/>
        </w:rPr>
        <w:t xml:space="preserve"> </w:t>
      </w:r>
      <w:r w:rsidRPr="00C30126">
        <w:rPr>
          <w:rFonts w:ascii="Arial" w:hAnsi="Arial" w:cs="Arial"/>
          <w:i w:val="0"/>
          <w:iCs w:val="0"/>
          <w:color w:val="auto"/>
          <w:sz w:val="16"/>
          <w:szCs w:val="16"/>
          <w:lang w:val="en-US"/>
        </w:rPr>
        <w:t>BSA/CUR</w:t>
      </w:r>
      <w:r w:rsidR="00BC1C33">
        <w:rPr>
          <w:rFonts w:ascii="Arial" w:hAnsi="Arial" w:cs="Arial"/>
          <w:i w:val="0"/>
          <w:iCs w:val="0"/>
          <w:color w:val="auto"/>
          <w:sz w:val="16"/>
          <w:szCs w:val="16"/>
          <w:lang w:val="en-US"/>
        </w:rPr>
        <w:t>-</w:t>
      </w:r>
      <w:r w:rsidRPr="00C30126">
        <w:rPr>
          <w:rFonts w:ascii="Arial" w:hAnsi="Arial" w:cs="Arial"/>
          <w:i w:val="0"/>
          <w:iCs w:val="0"/>
          <w:color w:val="auto"/>
          <w:sz w:val="16"/>
          <w:szCs w:val="16"/>
          <w:lang w:val="en-US"/>
        </w:rPr>
        <w:t>Au spiral architecture. All structures underwent two immersion</w:t>
      </w:r>
      <w:r w:rsidR="00BC1C33">
        <w:rPr>
          <w:rFonts w:ascii="Arial" w:hAnsi="Arial" w:cs="Arial"/>
          <w:i w:val="0"/>
          <w:iCs w:val="0"/>
          <w:color w:val="auto"/>
          <w:sz w:val="16"/>
          <w:szCs w:val="16"/>
          <w:lang w:val="en-US"/>
        </w:rPr>
        <w:t>-</w:t>
      </w:r>
      <w:r w:rsidRPr="00C30126">
        <w:rPr>
          <w:rFonts w:ascii="Arial" w:hAnsi="Arial" w:cs="Arial"/>
          <w:i w:val="0"/>
          <w:iCs w:val="0"/>
          <w:color w:val="auto"/>
          <w:sz w:val="16"/>
          <w:szCs w:val="16"/>
          <w:lang w:val="en-US"/>
        </w:rPr>
        <w:t xml:space="preserve">precipitation cycles and were subsequently sputter-coated with gold for SEM imaging. </w:t>
      </w:r>
      <w:r w:rsidRPr="003B2864">
        <w:rPr>
          <w:rFonts w:ascii="Arial" w:hAnsi="Arial" w:cs="Arial"/>
          <w:i w:val="0"/>
          <w:iCs w:val="0"/>
          <w:color w:val="auto"/>
          <w:sz w:val="16"/>
          <w:szCs w:val="16"/>
          <w:lang w:val="en-US"/>
        </w:rPr>
        <w:t>Scale bars are shown in the panels.</w:t>
      </w:r>
    </w:p>
    <w:p w14:paraId="3657A420" w14:textId="77777777" w:rsidR="006333AB" w:rsidRPr="00C22F30" w:rsidRDefault="006333AB" w:rsidP="003B2864">
      <w:pPr>
        <w:pStyle w:val="Heading1"/>
        <w:spacing w:line="360" w:lineRule="auto"/>
        <w:jc w:val="both"/>
        <w:rPr>
          <w:rFonts w:ascii="Arial" w:hAnsi="Arial" w:cs="Arial"/>
          <w:b/>
          <w:bCs/>
          <w:color w:val="auto"/>
          <w:sz w:val="22"/>
          <w:szCs w:val="22"/>
          <w:lang w:val="en-US"/>
        </w:rPr>
      </w:pPr>
      <w:bookmarkStart w:id="5" w:name="_Toc238807066"/>
      <w:r w:rsidRPr="00C22F30">
        <w:rPr>
          <w:rFonts w:ascii="Arial" w:hAnsi="Arial" w:cs="Arial"/>
          <w:b/>
          <w:bCs/>
          <w:color w:val="auto"/>
          <w:sz w:val="22"/>
          <w:szCs w:val="22"/>
          <w:lang w:val="en-US"/>
        </w:rPr>
        <w:t>Short-term cyclic response and first-cycle recovery</w:t>
      </w:r>
      <w:bookmarkEnd w:id="5"/>
    </w:p>
    <w:p w14:paraId="5B40435A" w14:textId="5A6F228E" w:rsidR="006333AB" w:rsidRPr="00C30126" w:rsidRDefault="006333AB" w:rsidP="003B2864">
      <w:pPr>
        <w:spacing w:line="360" w:lineRule="auto"/>
        <w:jc w:val="both"/>
        <w:rPr>
          <w:rFonts w:ascii="Arial" w:hAnsi="Arial" w:cs="Arial"/>
          <w:lang w:val="en-US"/>
        </w:rPr>
      </w:pPr>
      <w:r w:rsidRPr="00C30126">
        <w:rPr>
          <w:rFonts w:ascii="Arial" w:hAnsi="Arial" w:cs="Arial"/>
          <w:lang w:val="en-US"/>
        </w:rPr>
        <w:t xml:space="preserve">Short-term mechanical repeatability was evaluated by comparing the maximum nominal compressive stress measured during the third and first loading cycles. The third-to-first-cycle maximum-stress retention was calculated separately for each structure as </w:t>
      </w:r>
      <m:oMath>
        <m:sSub>
          <m:sSubPr>
            <m:ctrlPr>
              <w:rPr>
                <w:rFonts w:ascii="Cambria Math" w:hAnsi="Cambria Math" w:cs="Arial"/>
              </w:rPr>
            </m:ctrlPr>
          </m:sSubPr>
          <m:e>
            <m:r>
              <w:rPr>
                <w:rFonts w:ascii="Cambria Math" w:hAnsi="Cambria Math" w:cs="Arial"/>
              </w:rPr>
              <m:t>σ</m:t>
            </m:r>
          </m:e>
          <m:sub>
            <m:func>
              <m:funcPr>
                <m:ctrlPr>
                  <w:rPr>
                    <w:rFonts w:ascii="Cambria Math" w:hAnsi="Cambria Math" w:cs="Arial"/>
                  </w:rPr>
                </m:ctrlPr>
              </m:funcPr>
              <m:fName>
                <m:r>
                  <m:rPr>
                    <m:sty m:val="p"/>
                  </m:rPr>
                  <w:rPr>
                    <w:rFonts w:ascii="Cambria Math" w:hAnsi="Cambria Math" w:cs="Arial"/>
                    <w:lang w:val="en-US"/>
                  </w:rPr>
                  <m:t>max</m:t>
                </m:r>
              </m:fName>
              <m:e>
                <m:r>
                  <w:rPr>
                    <w:rFonts w:ascii="Cambria Math" w:hAnsi="Cambria Math" w:cs="Arial"/>
                    <w:lang w:val="en-US"/>
                  </w:rPr>
                  <m:t>,</m:t>
                </m:r>
              </m:e>
            </m:func>
            <m:r>
              <w:rPr>
                <w:rFonts w:ascii="Cambria Math" w:hAnsi="Cambria Math" w:cs="Arial"/>
                <w:lang w:val="en-US"/>
              </w:rPr>
              <m:t>3</m:t>
            </m:r>
          </m:sub>
        </m:sSub>
        <m:r>
          <w:rPr>
            <w:rFonts w:ascii="Cambria Math" w:hAnsi="Cambria Math" w:cs="Arial"/>
            <w:lang w:val="en-US"/>
          </w:rPr>
          <m:t>/</m:t>
        </m:r>
        <m:sSub>
          <m:sSubPr>
            <m:ctrlPr>
              <w:rPr>
                <w:rFonts w:ascii="Cambria Math" w:hAnsi="Cambria Math" w:cs="Arial"/>
              </w:rPr>
            </m:ctrlPr>
          </m:sSubPr>
          <m:e>
            <m:r>
              <w:rPr>
                <w:rFonts w:ascii="Cambria Math" w:hAnsi="Cambria Math" w:cs="Arial"/>
              </w:rPr>
              <m:t>σ</m:t>
            </m:r>
          </m:e>
          <m:sub>
            <m:func>
              <m:funcPr>
                <m:ctrlPr>
                  <w:rPr>
                    <w:rFonts w:ascii="Cambria Math" w:hAnsi="Cambria Math" w:cs="Arial"/>
                  </w:rPr>
                </m:ctrlPr>
              </m:funcPr>
              <m:fName>
                <m:r>
                  <m:rPr>
                    <m:sty m:val="p"/>
                  </m:rPr>
                  <w:rPr>
                    <w:rFonts w:ascii="Cambria Math" w:hAnsi="Cambria Math" w:cs="Arial"/>
                    <w:lang w:val="en-US"/>
                  </w:rPr>
                  <m:t>max</m:t>
                </m:r>
              </m:fName>
              <m:e>
                <m:r>
                  <w:rPr>
                    <w:rFonts w:ascii="Cambria Math" w:hAnsi="Cambria Math" w:cs="Arial"/>
                    <w:lang w:val="en-US"/>
                  </w:rPr>
                  <m:t>,</m:t>
                </m:r>
              </m:e>
            </m:func>
            <m:r>
              <w:rPr>
                <w:rFonts w:ascii="Cambria Math" w:hAnsi="Cambria Math" w:cs="Arial"/>
                <w:lang w:val="en-US"/>
              </w:rPr>
              <m:t>1</m:t>
            </m:r>
          </m:sub>
        </m:sSub>
        <m:r>
          <w:rPr>
            <w:rFonts w:ascii="Cambria Math" w:hAnsi="Cambria Math" w:cs="Arial"/>
            <w:lang w:val="en-US"/>
          </w:rPr>
          <m:t>×100</m:t>
        </m:r>
      </m:oMath>
      <w:r w:rsidR="00BC1C33">
        <w:rPr>
          <w:rFonts w:ascii="Arial" w:hAnsi="Arial" w:cs="Arial"/>
          <w:lang w:val="en-US"/>
        </w:rPr>
        <w:t xml:space="preserve"> </w:t>
      </w:r>
      <w:r w:rsidRPr="00C30126">
        <w:rPr>
          <w:rFonts w:ascii="Arial" w:hAnsi="Arial" w:cs="Arial"/>
          <w:lang w:val="en-US"/>
        </w:rPr>
        <w:t>and then averaged across three independently fabricated structures. Mean retention was 102% for BSA/CUR cubes, 87% for BSA/CUR–Au cubes, 84% for BSA/CUR roofed tubular lattices and 94% for BSA/CUR</w:t>
      </w:r>
      <w:r w:rsidR="00BC1C33">
        <w:rPr>
          <w:rFonts w:ascii="Arial" w:hAnsi="Arial" w:cs="Arial"/>
          <w:lang w:val="en-US"/>
        </w:rPr>
        <w:t>-</w:t>
      </w:r>
      <w:r w:rsidRPr="00C30126">
        <w:rPr>
          <w:rFonts w:ascii="Arial" w:hAnsi="Arial" w:cs="Arial"/>
          <w:lang w:val="en-US"/>
        </w:rPr>
        <w:t>Au roofed tubular lattices (</w:t>
      </w:r>
      <w:r w:rsidRPr="005529EA">
        <w:rPr>
          <w:rFonts w:ascii="Arial" w:hAnsi="Arial" w:cs="Arial"/>
          <w:b/>
          <w:bCs/>
          <w:lang w:val="en-US"/>
        </w:rPr>
        <w:t>Supplementary Fig. 6a</w:t>
      </w:r>
      <w:r w:rsidRPr="00C30126">
        <w:rPr>
          <w:rFonts w:ascii="Arial" w:hAnsi="Arial" w:cs="Arial"/>
          <w:lang w:val="en-US"/>
        </w:rPr>
        <w:t>).</w:t>
      </w:r>
    </w:p>
    <w:p w14:paraId="4B64CAD5" w14:textId="679EC96B" w:rsidR="006333AB" w:rsidRPr="00C30126" w:rsidRDefault="006333AB" w:rsidP="00C30126">
      <w:pPr>
        <w:spacing w:line="360" w:lineRule="auto"/>
        <w:jc w:val="both"/>
        <w:rPr>
          <w:rFonts w:ascii="Arial" w:hAnsi="Arial" w:cs="Arial"/>
          <w:lang w:val="en-US"/>
        </w:rPr>
      </w:pPr>
      <w:r w:rsidRPr="00C30126">
        <w:rPr>
          <w:rFonts w:ascii="Arial" w:hAnsi="Arial" w:cs="Arial"/>
          <w:lang w:val="en-US"/>
        </w:rPr>
        <w:t>First-cycle residual strain was read at the end of the first unloading step. Mean residual strains were approximately 0.4%, 0.7%, 0.3% and 0.5% for BSA/CUR cubes, BSA/CUR</w:t>
      </w:r>
      <w:r w:rsidR="00BC1C33">
        <w:rPr>
          <w:rFonts w:ascii="Arial" w:hAnsi="Arial" w:cs="Arial"/>
          <w:lang w:val="en-US"/>
        </w:rPr>
        <w:t>-</w:t>
      </w:r>
      <w:r w:rsidRPr="00C30126">
        <w:rPr>
          <w:rFonts w:ascii="Arial" w:hAnsi="Arial" w:cs="Arial"/>
          <w:lang w:val="en-US"/>
        </w:rPr>
        <w:t>Au cubes, BSA/CUR roofed tubular lattices and BSA/CUR</w:t>
      </w:r>
      <w:r w:rsidR="00BC1C33">
        <w:rPr>
          <w:rFonts w:ascii="Arial" w:hAnsi="Arial" w:cs="Arial"/>
          <w:lang w:val="en-US"/>
        </w:rPr>
        <w:t>-</w:t>
      </w:r>
      <w:r w:rsidRPr="00C30126">
        <w:rPr>
          <w:rFonts w:ascii="Arial" w:hAnsi="Arial" w:cs="Arial"/>
          <w:lang w:val="en-US"/>
        </w:rPr>
        <w:t>Au roofed tubular lattices, respectively (</w:t>
      </w:r>
      <w:r w:rsidRPr="005529EA">
        <w:rPr>
          <w:rFonts w:ascii="Arial" w:hAnsi="Arial" w:cs="Arial"/>
          <w:b/>
          <w:bCs/>
          <w:lang w:val="en-US"/>
        </w:rPr>
        <w:t>Supplementary Fig. 6b</w:t>
      </w:r>
      <w:r w:rsidRPr="00C30126">
        <w:rPr>
          <w:rFonts w:ascii="Arial" w:hAnsi="Arial" w:cs="Arial"/>
          <w:lang w:val="en-US"/>
        </w:rPr>
        <w:t>). These descriptive measurements indicate limited residual deformation following the initial compression and maximum-stress retention of 84</w:t>
      </w:r>
      <w:r w:rsidR="00BC1C33">
        <w:rPr>
          <w:rFonts w:ascii="Arial" w:hAnsi="Arial" w:cs="Arial"/>
          <w:lang w:val="en-US"/>
        </w:rPr>
        <w:t>-</w:t>
      </w:r>
      <w:r w:rsidRPr="00C30126">
        <w:rPr>
          <w:rFonts w:ascii="Arial" w:hAnsi="Arial" w:cs="Arial"/>
          <w:lang w:val="en-US"/>
        </w:rPr>
        <w:t>102% by the third cycle. No inferential statistical comparisons were performed for these metrics, and the three-cycle experiment is not interpreted as a long-term fatigue assessment.</w:t>
      </w:r>
    </w:p>
    <w:p w14:paraId="0DFFA9C7" w14:textId="77777777" w:rsidR="006333AB" w:rsidRPr="00C30126" w:rsidRDefault="006333AB" w:rsidP="003F785F">
      <w:pPr>
        <w:keepNext/>
        <w:spacing w:line="360" w:lineRule="auto"/>
        <w:jc w:val="center"/>
        <w:rPr>
          <w:rFonts w:ascii="Arial" w:hAnsi="Arial" w:cs="Arial"/>
        </w:rPr>
      </w:pPr>
      <w:r w:rsidRPr="00C30126">
        <w:rPr>
          <w:rFonts w:ascii="Arial" w:hAnsi="Arial" w:cs="Arial"/>
          <w:noProof/>
          <w:lang w:val="en-US"/>
        </w:rPr>
        <w:lastRenderedPageBreak/>
        <w:drawing>
          <wp:inline distT="0" distB="0" distL="0" distR="0" wp14:anchorId="3DEC51B0" wp14:editId="78B2A51C">
            <wp:extent cx="5704609" cy="2181041"/>
            <wp:effectExtent l="0" t="0" r="0" b="0"/>
            <wp:docPr id="2238435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843588" name="Picture 223843588"/>
                    <pic:cNvPicPr/>
                  </pic:nvPicPr>
                  <pic:blipFill rotWithShape="1">
                    <a:blip r:embed="rId13" cstate="print">
                      <a:extLst>
                        <a:ext uri="{28A0092B-C50C-407E-A947-70E740481C1C}">
                          <a14:useLocalDpi xmlns:a14="http://schemas.microsoft.com/office/drawing/2010/main" val="0"/>
                        </a:ext>
                      </a:extLst>
                    </a:blip>
                    <a:srcRect l="2619" t="9032" r="6183" b="3815"/>
                    <a:stretch>
                      <a:fillRect/>
                    </a:stretch>
                  </pic:blipFill>
                  <pic:spPr bwMode="auto">
                    <a:xfrm>
                      <a:off x="0" y="0"/>
                      <a:ext cx="5721349" cy="2187441"/>
                    </a:xfrm>
                    <a:prstGeom prst="rect">
                      <a:avLst/>
                    </a:prstGeom>
                    <a:ln>
                      <a:noFill/>
                    </a:ln>
                    <a:extLst>
                      <a:ext uri="{53640926-AAD7-44D8-BBD7-CCE9431645EC}">
                        <a14:shadowObscured xmlns:a14="http://schemas.microsoft.com/office/drawing/2010/main"/>
                      </a:ext>
                    </a:extLst>
                  </pic:spPr>
                </pic:pic>
              </a:graphicData>
            </a:graphic>
          </wp:inline>
        </w:drawing>
      </w:r>
    </w:p>
    <w:p w14:paraId="55610FE1" w14:textId="4EA15BFE" w:rsidR="006333AB" w:rsidRPr="00C30126" w:rsidRDefault="006333AB" w:rsidP="00C30126">
      <w:pPr>
        <w:pStyle w:val="Caption"/>
        <w:jc w:val="both"/>
        <w:rPr>
          <w:rFonts w:ascii="Arial" w:hAnsi="Arial" w:cs="Arial"/>
          <w:i w:val="0"/>
          <w:iCs w:val="0"/>
          <w:color w:val="auto"/>
          <w:sz w:val="16"/>
          <w:szCs w:val="16"/>
          <w:lang w:val="en-US"/>
        </w:rPr>
      </w:pPr>
      <w:r w:rsidRPr="00C30126">
        <w:rPr>
          <w:rFonts w:ascii="Arial" w:hAnsi="Arial" w:cs="Arial"/>
          <w:b/>
          <w:bCs/>
          <w:i w:val="0"/>
          <w:iCs w:val="0"/>
          <w:color w:val="auto"/>
          <w:sz w:val="16"/>
          <w:szCs w:val="16"/>
          <w:lang w:val="en-US"/>
        </w:rPr>
        <w:t xml:space="preserve">Supplementary Fig. </w:t>
      </w:r>
      <w:r w:rsidRPr="00C30126">
        <w:rPr>
          <w:rFonts w:ascii="Arial" w:hAnsi="Arial" w:cs="Arial"/>
          <w:b/>
          <w:bCs/>
          <w:i w:val="0"/>
          <w:iCs w:val="0"/>
          <w:color w:val="auto"/>
          <w:sz w:val="16"/>
          <w:szCs w:val="16"/>
        </w:rPr>
        <w:fldChar w:fldCharType="begin"/>
      </w:r>
      <w:r w:rsidRPr="00C30126">
        <w:rPr>
          <w:rFonts w:ascii="Arial" w:hAnsi="Arial" w:cs="Arial"/>
          <w:b/>
          <w:bCs/>
          <w:i w:val="0"/>
          <w:iCs w:val="0"/>
          <w:color w:val="auto"/>
          <w:sz w:val="16"/>
          <w:szCs w:val="16"/>
          <w:lang w:val="en-US"/>
        </w:rPr>
        <w:instrText xml:space="preserve"> SEQ Supplementary_Fig. \* ARABIC </w:instrText>
      </w:r>
      <w:r w:rsidRPr="00C30126">
        <w:rPr>
          <w:rFonts w:ascii="Arial" w:hAnsi="Arial" w:cs="Arial"/>
          <w:b/>
          <w:bCs/>
          <w:i w:val="0"/>
          <w:iCs w:val="0"/>
          <w:color w:val="auto"/>
          <w:sz w:val="16"/>
          <w:szCs w:val="16"/>
        </w:rPr>
        <w:fldChar w:fldCharType="separate"/>
      </w:r>
      <w:r w:rsidRPr="00C30126">
        <w:rPr>
          <w:rFonts w:ascii="Arial" w:hAnsi="Arial" w:cs="Arial"/>
          <w:b/>
          <w:bCs/>
          <w:i w:val="0"/>
          <w:iCs w:val="0"/>
          <w:noProof/>
          <w:color w:val="auto"/>
          <w:sz w:val="16"/>
          <w:szCs w:val="16"/>
          <w:lang w:val="en-US"/>
        </w:rPr>
        <w:t>6</w:t>
      </w:r>
      <w:r w:rsidRPr="00C30126">
        <w:rPr>
          <w:rFonts w:ascii="Arial" w:hAnsi="Arial" w:cs="Arial"/>
          <w:b/>
          <w:bCs/>
          <w:i w:val="0"/>
          <w:iCs w:val="0"/>
          <w:color w:val="auto"/>
          <w:sz w:val="16"/>
          <w:szCs w:val="16"/>
        </w:rPr>
        <w:fldChar w:fldCharType="end"/>
      </w:r>
      <w:r w:rsidRPr="00C30126">
        <w:rPr>
          <w:rFonts w:ascii="Arial" w:hAnsi="Arial" w:cs="Arial"/>
          <w:b/>
          <w:bCs/>
          <w:i w:val="0"/>
          <w:iCs w:val="0"/>
          <w:color w:val="auto"/>
          <w:sz w:val="16"/>
          <w:szCs w:val="16"/>
          <w:lang w:val="en-US"/>
        </w:rPr>
        <w:t>:</w:t>
      </w:r>
      <w:r w:rsidRPr="00C30126">
        <w:rPr>
          <w:rFonts w:ascii="Arial" w:hAnsi="Arial" w:cs="Arial"/>
          <w:i w:val="0"/>
          <w:iCs w:val="0"/>
          <w:color w:val="auto"/>
          <w:sz w:val="16"/>
          <w:szCs w:val="16"/>
          <w:lang w:val="en-US"/>
        </w:rPr>
        <w:t xml:space="preserve"> </w:t>
      </w:r>
      <w:r w:rsidRPr="00C30126">
        <w:rPr>
          <w:rFonts w:ascii="Arial" w:hAnsi="Arial" w:cs="Arial"/>
          <w:b/>
          <w:bCs/>
          <w:i w:val="0"/>
          <w:iCs w:val="0"/>
          <w:color w:val="auto"/>
          <w:sz w:val="16"/>
          <w:szCs w:val="16"/>
          <w:lang w:val="en-US"/>
        </w:rPr>
        <w:t>Short-term cyclic response and residual deformation of compressed microstructures.</w:t>
      </w:r>
      <w:r w:rsidRPr="00C30126">
        <w:rPr>
          <w:rFonts w:ascii="Arial" w:hAnsi="Arial" w:cs="Arial"/>
          <w:i w:val="0"/>
          <w:iCs w:val="0"/>
          <w:color w:val="auto"/>
          <w:sz w:val="16"/>
          <w:szCs w:val="16"/>
          <w:lang w:val="en-US"/>
        </w:rPr>
        <w:t xml:space="preserve"> </w:t>
      </w:r>
      <w:proofErr w:type="gramStart"/>
      <w:r w:rsidRPr="00C30126">
        <w:rPr>
          <w:rFonts w:ascii="Arial" w:hAnsi="Arial" w:cs="Arial"/>
          <w:b/>
          <w:bCs/>
          <w:i w:val="0"/>
          <w:iCs w:val="0"/>
          <w:color w:val="auto"/>
          <w:sz w:val="16"/>
          <w:szCs w:val="16"/>
          <w:lang w:val="en-US"/>
        </w:rPr>
        <w:t>a,</w:t>
      </w:r>
      <w:proofErr w:type="gramEnd"/>
      <w:r w:rsidRPr="00C30126">
        <w:rPr>
          <w:rFonts w:ascii="Arial" w:hAnsi="Arial" w:cs="Arial"/>
          <w:i w:val="0"/>
          <w:iCs w:val="0"/>
          <w:color w:val="auto"/>
          <w:sz w:val="16"/>
          <w:szCs w:val="16"/>
          <w:lang w:val="en-US"/>
        </w:rPr>
        <w:t xml:space="preserve"> Third-to-first-cycle maximum-stress retention, calculated separately for each structure. The dashed horizontal line denotes 100% retention. </w:t>
      </w:r>
      <w:r w:rsidRPr="00C30126">
        <w:rPr>
          <w:rFonts w:ascii="Arial" w:hAnsi="Arial" w:cs="Arial"/>
          <w:b/>
          <w:bCs/>
          <w:i w:val="0"/>
          <w:iCs w:val="0"/>
          <w:color w:val="auto"/>
          <w:sz w:val="16"/>
          <w:szCs w:val="16"/>
          <w:lang w:val="en-US"/>
        </w:rPr>
        <w:t>b,</w:t>
      </w:r>
      <w:r w:rsidRPr="00C30126">
        <w:rPr>
          <w:rFonts w:ascii="Arial" w:hAnsi="Arial" w:cs="Arial"/>
          <w:i w:val="0"/>
          <w:iCs w:val="0"/>
          <w:color w:val="auto"/>
          <w:sz w:val="16"/>
          <w:szCs w:val="16"/>
          <w:lang w:val="en-US"/>
        </w:rPr>
        <w:t xml:space="preserve"> First-cycle residual strain read at the end of the first unloading step. Bars represent mean ± </w:t>
      </w:r>
      <w:proofErr w:type="spellStart"/>
      <w:r w:rsidRPr="00C30126">
        <w:rPr>
          <w:rFonts w:ascii="Arial" w:hAnsi="Arial" w:cs="Arial"/>
          <w:i w:val="0"/>
          <w:iCs w:val="0"/>
          <w:color w:val="auto"/>
          <w:sz w:val="16"/>
          <w:szCs w:val="16"/>
          <w:lang w:val="en-US"/>
        </w:rPr>
        <w:t>s.d.</w:t>
      </w:r>
      <w:proofErr w:type="spellEnd"/>
      <w:r w:rsidRPr="00C30126">
        <w:rPr>
          <w:rFonts w:ascii="Arial" w:hAnsi="Arial" w:cs="Arial"/>
          <w:i w:val="0"/>
          <w:iCs w:val="0"/>
          <w:color w:val="auto"/>
          <w:sz w:val="16"/>
          <w:szCs w:val="16"/>
          <w:lang w:val="en-US"/>
        </w:rPr>
        <w:t xml:space="preserve"> for (n=3) independently fabricated structures. The data are presented descriptively; no inferential statistical comparisons were performed.</w:t>
      </w:r>
    </w:p>
    <w:p w14:paraId="6AEAAF16" w14:textId="32DC3501" w:rsidR="00942C6B" w:rsidRPr="00942C6B" w:rsidRDefault="00942C6B" w:rsidP="00942C6B">
      <w:pPr>
        <w:pStyle w:val="Heading1"/>
        <w:pageBreakBefore/>
        <w:rPr>
          <w:rFonts w:ascii="Arial" w:hAnsi="Arial" w:cs="Arial"/>
          <w:b/>
          <w:bCs/>
          <w:color w:val="auto"/>
          <w:sz w:val="24"/>
          <w:szCs w:val="24"/>
          <w:lang w:val="en-US"/>
        </w:rPr>
      </w:pPr>
      <w:bookmarkStart w:id="6" w:name="_Toc238807067"/>
      <w:r w:rsidRPr="00942C6B">
        <w:rPr>
          <w:rFonts w:ascii="Arial" w:hAnsi="Arial" w:cs="Arial"/>
          <w:b/>
          <w:bCs/>
          <w:color w:val="auto"/>
          <w:sz w:val="24"/>
          <w:szCs w:val="24"/>
          <w:lang w:val="en-US"/>
        </w:rPr>
        <w:lastRenderedPageBreak/>
        <w:t>References</w:t>
      </w:r>
      <w:bookmarkEnd w:id="6"/>
    </w:p>
    <w:sdt>
      <w:sdtPr>
        <w:rPr>
          <w:rFonts w:ascii="Arial" w:hAnsi="Arial" w:cs="Arial"/>
          <w:color w:val="000000"/>
          <w:lang w:val="en-US"/>
        </w:rPr>
        <w:tag w:val="MENDELEY_BIBLIOGRAPHY"/>
        <w:id w:val="-1431036683"/>
        <w:placeholder>
          <w:docPart w:val="DefaultPlaceholder_-1854013440"/>
        </w:placeholder>
      </w:sdtPr>
      <w:sdtContent>
        <w:p w14:paraId="18A3C646" w14:textId="77777777" w:rsidR="00942C6B" w:rsidRPr="00942C6B" w:rsidRDefault="00942C6B">
          <w:pPr>
            <w:autoSpaceDE w:val="0"/>
            <w:autoSpaceDN w:val="0"/>
            <w:ind w:hanging="640"/>
            <w:divId w:val="1583829189"/>
            <w:rPr>
              <w:rFonts w:ascii="Arial" w:eastAsia="Times New Roman" w:hAnsi="Arial" w:cs="Arial"/>
              <w:color w:val="000000"/>
              <w:szCs w:val="24"/>
              <w:lang w:val="en-US"/>
            </w:rPr>
          </w:pPr>
          <w:r w:rsidRPr="00942C6B">
            <w:rPr>
              <w:rFonts w:ascii="Arial" w:eastAsia="Times New Roman" w:hAnsi="Arial" w:cs="Arial"/>
              <w:color w:val="000000"/>
              <w:lang w:val="en-US"/>
            </w:rPr>
            <w:t xml:space="preserve">1. </w:t>
          </w:r>
          <w:r w:rsidRPr="00942C6B">
            <w:rPr>
              <w:rFonts w:ascii="Arial" w:eastAsia="Times New Roman" w:hAnsi="Arial" w:cs="Arial"/>
              <w:color w:val="000000"/>
              <w:lang w:val="en-US"/>
            </w:rPr>
            <w:tab/>
          </w:r>
          <w:proofErr w:type="spellStart"/>
          <w:r w:rsidRPr="00942C6B">
            <w:rPr>
              <w:rFonts w:ascii="Arial" w:eastAsia="Times New Roman" w:hAnsi="Arial" w:cs="Arial"/>
              <w:color w:val="000000"/>
              <w:lang w:val="en-US"/>
            </w:rPr>
            <w:t>Usoltsev</w:t>
          </w:r>
          <w:proofErr w:type="spellEnd"/>
          <w:r w:rsidRPr="00942C6B">
            <w:rPr>
              <w:rFonts w:ascii="Arial" w:eastAsia="Times New Roman" w:hAnsi="Arial" w:cs="Arial"/>
              <w:color w:val="000000"/>
              <w:lang w:val="en-US"/>
            </w:rPr>
            <w:t xml:space="preserve">, D., Sitnikova, V., Kajava, A. &amp; </w:t>
          </w:r>
          <w:proofErr w:type="spellStart"/>
          <w:r w:rsidRPr="00942C6B">
            <w:rPr>
              <w:rFonts w:ascii="Arial" w:eastAsia="Times New Roman" w:hAnsi="Arial" w:cs="Arial"/>
              <w:color w:val="000000"/>
              <w:lang w:val="en-US"/>
            </w:rPr>
            <w:t>Uspenskaya</w:t>
          </w:r>
          <w:proofErr w:type="spellEnd"/>
          <w:r w:rsidRPr="00942C6B">
            <w:rPr>
              <w:rFonts w:ascii="Arial" w:eastAsia="Times New Roman" w:hAnsi="Arial" w:cs="Arial"/>
              <w:color w:val="000000"/>
              <w:lang w:val="en-US"/>
            </w:rPr>
            <w:t xml:space="preserve">, M. Systematic FTIR spectroscopy study of the secondary structure changes in human serum albumin under various denaturation conditions. </w:t>
          </w:r>
          <w:r w:rsidRPr="00942C6B">
            <w:rPr>
              <w:rFonts w:ascii="Arial" w:eastAsia="Times New Roman" w:hAnsi="Arial" w:cs="Arial"/>
              <w:i/>
              <w:iCs/>
              <w:color w:val="000000"/>
              <w:lang w:val="en-US"/>
            </w:rPr>
            <w:t>Biomolecules</w:t>
          </w:r>
          <w:r w:rsidRPr="00942C6B">
            <w:rPr>
              <w:rFonts w:ascii="Arial" w:eastAsia="Times New Roman" w:hAnsi="Arial" w:cs="Arial"/>
              <w:color w:val="000000"/>
              <w:lang w:val="en-US"/>
            </w:rPr>
            <w:t xml:space="preserve"> </w:t>
          </w:r>
          <w:r w:rsidRPr="00942C6B">
            <w:rPr>
              <w:rFonts w:ascii="Arial" w:eastAsia="Times New Roman" w:hAnsi="Arial" w:cs="Arial"/>
              <w:b/>
              <w:bCs/>
              <w:color w:val="000000"/>
              <w:lang w:val="en-US"/>
            </w:rPr>
            <w:t>9</w:t>
          </w:r>
          <w:r w:rsidRPr="00942C6B">
            <w:rPr>
              <w:rFonts w:ascii="Arial" w:eastAsia="Times New Roman" w:hAnsi="Arial" w:cs="Arial"/>
              <w:color w:val="000000"/>
              <w:lang w:val="en-US"/>
            </w:rPr>
            <w:t>, (2019).</w:t>
          </w:r>
        </w:p>
        <w:p w14:paraId="5DFA25CC" w14:textId="77777777" w:rsidR="00942C6B" w:rsidRPr="00942C6B" w:rsidRDefault="00942C6B">
          <w:pPr>
            <w:autoSpaceDE w:val="0"/>
            <w:autoSpaceDN w:val="0"/>
            <w:ind w:hanging="640"/>
            <w:divId w:val="269312935"/>
            <w:rPr>
              <w:rFonts w:ascii="Arial" w:eastAsia="Times New Roman" w:hAnsi="Arial" w:cs="Arial"/>
              <w:color w:val="000000"/>
              <w:lang w:val="en-US"/>
            </w:rPr>
          </w:pPr>
          <w:r w:rsidRPr="00942C6B">
            <w:rPr>
              <w:rFonts w:ascii="Arial" w:eastAsia="Times New Roman" w:hAnsi="Arial" w:cs="Arial"/>
              <w:color w:val="000000"/>
              <w:lang w:val="en-US"/>
            </w:rPr>
            <w:t xml:space="preserve">2. </w:t>
          </w:r>
          <w:r w:rsidRPr="00942C6B">
            <w:rPr>
              <w:rFonts w:ascii="Arial" w:eastAsia="Times New Roman" w:hAnsi="Arial" w:cs="Arial"/>
              <w:color w:val="000000"/>
              <w:lang w:val="en-US"/>
            </w:rPr>
            <w:tab/>
            <w:t xml:space="preserve">Bhattacharjee, T. T. </w:t>
          </w:r>
          <w:r w:rsidRPr="00942C6B">
            <w:rPr>
              <w:rFonts w:ascii="Arial" w:eastAsia="Times New Roman" w:hAnsi="Arial" w:cs="Arial"/>
              <w:i/>
              <w:iCs/>
              <w:color w:val="000000"/>
              <w:lang w:val="en-US"/>
            </w:rPr>
            <w:t>et al.</w:t>
          </w:r>
          <w:r w:rsidRPr="00942C6B">
            <w:rPr>
              <w:rFonts w:ascii="Arial" w:eastAsia="Times New Roman" w:hAnsi="Arial" w:cs="Arial"/>
              <w:color w:val="000000"/>
              <w:lang w:val="en-US"/>
            </w:rPr>
            <w:t xml:space="preserve"> FTIR study of secondary structure changes in Epidermal Growth Factor by gold nanoparticle conjugation. </w:t>
          </w:r>
          <w:proofErr w:type="spellStart"/>
          <w:r w:rsidRPr="00942C6B">
            <w:rPr>
              <w:rFonts w:ascii="Arial" w:eastAsia="Times New Roman" w:hAnsi="Arial" w:cs="Arial"/>
              <w:i/>
              <w:iCs/>
              <w:color w:val="000000"/>
              <w:lang w:val="en-US"/>
            </w:rPr>
            <w:t>Biochim</w:t>
          </w:r>
          <w:proofErr w:type="spellEnd"/>
          <w:r w:rsidRPr="00942C6B">
            <w:rPr>
              <w:rFonts w:ascii="Arial" w:eastAsia="Times New Roman" w:hAnsi="Arial" w:cs="Arial"/>
              <w:i/>
              <w:iCs/>
              <w:color w:val="000000"/>
              <w:lang w:val="en-US"/>
            </w:rPr>
            <w:t xml:space="preserve">. </w:t>
          </w:r>
          <w:proofErr w:type="spellStart"/>
          <w:r w:rsidRPr="00942C6B">
            <w:rPr>
              <w:rFonts w:ascii="Arial" w:eastAsia="Times New Roman" w:hAnsi="Arial" w:cs="Arial"/>
              <w:i/>
              <w:iCs/>
              <w:color w:val="000000"/>
              <w:lang w:val="en-US"/>
            </w:rPr>
            <w:t>Biophys</w:t>
          </w:r>
          <w:proofErr w:type="spellEnd"/>
          <w:r w:rsidRPr="00942C6B">
            <w:rPr>
              <w:rFonts w:ascii="Arial" w:eastAsia="Times New Roman" w:hAnsi="Arial" w:cs="Arial"/>
              <w:i/>
              <w:iCs/>
              <w:color w:val="000000"/>
              <w:lang w:val="en-US"/>
            </w:rPr>
            <w:t>. Acta Gen. Subj.</w:t>
          </w:r>
          <w:r w:rsidRPr="00942C6B">
            <w:rPr>
              <w:rFonts w:ascii="Arial" w:eastAsia="Times New Roman" w:hAnsi="Arial" w:cs="Arial"/>
              <w:color w:val="000000"/>
              <w:lang w:val="en-US"/>
            </w:rPr>
            <w:t xml:space="preserve"> </w:t>
          </w:r>
          <w:r w:rsidRPr="00942C6B">
            <w:rPr>
              <w:rFonts w:ascii="Arial" w:eastAsia="Times New Roman" w:hAnsi="Arial" w:cs="Arial"/>
              <w:b/>
              <w:bCs/>
              <w:color w:val="000000"/>
              <w:lang w:val="en-US"/>
            </w:rPr>
            <w:t>1862</w:t>
          </w:r>
          <w:r w:rsidRPr="00942C6B">
            <w:rPr>
              <w:rFonts w:ascii="Arial" w:eastAsia="Times New Roman" w:hAnsi="Arial" w:cs="Arial"/>
              <w:color w:val="000000"/>
              <w:lang w:val="en-US"/>
            </w:rPr>
            <w:t>, 495–500 (2018).</w:t>
          </w:r>
        </w:p>
        <w:p w14:paraId="6088F00E" w14:textId="77777777" w:rsidR="00942C6B" w:rsidRPr="00942C6B" w:rsidRDefault="00942C6B">
          <w:pPr>
            <w:autoSpaceDE w:val="0"/>
            <w:autoSpaceDN w:val="0"/>
            <w:ind w:hanging="640"/>
            <w:divId w:val="1270432588"/>
            <w:rPr>
              <w:rFonts w:ascii="Arial" w:eastAsia="Times New Roman" w:hAnsi="Arial" w:cs="Arial"/>
              <w:color w:val="000000"/>
              <w:lang w:val="en-US"/>
            </w:rPr>
          </w:pPr>
          <w:r w:rsidRPr="00942C6B">
            <w:rPr>
              <w:rFonts w:ascii="Arial" w:eastAsia="Times New Roman" w:hAnsi="Arial" w:cs="Arial"/>
              <w:color w:val="000000"/>
              <w:lang w:val="en-US"/>
            </w:rPr>
            <w:t xml:space="preserve">3. </w:t>
          </w:r>
          <w:r w:rsidRPr="00942C6B">
            <w:rPr>
              <w:rFonts w:ascii="Arial" w:eastAsia="Times New Roman" w:hAnsi="Arial" w:cs="Arial"/>
              <w:color w:val="000000"/>
              <w:lang w:val="en-US"/>
            </w:rPr>
            <w:tab/>
            <w:t xml:space="preserve">Rashid, U. </w:t>
          </w:r>
          <w:r w:rsidRPr="00942C6B">
            <w:rPr>
              <w:rFonts w:ascii="Arial" w:eastAsia="Times New Roman" w:hAnsi="Arial" w:cs="Arial"/>
              <w:i/>
              <w:iCs/>
              <w:color w:val="000000"/>
              <w:lang w:val="en-US"/>
            </w:rPr>
            <w:t>et al.</w:t>
          </w:r>
          <w:r w:rsidRPr="00942C6B">
            <w:rPr>
              <w:rFonts w:ascii="Arial" w:eastAsia="Times New Roman" w:hAnsi="Arial" w:cs="Arial"/>
              <w:color w:val="000000"/>
              <w:lang w:val="en-US"/>
            </w:rPr>
            <w:t xml:space="preserve"> Chemistry of the Au-Thiol Interface through the Lens of Single-Molecule Flicker Noise Measurements. </w:t>
          </w:r>
          <w:r w:rsidRPr="00942C6B">
            <w:rPr>
              <w:rFonts w:ascii="Arial" w:eastAsia="Times New Roman" w:hAnsi="Arial" w:cs="Arial"/>
              <w:i/>
              <w:iCs/>
              <w:color w:val="000000"/>
              <w:lang w:val="en-US"/>
            </w:rPr>
            <w:t>J. Am. Chem. Soc.</w:t>
          </w:r>
          <w:r w:rsidRPr="00942C6B">
            <w:rPr>
              <w:rFonts w:ascii="Arial" w:eastAsia="Times New Roman" w:hAnsi="Arial" w:cs="Arial"/>
              <w:color w:val="000000"/>
              <w:lang w:val="en-US"/>
            </w:rPr>
            <w:t xml:space="preserve"> </w:t>
          </w:r>
          <w:r w:rsidRPr="00942C6B">
            <w:rPr>
              <w:rFonts w:ascii="Arial" w:eastAsia="Times New Roman" w:hAnsi="Arial" w:cs="Arial"/>
              <w:b/>
              <w:bCs/>
              <w:color w:val="000000"/>
              <w:lang w:val="en-US"/>
            </w:rPr>
            <w:t>146</w:t>
          </w:r>
          <w:r w:rsidRPr="00942C6B">
            <w:rPr>
              <w:rFonts w:ascii="Arial" w:eastAsia="Times New Roman" w:hAnsi="Arial" w:cs="Arial"/>
              <w:color w:val="000000"/>
              <w:lang w:val="en-US"/>
            </w:rPr>
            <w:t>, 9063–9073 (2024).</w:t>
          </w:r>
        </w:p>
        <w:p w14:paraId="006E26FA" w14:textId="77777777" w:rsidR="00942C6B" w:rsidRPr="00942C6B" w:rsidRDefault="00942C6B">
          <w:pPr>
            <w:autoSpaceDE w:val="0"/>
            <w:autoSpaceDN w:val="0"/>
            <w:ind w:hanging="640"/>
            <w:divId w:val="1289776193"/>
            <w:rPr>
              <w:rFonts w:ascii="Arial" w:eastAsia="Times New Roman" w:hAnsi="Arial" w:cs="Arial"/>
              <w:color w:val="000000"/>
              <w:lang w:val="en-US"/>
            </w:rPr>
          </w:pPr>
          <w:r w:rsidRPr="00942C6B">
            <w:rPr>
              <w:rFonts w:ascii="Arial" w:eastAsia="Times New Roman" w:hAnsi="Arial" w:cs="Arial"/>
              <w:color w:val="000000"/>
              <w:lang w:val="en-US"/>
            </w:rPr>
            <w:t xml:space="preserve">4. </w:t>
          </w:r>
          <w:r w:rsidRPr="00942C6B">
            <w:rPr>
              <w:rFonts w:ascii="Arial" w:eastAsia="Times New Roman" w:hAnsi="Arial" w:cs="Arial"/>
              <w:color w:val="000000"/>
              <w:lang w:val="en-US"/>
            </w:rPr>
            <w:tab/>
          </w:r>
          <w:proofErr w:type="spellStart"/>
          <w:r w:rsidRPr="00942C6B">
            <w:rPr>
              <w:rFonts w:ascii="Arial" w:eastAsia="Times New Roman" w:hAnsi="Arial" w:cs="Arial"/>
              <w:color w:val="000000"/>
              <w:lang w:val="en-US"/>
            </w:rPr>
            <w:t>Varnholt</w:t>
          </w:r>
          <w:proofErr w:type="spellEnd"/>
          <w:r w:rsidRPr="00942C6B">
            <w:rPr>
              <w:rFonts w:ascii="Arial" w:eastAsia="Times New Roman" w:hAnsi="Arial" w:cs="Arial"/>
              <w:color w:val="000000"/>
              <w:lang w:val="en-US"/>
            </w:rPr>
            <w:t xml:space="preserve">, B. </w:t>
          </w:r>
          <w:r w:rsidRPr="00942C6B">
            <w:rPr>
              <w:rFonts w:ascii="Arial" w:eastAsia="Times New Roman" w:hAnsi="Arial" w:cs="Arial"/>
              <w:i/>
              <w:iCs/>
              <w:color w:val="000000"/>
              <w:lang w:val="en-US"/>
            </w:rPr>
            <w:t>et al.</w:t>
          </w:r>
          <w:r w:rsidRPr="00942C6B">
            <w:rPr>
              <w:rFonts w:ascii="Arial" w:eastAsia="Times New Roman" w:hAnsi="Arial" w:cs="Arial"/>
              <w:color w:val="000000"/>
              <w:lang w:val="en-US"/>
            </w:rPr>
            <w:t xml:space="preserve"> Structural Information on the Au–S Interface of Thiolate-Protected Gold Clusters: A Raman Spectroscopy Study. </w:t>
          </w:r>
          <w:r w:rsidRPr="00942C6B">
            <w:rPr>
              <w:rFonts w:ascii="Arial" w:eastAsia="Times New Roman" w:hAnsi="Arial" w:cs="Arial"/>
              <w:i/>
              <w:iCs/>
              <w:color w:val="000000"/>
              <w:lang w:val="en-US"/>
            </w:rPr>
            <w:t>The Journal of Physical Chemistry C</w:t>
          </w:r>
          <w:r w:rsidRPr="00942C6B">
            <w:rPr>
              <w:rFonts w:ascii="Arial" w:eastAsia="Times New Roman" w:hAnsi="Arial" w:cs="Arial"/>
              <w:color w:val="000000"/>
              <w:lang w:val="en-US"/>
            </w:rPr>
            <w:t xml:space="preserve"> </w:t>
          </w:r>
          <w:r w:rsidRPr="00942C6B">
            <w:rPr>
              <w:rFonts w:ascii="Arial" w:eastAsia="Times New Roman" w:hAnsi="Arial" w:cs="Arial"/>
              <w:b/>
              <w:bCs/>
              <w:color w:val="000000"/>
              <w:lang w:val="en-US"/>
            </w:rPr>
            <w:t>118</w:t>
          </w:r>
          <w:r w:rsidRPr="00942C6B">
            <w:rPr>
              <w:rFonts w:ascii="Arial" w:eastAsia="Times New Roman" w:hAnsi="Arial" w:cs="Arial"/>
              <w:color w:val="000000"/>
              <w:lang w:val="en-US"/>
            </w:rPr>
            <w:t>, 9604–9611 (2014).</w:t>
          </w:r>
        </w:p>
        <w:p w14:paraId="1CD9E8CA" w14:textId="77777777" w:rsidR="00942C6B" w:rsidRPr="00942C6B" w:rsidRDefault="00942C6B">
          <w:pPr>
            <w:autoSpaceDE w:val="0"/>
            <w:autoSpaceDN w:val="0"/>
            <w:ind w:hanging="640"/>
            <w:divId w:val="1138452222"/>
            <w:rPr>
              <w:rFonts w:ascii="Arial" w:eastAsia="Times New Roman" w:hAnsi="Arial" w:cs="Arial"/>
              <w:color w:val="000000"/>
              <w:lang w:val="en-US"/>
            </w:rPr>
          </w:pPr>
          <w:r w:rsidRPr="00942C6B">
            <w:rPr>
              <w:rFonts w:ascii="Arial" w:eastAsia="Times New Roman" w:hAnsi="Arial" w:cs="Arial"/>
              <w:color w:val="000000"/>
              <w:lang w:val="en-US"/>
            </w:rPr>
            <w:t xml:space="preserve">5. </w:t>
          </w:r>
          <w:r w:rsidRPr="00942C6B">
            <w:rPr>
              <w:rFonts w:ascii="Arial" w:eastAsia="Times New Roman" w:hAnsi="Arial" w:cs="Arial"/>
              <w:color w:val="000000"/>
              <w:lang w:val="en-US"/>
            </w:rPr>
            <w:tab/>
            <w:t xml:space="preserve">Saccone, M. A., Gallivan, R. A., Narita, K., Yee, D. W. &amp; Greer, J. R. Additive manufacturing of micro-architected metals via hydrogel infusion. </w:t>
          </w:r>
          <w:r w:rsidRPr="00942C6B">
            <w:rPr>
              <w:rFonts w:ascii="Arial" w:eastAsia="Times New Roman" w:hAnsi="Arial" w:cs="Arial"/>
              <w:i/>
              <w:iCs/>
              <w:color w:val="000000"/>
              <w:lang w:val="en-US"/>
            </w:rPr>
            <w:t>Nature</w:t>
          </w:r>
          <w:r w:rsidRPr="00942C6B">
            <w:rPr>
              <w:rFonts w:ascii="Arial" w:eastAsia="Times New Roman" w:hAnsi="Arial" w:cs="Arial"/>
              <w:color w:val="000000"/>
              <w:lang w:val="en-US"/>
            </w:rPr>
            <w:t xml:space="preserve"> </w:t>
          </w:r>
          <w:r w:rsidRPr="00942C6B">
            <w:rPr>
              <w:rFonts w:ascii="Arial" w:eastAsia="Times New Roman" w:hAnsi="Arial" w:cs="Arial"/>
              <w:b/>
              <w:bCs/>
              <w:color w:val="000000"/>
              <w:lang w:val="en-US"/>
            </w:rPr>
            <w:t>612</w:t>
          </w:r>
          <w:r w:rsidRPr="00942C6B">
            <w:rPr>
              <w:rFonts w:ascii="Arial" w:eastAsia="Times New Roman" w:hAnsi="Arial" w:cs="Arial"/>
              <w:color w:val="000000"/>
              <w:lang w:val="en-US"/>
            </w:rPr>
            <w:t>, 685–690 (2022).</w:t>
          </w:r>
        </w:p>
        <w:p w14:paraId="6EC4480D" w14:textId="77777777" w:rsidR="00942C6B" w:rsidRPr="00942C6B" w:rsidRDefault="00942C6B">
          <w:pPr>
            <w:autoSpaceDE w:val="0"/>
            <w:autoSpaceDN w:val="0"/>
            <w:ind w:hanging="640"/>
            <w:divId w:val="907807822"/>
            <w:rPr>
              <w:rFonts w:ascii="Arial" w:eastAsia="Times New Roman" w:hAnsi="Arial" w:cs="Arial"/>
              <w:color w:val="000000"/>
              <w:lang w:val="en-US"/>
            </w:rPr>
          </w:pPr>
          <w:r w:rsidRPr="00942C6B">
            <w:rPr>
              <w:rFonts w:ascii="Arial" w:eastAsia="Times New Roman" w:hAnsi="Arial" w:cs="Arial"/>
              <w:color w:val="000000"/>
              <w:lang w:val="en-US"/>
            </w:rPr>
            <w:t xml:space="preserve">6. </w:t>
          </w:r>
          <w:r w:rsidRPr="00942C6B">
            <w:rPr>
              <w:rFonts w:ascii="Arial" w:eastAsia="Times New Roman" w:hAnsi="Arial" w:cs="Arial"/>
              <w:color w:val="000000"/>
              <w:lang w:val="en-US"/>
            </w:rPr>
            <w:tab/>
            <w:t xml:space="preserve">Ji, Y., Hong, Y., Bhandari, D. R. &amp; Yee, D. W. Hydrogel-Based Vat Photopolymerization of Ceramics and Metals with Low Shrinkages via Repeated Infusion Precipitation. </w:t>
          </w:r>
          <w:r w:rsidRPr="00942C6B">
            <w:rPr>
              <w:rFonts w:ascii="Arial" w:eastAsia="Times New Roman" w:hAnsi="Arial" w:cs="Arial"/>
              <w:i/>
              <w:iCs/>
              <w:color w:val="000000"/>
              <w:lang w:val="en-US"/>
            </w:rPr>
            <w:t>Advanced Materials</w:t>
          </w:r>
          <w:r w:rsidRPr="00942C6B">
            <w:rPr>
              <w:rFonts w:ascii="Arial" w:eastAsia="Times New Roman" w:hAnsi="Arial" w:cs="Arial"/>
              <w:color w:val="000000"/>
              <w:lang w:val="en-US"/>
            </w:rPr>
            <w:t xml:space="preserve"> </w:t>
          </w:r>
          <w:r w:rsidRPr="00942C6B">
            <w:rPr>
              <w:rFonts w:ascii="Arial" w:eastAsia="Times New Roman" w:hAnsi="Arial" w:cs="Arial"/>
              <w:b/>
              <w:bCs/>
              <w:color w:val="000000"/>
              <w:lang w:val="en-US"/>
            </w:rPr>
            <w:t>38</w:t>
          </w:r>
          <w:r w:rsidRPr="00942C6B">
            <w:rPr>
              <w:rFonts w:ascii="Arial" w:eastAsia="Times New Roman" w:hAnsi="Arial" w:cs="Arial"/>
              <w:color w:val="000000"/>
              <w:lang w:val="en-US"/>
            </w:rPr>
            <w:t>, (2026).</w:t>
          </w:r>
        </w:p>
        <w:p w14:paraId="7B0D08AD" w14:textId="77777777" w:rsidR="00942C6B" w:rsidRPr="00942C6B" w:rsidRDefault="00942C6B">
          <w:pPr>
            <w:autoSpaceDE w:val="0"/>
            <w:autoSpaceDN w:val="0"/>
            <w:ind w:hanging="640"/>
            <w:divId w:val="1121728689"/>
            <w:rPr>
              <w:rFonts w:ascii="Arial" w:eastAsia="Times New Roman" w:hAnsi="Arial" w:cs="Arial"/>
              <w:color w:val="000000"/>
              <w:lang w:val="en-US"/>
            </w:rPr>
          </w:pPr>
          <w:r w:rsidRPr="00942C6B">
            <w:rPr>
              <w:rFonts w:ascii="Arial" w:eastAsia="Times New Roman" w:hAnsi="Arial" w:cs="Arial"/>
              <w:color w:val="000000"/>
              <w:lang w:val="en-US"/>
            </w:rPr>
            <w:t xml:space="preserve">7. </w:t>
          </w:r>
          <w:r w:rsidRPr="00942C6B">
            <w:rPr>
              <w:rFonts w:ascii="Arial" w:eastAsia="Times New Roman" w:hAnsi="Arial" w:cs="Arial"/>
              <w:color w:val="000000"/>
              <w:lang w:val="en-US"/>
            </w:rPr>
            <w:tab/>
            <w:t xml:space="preserve">Kaehr, B. &amp; Shear, J. B. Multiphoton fabrication of chemically responsive protein hydrogels for </w:t>
          </w:r>
          <w:proofErr w:type="spellStart"/>
          <w:r w:rsidRPr="00942C6B">
            <w:rPr>
              <w:rFonts w:ascii="Arial" w:eastAsia="Times New Roman" w:hAnsi="Arial" w:cs="Arial"/>
              <w:color w:val="000000"/>
              <w:lang w:val="en-US"/>
            </w:rPr>
            <w:t>microactuation</w:t>
          </w:r>
          <w:proofErr w:type="spellEnd"/>
          <w:r w:rsidRPr="00942C6B">
            <w:rPr>
              <w:rFonts w:ascii="Arial" w:eastAsia="Times New Roman" w:hAnsi="Arial" w:cs="Arial"/>
              <w:color w:val="000000"/>
              <w:lang w:val="en-US"/>
            </w:rPr>
            <w:t xml:space="preserve">. </w:t>
          </w:r>
          <w:r w:rsidRPr="00942C6B">
            <w:rPr>
              <w:rFonts w:ascii="Arial" w:eastAsia="Times New Roman" w:hAnsi="Arial" w:cs="Arial"/>
              <w:i/>
              <w:iCs/>
              <w:color w:val="000000"/>
              <w:lang w:val="en-US"/>
            </w:rPr>
            <w:t>Proceedings of the National Academy of Sciences</w:t>
          </w:r>
          <w:r w:rsidRPr="00942C6B">
            <w:rPr>
              <w:rFonts w:ascii="Arial" w:eastAsia="Times New Roman" w:hAnsi="Arial" w:cs="Arial"/>
              <w:color w:val="000000"/>
              <w:lang w:val="en-US"/>
            </w:rPr>
            <w:t xml:space="preserve"> </w:t>
          </w:r>
          <w:r w:rsidRPr="00942C6B">
            <w:rPr>
              <w:rFonts w:ascii="Arial" w:eastAsia="Times New Roman" w:hAnsi="Arial" w:cs="Arial"/>
              <w:b/>
              <w:bCs/>
              <w:color w:val="000000"/>
              <w:lang w:val="en-US"/>
            </w:rPr>
            <w:t>105</w:t>
          </w:r>
          <w:r w:rsidRPr="00942C6B">
            <w:rPr>
              <w:rFonts w:ascii="Arial" w:eastAsia="Times New Roman" w:hAnsi="Arial" w:cs="Arial"/>
              <w:color w:val="000000"/>
              <w:lang w:val="en-US"/>
            </w:rPr>
            <w:t>, 8850–8854 (2008).</w:t>
          </w:r>
        </w:p>
        <w:p w14:paraId="3E12D74C" w14:textId="77777777" w:rsidR="00942C6B" w:rsidRPr="00942C6B" w:rsidRDefault="00942C6B">
          <w:pPr>
            <w:autoSpaceDE w:val="0"/>
            <w:autoSpaceDN w:val="0"/>
            <w:ind w:hanging="640"/>
            <w:divId w:val="1064335552"/>
            <w:rPr>
              <w:rFonts w:ascii="Arial" w:eastAsia="Times New Roman" w:hAnsi="Arial" w:cs="Arial"/>
              <w:color w:val="000000"/>
              <w:lang w:val="en-US"/>
            </w:rPr>
          </w:pPr>
          <w:r w:rsidRPr="00942C6B">
            <w:rPr>
              <w:rFonts w:ascii="Arial" w:eastAsia="Times New Roman" w:hAnsi="Arial" w:cs="Arial"/>
              <w:color w:val="000000"/>
              <w:lang w:val="en-US"/>
            </w:rPr>
            <w:t xml:space="preserve">8. </w:t>
          </w:r>
          <w:r w:rsidRPr="00942C6B">
            <w:rPr>
              <w:rFonts w:ascii="Arial" w:eastAsia="Times New Roman" w:hAnsi="Arial" w:cs="Arial"/>
              <w:color w:val="000000"/>
              <w:lang w:val="en-US"/>
            </w:rPr>
            <w:tab/>
            <w:t xml:space="preserve">Lay, C. L., Lee, Y. H., Lee, M. R., Phang, I. Y. &amp; Ling, X. Y. Formulating an Ideal Protein Photoresist for Fabricating Dynamic Microstructures with High Aspect Ratios and Uniform Responsiveness. </w:t>
          </w:r>
          <w:r w:rsidRPr="00942C6B">
            <w:rPr>
              <w:rFonts w:ascii="Arial" w:eastAsia="Times New Roman" w:hAnsi="Arial" w:cs="Arial"/>
              <w:i/>
              <w:iCs/>
              <w:color w:val="000000"/>
              <w:lang w:val="en-US"/>
            </w:rPr>
            <w:t>ACS Appl. Mater. Interfaces</w:t>
          </w:r>
          <w:r w:rsidRPr="00942C6B">
            <w:rPr>
              <w:rFonts w:ascii="Arial" w:eastAsia="Times New Roman" w:hAnsi="Arial" w:cs="Arial"/>
              <w:color w:val="000000"/>
              <w:lang w:val="en-US"/>
            </w:rPr>
            <w:t xml:space="preserve"> </w:t>
          </w:r>
          <w:r w:rsidRPr="00942C6B">
            <w:rPr>
              <w:rFonts w:ascii="Arial" w:eastAsia="Times New Roman" w:hAnsi="Arial" w:cs="Arial"/>
              <w:b/>
              <w:bCs/>
              <w:color w:val="000000"/>
              <w:lang w:val="en-US"/>
            </w:rPr>
            <w:t>8</w:t>
          </w:r>
          <w:r w:rsidRPr="00942C6B">
            <w:rPr>
              <w:rFonts w:ascii="Arial" w:eastAsia="Times New Roman" w:hAnsi="Arial" w:cs="Arial"/>
              <w:color w:val="000000"/>
              <w:lang w:val="en-US"/>
            </w:rPr>
            <w:t>, 8145–8153 (2016).</w:t>
          </w:r>
        </w:p>
        <w:p w14:paraId="73DA6196" w14:textId="77777777" w:rsidR="00942C6B" w:rsidRPr="003F73C3" w:rsidRDefault="00942C6B">
          <w:pPr>
            <w:autoSpaceDE w:val="0"/>
            <w:autoSpaceDN w:val="0"/>
            <w:ind w:hanging="640"/>
            <w:divId w:val="1728144224"/>
            <w:rPr>
              <w:rFonts w:ascii="Arial" w:eastAsia="Times New Roman" w:hAnsi="Arial" w:cs="Arial"/>
              <w:color w:val="000000"/>
              <w:lang w:val="en-US"/>
            </w:rPr>
          </w:pPr>
          <w:r w:rsidRPr="00942C6B">
            <w:rPr>
              <w:rFonts w:ascii="Arial" w:eastAsia="Times New Roman" w:hAnsi="Arial" w:cs="Arial"/>
              <w:color w:val="000000"/>
              <w:lang w:val="en-US"/>
            </w:rPr>
            <w:t xml:space="preserve">9. </w:t>
          </w:r>
          <w:r w:rsidRPr="00942C6B">
            <w:rPr>
              <w:rFonts w:ascii="Arial" w:eastAsia="Times New Roman" w:hAnsi="Arial" w:cs="Arial"/>
              <w:color w:val="000000"/>
              <w:lang w:val="en-US"/>
            </w:rPr>
            <w:tab/>
            <w:t xml:space="preserve">Wei, S. </w:t>
          </w:r>
          <w:r w:rsidRPr="00942C6B">
            <w:rPr>
              <w:rFonts w:ascii="Arial" w:eastAsia="Times New Roman" w:hAnsi="Arial" w:cs="Arial"/>
              <w:i/>
              <w:iCs/>
              <w:color w:val="000000"/>
              <w:lang w:val="en-US"/>
            </w:rPr>
            <w:t>et al.</w:t>
          </w:r>
          <w:r w:rsidRPr="00942C6B">
            <w:rPr>
              <w:rFonts w:ascii="Arial" w:eastAsia="Times New Roman" w:hAnsi="Arial" w:cs="Arial"/>
              <w:color w:val="000000"/>
              <w:lang w:val="en-US"/>
            </w:rPr>
            <w:t xml:space="preserve"> Protein-Based 3D Microstructures with Controllable Morphology and pH-Responsive Properties. </w:t>
          </w:r>
          <w:r w:rsidRPr="003F73C3">
            <w:rPr>
              <w:rFonts w:ascii="Arial" w:eastAsia="Times New Roman" w:hAnsi="Arial" w:cs="Arial"/>
              <w:i/>
              <w:iCs/>
              <w:color w:val="000000"/>
              <w:lang w:val="en-US"/>
            </w:rPr>
            <w:t>ACS Appl. Mater. Interfaces</w:t>
          </w:r>
          <w:r w:rsidRPr="003F73C3">
            <w:rPr>
              <w:rFonts w:ascii="Arial" w:eastAsia="Times New Roman" w:hAnsi="Arial" w:cs="Arial"/>
              <w:color w:val="000000"/>
              <w:lang w:val="en-US"/>
            </w:rPr>
            <w:t xml:space="preserve"> </w:t>
          </w:r>
          <w:r w:rsidRPr="003F73C3">
            <w:rPr>
              <w:rFonts w:ascii="Arial" w:eastAsia="Times New Roman" w:hAnsi="Arial" w:cs="Arial"/>
              <w:b/>
              <w:bCs/>
              <w:color w:val="000000"/>
              <w:lang w:val="en-US"/>
            </w:rPr>
            <w:t>9</w:t>
          </w:r>
          <w:r w:rsidRPr="003F73C3">
            <w:rPr>
              <w:rFonts w:ascii="Arial" w:eastAsia="Times New Roman" w:hAnsi="Arial" w:cs="Arial"/>
              <w:color w:val="000000"/>
              <w:lang w:val="en-US"/>
            </w:rPr>
            <w:t>, 42247–42257 (2017).</w:t>
          </w:r>
        </w:p>
        <w:p w14:paraId="169FB139" w14:textId="1BDEB5AD" w:rsidR="00B1289F" w:rsidRPr="00C30126" w:rsidRDefault="00942C6B" w:rsidP="00C30126">
          <w:pPr>
            <w:spacing w:line="360" w:lineRule="auto"/>
            <w:jc w:val="both"/>
            <w:rPr>
              <w:rFonts w:ascii="Arial" w:hAnsi="Arial" w:cs="Arial"/>
              <w:lang w:val="en-US"/>
            </w:rPr>
          </w:pPr>
          <w:r w:rsidRPr="003F73C3">
            <w:rPr>
              <w:rFonts w:ascii="Arial" w:eastAsia="Times New Roman" w:hAnsi="Arial" w:cs="Arial"/>
              <w:color w:val="000000"/>
              <w:lang w:val="en-US"/>
            </w:rPr>
            <w:t> </w:t>
          </w:r>
        </w:p>
      </w:sdtContent>
    </w:sdt>
    <w:sectPr w:rsidR="00B1289F" w:rsidRPr="00C30126" w:rsidSect="003F785F">
      <w:headerReference w:type="even" r:id="rId14"/>
      <w:headerReference w:type="default" r:id="rId15"/>
      <w:footerReference w:type="even" r:id="rId16"/>
      <w:footerReference w:type="default" r:id="rId17"/>
      <w:headerReference w:type="first" r:id="rId18"/>
      <w:footerReference w:type="first" r:id="rId1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37295" w14:textId="77777777" w:rsidR="00D24C74" w:rsidRDefault="00D24C74" w:rsidP="00C30126">
      <w:pPr>
        <w:spacing w:after="0" w:line="240" w:lineRule="auto"/>
      </w:pPr>
      <w:r>
        <w:separator/>
      </w:r>
    </w:p>
  </w:endnote>
  <w:endnote w:type="continuationSeparator" w:id="0">
    <w:p w14:paraId="3FFE7C87" w14:textId="77777777" w:rsidR="00D24C74" w:rsidRDefault="00D24C74" w:rsidP="00C30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0348" w14:textId="77777777" w:rsidR="00C30126" w:rsidRDefault="00C301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5922565"/>
      <w:docPartObj>
        <w:docPartGallery w:val="Page Numbers (Bottom of Page)"/>
        <w:docPartUnique/>
      </w:docPartObj>
    </w:sdtPr>
    <w:sdtEndPr>
      <w:rPr>
        <w:rFonts w:ascii="Arial" w:hAnsi="Arial" w:cs="Arial"/>
        <w:sz w:val="16"/>
        <w:szCs w:val="16"/>
      </w:rPr>
    </w:sdtEndPr>
    <w:sdtContent>
      <w:p w14:paraId="21741FEE" w14:textId="4D9F3AD2" w:rsidR="00C30126" w:rsidRPr="00C30126" w:rsidRDefault="00C30126">
        <w:pPr>
          <w:pStyle w:val="Footer"/>
          <w:jc w:val="right"/>
          <w:rPr>
            <w:rFonts w:ascii="Arial" w:hAnsi="Arial" w:cs="Arial"/>
            <w:sz w:val="16"/>
            <w:szCs w:val="16"/>
          </w:rPr>
        </w:pPr>
        <w:r w:rsidRPr="00C30126">
          <w:rPr>
            <w:rFonts w:ascii="Arial" w:hAnsi="Arial" w:cs="Arial"/>
            <w:sz w:val="16"/>
            <w:szCs w:val="16"/>
          </w:rPr>
          <w:fldChar w:fldCharType="begin"/>
        </w:r>
        <w:r w:rsidRPr="00C30126">
          <w:rPr>
            <w:rFonts w:ascii="Arial" w:hAnsi="Arial" w:cs="Arial"/>
            <w:sz w:val="16"/>
            <w:szCs w:val="16"/>
          </w:rPr>
          <w:instrText>PAGE   \* MERGEFORMAT</w:instrText>
        </w:r>
        <w:r w:rsidRPr="00C30126">
          <w:rPr>
            <w:rFonts w:ascii="Arial" w:hAnsi="Arial" w:cs="Arial"/>
            <w:sz w:val="16"/>
            <w:szCs w:val="16"/>
          </w:rPr>
          <w:fldChar w:fldCharType="separate"/>
        </w:r>
        <w:r w:rsidRPr="00C30126">
          <w:rPr>
            <w:rFonts w:ascii="Arial" w:hAnsi="Arial" w:cs="Arial"/>
            <w:sz w:val="16"/>
            <w:szCs w:val="16"/>
            <w:lang w:val="en-GB"/>
          </w:rPr>
          <w:t>2</w:t>
        </w:r>
        <w:r w:rsidRPr="00C30126">
          <w:rPr>
            <w:rFonts w:ascii="Arial" w:hAnsi="Arial" w:cs="Arial"/>
            <w:sz w:val="16"/>
            <w:szCs w:val="16"/>
          </w:rPr>
          <w:fldChar w:fldCharType="end"/>
        </w:r>
      </w:p>
    </w:sdtContent>
  </w:sdt>
  <w:p w14:paraId="32D07510" w14:textId="77777777" w:rsidR="00C30126" w:rsidRPr="00C30126" w:rsidRDefault="00C30126">
    <w:pPr>
      <w:pStyle w:val="Footer"/>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BB323" w14:textId="77777777" w:rsidR="00C30126" w:rsidRDefault="00C301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CA154" w14:textId="77777777" w:rsidR="00D24C74" w:rsidRDefault="00D24C74" w:rsidP="00C30126">
      <w:pPr>
        <w:spacing w:after="0" w:line="240" w:lineRule="auto"/>
      </w:pPr>
      <w:r>
        <w:separator/>
      </w:r>
    </w:p>
  </w:footnote>
  <w:footnote w:type="continuationSeparator" w:id="0">
    <w:p w14:paraId="51C8BA46" w14:textId="77777777" w:rsidR="00D24C74" w:rsidRDefault="00D24C74" w:rsidP="00C30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F4607" w14:textId="77777777" w:rsidR="00C30126" w:rsidRDefault="00C301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8A2C3" w14:textId="77777777" w:rsidR="00C30126" w:rsidRDefault="00C301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154FA" w14:textId="77777777" w:rsidR="00C30126" w:rsidRDefault="00C301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98A"/>
    <w:rsid w:val="00007B1E"/>
    <w:rsid w:val="00013704"/>
    <w:rsid w:val="0002187C"/>
    <w:rsid w:val="000C0E80"/>
    <w:rsid w:val="000F15BE"/>
    <w:rsid w:val="000F5B6D"/>
    <w:rsid w:val="00131BE6"/>
    <w:rsid w:val="001423C4"/>
    <w:rsid w:val="00200682"/>
    <w:rsid w:val="002B18D6"/>
    <w:rsid w:val="00336D41"/>
    <w:rsid w:val="003675BB"/>
    <w:rsid w:val="003B2864"/>
    <w:rsid w:val="003F73C3"/>
    <w:rsid w:val="003F785F"/>
    <w:rsid w:val="00470331"/>
    <w:rsid w:val="00496AED"/>
    <w:rsid w:val="00510620"/>
    <w:rsid w:val="005529EA"/>
    <w:rsid w:val="00575DA4"/>
    <w:rsid w:val="005864E5"/>
    <w:rsid w:val="0060698A"/>
    <w:rsid w:val="006333AB"/>
    <w:rsid w:val="00673E5A"/>
    <w:rsid w:val="007625A6"/>
    <w:rsid w:val="007D2468"/>
    <w:rsid w:val="007E105C"/>
    <w:rsid w:val="0091658C"/>
    <w:rsid w:val="00942C6B"/>
    <w:rsid w:val="009C712B"/>
    <w:rsid w:val="00A02A49"/>
    <w:rsid w:val="00A04C51"/>
    <w:rsid w:val="00A861CA"/>
    <w:rsid w:val="00B1289F"/>
    <w:rsid w:val="00B57552"/>
    <w:rsid w:val="00BB33E6"/>
    <w:rsid w:val="00BC1C33"/>
    <w:rsid w:val="00C22F30"/>
    <w:rsid w:val="00C30126"/>
    <w:rsid w:val="00C5704A"/>
    <w:rsid w:val="00C87D9A"/>
    <w:rsid w:val="00D201E8"/>
    <w:rsid w:val="00D24C74"/>
    <w:rsid w:val="00D36E19"/>
    <w:rsid w:val="00D97B91"/>
    <w:rsid w:val="00DC3750"/>
    <w:rsid w:val="00F175E1"/>
    <w:rsid w:val="00FA26A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E97EA"/>
  <w15:chartTrackingRefBased/>
  <w15:docId w15:val="{4F8837B9-DCC9-4522-95C8-29167BC17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6AA"/>
  </w:style>
  <w:style w:type="paragraph" w:styleId="Heading1">
    <w:name w:val="heading 1"/>
    <w:basedOn w:val="Normal"/>
    <w:next w:val="Normal"/>
    <w:link w:val="Heading1Char"/>
    <w:uiPriority w:val="9"/>
    <w:qFormat/>
    <w:rsid w:val="00FA26AA"/>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FA26AA"/>
    <w:pPr>
      <w:keepNext/>
      <w:keepLines/>
      <w:spacing w:before="40" w:after="0"/>
      <w:outlineLvl w:val="1"/>
    </w:pPr>
    <w:rPr>
      <w:rFonts w:asciiTheme="majorHAnsi" w:eastAsiaTheme="majorEastAsia" w:hAnsiTheme="majorHAnsi" w:cstheme="majorBidi"/>
      <w:color w:val="0F4761" w:themeColor="accent1" w:themeShade="BF"/>
      <w:sz w:val="28"/>
      <w:szCs w:val="28"/>
    </w:rPr>
  </w:style>
  <w:style w:type="paragraph" w:styleId="Heading3">
    <w:name w:val="heading 3"/>
    <w:basedOn w:val="Normal"/>
    <w:next w:val="Normal"/>
    <w:link w:val="Heading3Char"/>
    <w:uiPriority w:val="9"/>
    <w:semiHidden/>
    <w:unhideWhenUsed/>
    <w:qFormat/>
    <w:rsid w:val="00FA26AA"/>
    <w:pPr>
      <w:keepNext/>
      <w:keepLines/>
      <w:spacing w:before="40" w:after="0"/>
      <w:outlineLvl w:val="2"/>
    </w:pPr>
    <w:rPr>
      <w:rFonts w:asciiTheme="majorHAnsi" w:eastAsiaTheme="majorEastAsia" w:hAnsiTheme="majorHAnsi" w:cstheme="majorBidi"/>
      <w:color w:val="0A2F41" w:themeColor="accent1" w:themeShade="80"/>
      <w:sz w:val="24"/>
      <w:szCs w:val="24"/>
    </w:rPr>
  </w:style>
  <w:style w:type="paragraph" w:styleId="Heading4">
    <w:name w:val="heading 4"/>
    <w:basedOn w:val="Normal"/>
    <w:next w:val="Normal"/>
    <w:link w:val="Heading4Char"/>
    <w:uiPriority w:val="9"/>
    <w:semiHidden/>
    <w:unhideWhenUsed/>
    <w:qFormat/>
    <w:rsid w:val="00FA26AA"/>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FA26AA"/>
    <w:pPr>
      <w:keepNext/>
      <w:keepLines/>
      <w:spacing w:before="40" w:after="0"/>
      <w:outlineLvl w:val="4"/>
    </w:pPr>
    <w:rPr>
      <w:color w:val="0F4761" w:themeColor="accent1" w:themeShade="BF"/>
    </w:rPr>
  </w:style>
  <w:style w:type="paragraph" w:styleId="Heading6">
    <w:name w:val="heading 6"/>
    <w:basedOn w:val="Normal"/>
    <w:next w:val="Normal"/>
    <w:link w:val="Heading6Char"/>
    <w:uiPriority w:val="9"/>
    <w:semiHidden/>
    <w:unhideWhenUsed/>
    <w:qFormat/>
    <w:rsid w:val="00FA26AA"/>
    <w:pPr>
      <w:keepNext/>
      <w:keepLines/>
      <w:spacing w:before="40" w:after="0"/>
      <w:outlineLvl w:val="5"/>
    </w:pPr>
    <w:rPr>
      <w:color w:val="0A2F41" w:themeColor="accent1" w:themeShade="80"/>
    </w:rPr>
  </w:style>
  <w:style w:type="paragraph" w:styleId="Heading7">
    <w:name w:val="heading 7"/>
    <w:basedOn w:val="Normal"/>
    <w:next w:val="Normal"/>
    <w:link w:val="Heading7Char"/>
    <w:uiPriority w:val="9"/>
    <w:semiHidden/>
    <w:unhideWhenUsed/>
    <w:qFormat/>
    <w:rsid w:val="00FA26AA"/>
    <w:pPr>
      <w:keepNext/>
      <w:keepLines/>
      <w:spacing w:before="40" w:after="0"/>
      <w:outlineLvl w:val="6"/>
    </w:pPr>
    <w:rPr>
      <w:rFonts w:asciiTheme="majorHAnsi" w:eastAsiaTheme="majorEastAsia" w:hAnsiTheme="majorHAnsi" w:cstheme="majorBidi"/>
      <w:i/>
      <w:iCs/>
      <w:color w:val="0A2F41" w:themeColor="accent1" w:themeShade="80"/>
    </w:rPr>
  </w:style>
  <w:style w:type="paragraph" w:styleId="Heading8">
    <w:name w:val="heading 8"/>
    <w:basedOn w:val="Normal"/>
    <w:next w:val="Normal"/>
    <w:link w:val="Heading8Char"/>
    <w:uiPriority w:val="9"/>
    <w:semiHidden/>
    <w:unhideWhenUsed/>
    <w:qFormat/>
    <w:rsid w:val="00FA26AA"/>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FA26AA"/>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6AA"/>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FA26AA"/>
    <w:rPr>
      <w:rFonts w:asciiTheme="majorHAnsi" w:eastAsiaTheme="majorEastAsia" w:hAnsiTheme="majorHAnsi" w:cstheme="majorBidi"/>
      <w:color w:val="0F4761" w:themeColor="accent1" w:themeShade="BF"/>
      <w:sz w:val="28"/>
      <w:szCs w:val="28"/>
    </w:rPr>
  </w:style>
  <w:style w:type="character" w:customStyle="1" w:styleId="Heading3Char">
    <w:name w:val="Heading 3 Char"/>
    <w:basedOn w:val="DefaultParagraphFont"/>
    <w:link w:val="Heading3"/>
    <w:uiPriority w:val="9"/>
    <w:semiHidden/>
    <w:rsid w:val="00FA26AA"/>
    <w:rPr>
      <w:rFonts w:asciiTheme="majorHAnsi" w:eastAsiaTheme="majorEastAsia" w:hAnsiTheme="majorHAnsi" w:cstheme="majorBidi"/>
      <w:color w:val="0A2F41" w:themeColor="accent1" w:themeShade="80"/>
      <w:sz w:val="24"/>
      <w:szCs w:val="24"/>
    </w:rPr>
  </w:style>
  <w:style w:type="character" w:customStyle="1" w:styleId="Heading4Char">
    <w:name w:val="Heading 4 Char"/>
    <w:basedOn w:val="DefaultParagraphFont"/>
    <w:link w:val="Heading4"/>
    <w:uiPriority w:val="9"/>
    <w:semiHidden/>
    <w:rsid w:val="00FA26AA"/>
    <w:rPr>
      <w:i/>
      <w:iCs/>
    </w:rPr>
  </w:style>
  <w:style w:type="character" w:customStyle="1" w:styleId="Heading5Char">
    <w:name w:val="Heading 5 Char"/>
    <w:basedOn w:val="DefaultParagraphFont"/>
    <w:link w:val="Heading5"/>
    <w:uiPriority w:val="9"/>
    <w:semiHidden/>
    <w:rsid w:val="00FA26AA"/>
    <w:rPr>
      <w:color w:val="0F4761" w:themeColor="accent1" w:themeShade="BF"/>
    </w:rPr>
  </w:style>
  <w:style w:type="character" w:customStyle="1" w:styleId="Heading6Char">
    <w:name w:val="Heading 6 Char"/>
    <w:basedOn w:val="DefaultParagraphFont"/>
    <w:link w:val="Heading6"/>
    <w:uiPriority w:val="9"/>
    <w:semiHidden/>
    <w:rsid w:val="00FA26AA"/>
    <w:rPr>
      <w:color w:val="0A2F41" w:themeColor="accent1" w:themeShade="80"/>
    </w:rPr>
  </w:style>
  <w:style w:type="character" w:customStyle="1" w:styleId="Heading7Char">
    <w:name w:val="Heading 7 Char"/>
    <w:basedOn w:val="DefaultParagraphFont"/>
    <w:link w:val="Heading7"/>
    <w:uiPriority w:val="9"/>
    <w:semiHidden/>
    <w:rsid w:val="00FA26AA"/>
    <w:rPr>
      <w:rFonts w:asciiTheme="majorHAnsi" w:eastAsiaTheme="majorEastAsia" w:hAnsiTheme="majorHAnsi" w:cstheme="majorBidi"/>
      <w:i/>
      <w:iCs/>
      <w:color w:val="0A2F41" w:themeColor="accent1" w:themeShade="80"/>
    </w:rPr>
  </w:style>
  <w:style w:type="character" w:customStyle="1" w:styleId="Heading8Char">
    <w:name w:val="Heading 8 Char"/>
    <w:basedOn w:val="DefaultParagraphFont"/>
    <w:link w:val="Heading8"/>
    <w:uiPriority w:val="9"/>
    <w:semiHidden/>
    <w:rsid w:val="00FA26AA"/>
    <w:rPr>
      <w:color w:val="262626" w:themeColor="text1" w:themeTint="D9"/>
      <w:sz w:val="21"/>
      <w:szCs w:val="21"/>
    </w:rPr>
  </w:style>
  <w:style w:type="character" w:customStyle="1" w:styleId="Heading9Char">
    <w:name w:val="Heading 9 Char"/>
    <w:basedOn w:val="DefaultParagraphFont"/>
    <w:link w:val="Heading9"/>
    <w:uiPriority w:val="9"/>
    <w:semiHidden/>
    <w:rsid w:val="00FA26AA"/>
    <w:rPr>
      <w:rFonts w:asciiTheme="majorHAnsi" w:eastAsiaTheme="majorEastAsia" w:hAnsiTheme="majorHAnsi" w:cstheme="majorBidi"/>
      <w:i/>
      <w:iCs/>
      <w:color w:val="262626" w:themeColor="text1" w:themeTint="D9"/>
      <w:sz w:val="21"/>
      <w:szCs w:val="21"/>
    </w:rPr>
  </w:style>
  <w:style w:type="paragraph" w:styleId="Title">
    <w:name w:val="Title"/>
    <w:basedOn w:val="Normal"/>
    <w:next w:val="Normal"/>
    <w:link w:val="TitleChar"/>
    <w:uiPriority w:val="10"/>
    <w:qFormat/>
    <w:rsid w:val="00FA26AA"/>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FA26AA"/>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FA26AA"/>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FA26AA"/>
    <w:rPr>
      <w:color w:val="5A5A5A" w:themeColor="text1" w:themeTint="A5"/>
      <w:spacing w:val="15"/>
    </w:rPr>
  </w:style>
  <w:style w:type="paragraph" w:styleId="Quote">
    <w:name w:val="Quote"/>
    <w:basedOn w:val="Normal"/>
    <w:next w:val="Normal"/>
    <w:link w:val="QuoteChar"/>
    <w:uiPriority w:val="29"/>
    <w:qFormat/>
    <w:rsid w:val="00FA26AA"/>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FA26AA"/>
    <w:rPr>
      <w:i/>
      <w:iCs/>
      <w:color w:val="404040" w:themeColor="text1" w:themeTint="BF"/>
    </w:rPr>
  </w:style>
  <w:style w:type="paragraph" w:styleId="ListParagraph">
    <w:name w:val="List Paragraph"/>
    <w:basedOn w:val="Normal"/>
    <w:uiPriority w:val="34"/>
    <w:qFormat/>
    <w:rsid w:val="0060698A"/>
    <w:pPr>
      <w:ind w:left="720"/>
      <w:contextualSpacing/>
    </w:pPr>
  </w:style>
  <w:style w:type="character" w:styleId="IntenseEmphasis">
    <w:name w:val="Intense Emphasis"/>
    <w:basedOn w:val="DefaultParagraphFont"/>
    <w:uiPriority w:val="21"/>
    <w:qFormat/>
    <w:rsid w:val="00FA26AA"/>
    <w:rPr>
      <w:i/>
      <w:iCs/>
      <w:color w:val="156082" w:themeColor="accent1"/>
    </w:rPr>
  </w:style>
  <w:style w:type="paragraph" w:styleId="IntenseQuote">
    <w:name w:val="Intense Quote"/>
    <w:basedOn w:val="Normal"/>
    <w:next w:val="Normal"/>
    <w:link w:val="IntenseQuoteChar"/>
    <w:uiPriority w:val="30"/>
    <w:qFormat/>
    <w:rsid w:val="00FA26AA"/>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FA26AA"/>
    <w:rPr>
      <w:i/>
      <w:iCs/>
      <w:color w:val="156082" w:themeColor="accent1"/>
    </w:rPr>
  </w:style>
  <w:style w:type="character" w:styleId="IntenseReference">
    <w:name w:val="Intense Reference"/>
    <w:basedOn w:val="DefaultParagraphFont"/>
    <w:uiPriority w:val="32"/>
    <w:qFormat/>
    <w:rsid w:val="00FA26AA"/>
    <w:rPr>
      <w:b/>
      <w:bCs/>
      <w:smallCaps/>
      <w:color w:val="156082" w:themeColor="accent1"/>
      <w:spacing w:val="5"/>
    </w:rPr>
  </w:style>
  <w:style w:type="character" w:styleId="PlaceholderText">
    <w:name w:val="Placeholder Text"/>
    <w:basedOn w:val="DefaultParagraphFont"/>
    <w:uiPriority w:val="99"/>
    <w:semiHidden/>
    <w:rsid w:val="00131BE6"/>
    <w:rPr>
      <w:color w:val="666666"/>
    </w:rPr>
  </w:style>
  <w:style w:type="paragraph" w:styleId="Caption">
    <w:name w:val="caption"/>
    <w:basedOn w:val="Normal"/>
    <w:next w:val="Normal"/>
    <w:uiPriority w:val="35"/>
    <w:unhideWhenUsed/>
    <w:qFormat/>
    <w:rsid w:val="00FA26AA"/>
    <w:pPr>
      <w:spacing w:after="200" w:line="240" w:lineRule="auto"/>
    </w:pPr>
    <w:rPr>
      <w:i/>
      <w:iCs/>
      <w:color w:val="0E2841" w:themeColor="text2"/>
      <w:sz w:val="18"/>
      <w:szCs w:val="18"/>
    </w:rPr>
  </w:style>
  <w:style w:type="character" w:styleId="Strong">
    <w:name w:val="Strong"/>
    <w:basedOn w:val="DefaultParagraphFont"/>
    <w:uiPriority w:val="22"/>
    <w:qFormat/>
    <w:rsid w:val="00FA26AA"/>
    <w:rPr>
      <w:b/>
      <w:bCs/>
      <w:color w:val="auto"/>
    </w:rPr>
  </w:style>
  <w:style w:type="character" w:styleId="Emphasis">
    <w:name w:val="Emphasis"/>
    <w:basedOn w:val="DefaultParagraphFont"/>
    <w:uiPriority w:val="20"/>
    <w:qFormat/>
    <w:rsid w:val="00FA26AA"/>
    <w:rPr>
      <w:i/>
      <w:iCs/>
      <w:color w:val="auto"/>
    </w:rPr>
  </w:style>
  <w:style w:type="paragraph" w:styleId="NoSpacing">
    <w:name w:val="No Spacing"/>
    <w:uiPriority w:val="1"/>
    <w:qFormat/>
    <w:rsid w:val="00FA26AA"/>
    <w:pPr>
      <w:spacing w:after="0" w:line="240" w:lineRule="auto"/>
    </w:pPr>
  </w:style>
  <w:style w:type="character" w:styleId="SubtleEmphasis">
    <w:name w:val="Subtle Emphasis"/>
    <w:basedOn w:val="DefaultParagraphFont"/>
    <w:uiPriority w:val="19"/>
    <w:qFormat/>
    <w:rsid w:val="00FA26AA"/>
    <w:rPr>
      <w:i/>
      <w:iCs/>
      <w:color w:val="404040" w:themeColor="text1" w:themeTint="BF"/>
    </w:rPr>
  </w:style>
  <w:style w:type="character" w:styleId="SubtleReference">
    <w:name w:val="Subtle Reference"/>
    <w:basedOn w:val="DefaultParagraphFont"/>
    <w:uiPriority w:val="31"/>
    <w:qFormat/>
    <w:rsid w:val="00FA26AA"/>
    <w:rPr>
      <w:smallCaps/>
      <w:color w:val="404040" w:themeColor="text1" w:themeTint="BF"/>
    </w:rPr>
  </w:style>
  <w:style w:type="character" w:styleId="BookTitle">
    <w:name w:val="Book Title"/>
    <w:basedOn w:val="DefaultParagraphFont"/>
    <w:uiPriority w:val="33"/>
    <w:qFormat/>
    <w:rsid w:val="00FA26AA"/>
    <w:rPr>
      <w:b/>
      <w:bCs/>
      <w:i/>
      <w:iCs/>
      <w:spacing w:val="5"/>
    </w:rPr>
  </w:style>
  <w:style w:type="paragraph" w:styleId="TOCHeading">
    <w:name w:val="TOC Heading"/>
    <w:basedOn w:val="Heading1"/>
    <w:next w:val="Normal"/>
    <w:uiPriority w:val="39"/>
    <w:unhideWhenUsed/>
    <w:qFormat/>
    <w:rsid w:val="00FA26AA"/>
    <w:pPr>
      <w:outlineLvl w:val="9"/>
    </w:pPr>
  </w:style>
  <w:style w:type="paragraph" w:styleId="Header">
    <w:name w:val="header"/>
    <w:basedOn w:val="Normal"/>
    <w:link w:val="HeaderChar"/>
    <w:uiPriority w:val="99"/>
    <w:unhideWhenUsed/>
    <w:rsid w:val="00C30126"/>
    <w:pPr>
      <w:tabs>
        <w:tab w:val="center" w:pos="4153"/>
        <w:tab w:val="right" w:pos="8306"/>
      </w:tabs>
      <w:spacing w:after="0" w:line="240" w:lineRule="auto"/>
    </w:pPr>
  </w:style>
  <w:style w:type="character" w:customStyle="1" w:styleId="HeaderChar">
    <w:name w:val="Header Char"/>
    <w:basedOn w:val="DefaultParagraphFont"/>
    <w:link w:val="Header"/>
    <w:uiPriority w:val="99"/>
    <w:rsid w:val="00C30126"/>
  </w:style>
  <w:style w:type="paragraph" w:styleId="Footer">
    <w:name w:val="footer"/>
    <w:basedOn w:val="Normal"/>
    <w:link w:val="FooterChar"/>
    <w:uiPriority w:val="99"/>
    <w:unhideWhenUsed/>
    <w:rsid w:val="00C30126"/>
    <w:pPr>
      <w:tabs>
        <w:tab w:val="center" w:pos="4153"/>
        <w:tab w:val="right" w:pos="8306"/>
      </w:tabs>
      <w:spacing w:after="0" w:line="240" w:lineRule="auto"/>
    </w:pPr>
  </w:style>
  <w:style w:type="character" w:customStyle="1" w:styleId="FooterChar">
    <w:name w:val="Footer Char"/>
    <w:basedOn w:val="DefaultParagraphFont"/>
    <w:link w:val="Footer"/>
    <w:uiPriority w:val="99"/>
    <w:rsid w:val="00C30126"/>
  </w:style>
  <w:style w:type="paragraph" w:styleId="TOC1">
    <w:name w:val="toc 1"/>
    <w:basedOn w:val="Normal"/>
    <w:next w:val="Normal"/>
    <w:autoRedefine/>
    <w:uiPriority w:val="39"/>
    <w:unhideWhenUsed/>
    <w:rsid w:val="00C22F30"/>
    <w:pPr>
      <w:spacing w:after="100"/>
    </w:pPr>
  </w:style>
  <w:style w:type="paragraph" w:styleId="TOC2">
    <w:name w:val="toc 2"/>
    <w:basedOn w:val="Normal"/>
    <w:next w:val="Normal"/>
    <w:autoRedefine/>
    <w:uiPriority w:val="39"/>
    <w:unhideWhenUsed/>
    <w:rsid w:val="00C22F30"/>
    <w:pPr>
      <w:spacing w:after="100"/>
      <w:ind w:left="220"/>
    </w:pPr>
  </w:style>
  <w:style w:type="character" w:styleId="Hyperlink">
    <w:name w:val="Hyperlink"/>
    <w:basedOn w:val="DefaultParagraphFont"/>
    <w:uiPriority w:val="99"/>
    <w:unhideWhenUsed/>
    <w:rsid w:val="00C22F30"/>
    <w:rPr>
      <w:color w:val="467886" w:themeColor="hyperlink"/>
      <w:u w:val="single"/>
    </w:rPr>
  </w:style>
  <w:style w:type="paragraph" w:customStyle="1" w:styleId="Style1">
    <w:name w:val="Style1"/>
    <w:basedOn w:val="Normal"/>
    <w:link w:val="Style1Char"/>
    <w:qFormat/>
    <w:rsid w:val="00A02A49"/>
    <w:pPr>
      <w:spacing w:after="120"/>
      <w:jc w:val="both"/>
    </w:pPr>
    <w:rPr>
      <w:rFonts w:ascii="Times New Roman" w:hAnsi="Times New Roman"/>
      <w:color w:val="000000"/>
      <w:lang w:val="en-US"/>
    </w:rPr>
  </w:style>
  <w:style w:type="character" w:customStyle="1" w:styleId="Style1Char">
    <w:name w:val="Style1 Char"/>
    <w:basedOn w:val="DefaultParagraphFont"/>
    <w:link w:val="Style1"/>
    <w:rsid w:val="00A02A49"/>
    <w:rPr>
      <w:rFonts w:ascii="Times New Roman" w:hAnsi="Times New Roman"/>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312935">
      <w:marLeft w:val="640"/>
      <w:marRight w:val="0"/>
      <w:marTop w:val="0"/>
      <w:marBottom w:val="0"/>
      <w:divBdr>
        <w:top w:val="none" w:sz="0" w:space="0" w:color="auto"/>
        <w:left w:val="none" w:sz="0" w:space="0" w:color="auto"/>
        <w:bottom w:val="none" w:sz="0" w:space="0" w:color="auto"/>
        <w:right w:val="none" w:sz="0" w:space="0" w:color="auto"/>
      </w:divBdr>
    </w:div>
    <w:div w:id="907807822">
      <w:marLeft w:val="640"/>
      <w:marRight w:val="0"/>
      <w:marTop w:val="0"/>
      <w:marBottom w:val="0"/>
      <w:divBdr>
        <w:top w:val="none" w:sz="0" w:space="0" w:color="auto"/>
        <w:left w:val="none" w:sz="0" w:space="0" w:color="auto"/>
        <w:bottom w:val="none" w:sz="0" w:space="0" w:color="auto"/>
        <w:right w:val="none" w:sz="0" w:space="0" w:color="auto"/>
      </w:divBdr>
    </w:div>
    <w:div w:id="1064335552">
      <w:marLeft w:val="640"/>
      <w:marRight w:val="0"/>
      <w:marTop w:val="0"/>
      <w:marBottom w:val="0"/>
      <w:divBdr>
        <w:top w:val="none" w:sz="0" w:space="0" w:color="auto"/>
        <w:left w:val="none" w:sz="0" w:space="0" w:color="auto"/>
        <w:bottom w:val="none" w:sz="0" w:space="0" w:color="auto"/>
        <w:right w:val="none" w:sz="0" w:space="0" w:color="auto"/>
      </w:divBdr>
    </w:div>
    <w:div w:id="1121728689">
      <w:marLeft w:val="640"/>
      <w:marRight w:val="0"/>
      <w:marTop w:val="0"/>
      <w:marBottom w:val="0"/>
      <w:divBdr>
        <w:top w:val="none" w:sz="0" w:space="0" w:color="auto"/>
        <w:left w:val="none" w:sz="0" w:space="0" w:color="auto"/>
        <w:bottom w:val="none" w:sz="0" w:space="0" w:color="auto"/>
        <w:right w:val="none" w:sz="0" w:space="0" w:color="auto"/>
      </w:divBdr>
    </w:div>
    <w:div w:id="1138452222">
      <w:marLeft w:val="640"/>
      <w:marRight w:val="0"/>
      <w:marTop w:val="0"/>
      <w:marBottom w:val="0"/>
      <w:divBdr>
        <w:top w:val="none" w:sz="0" w:space="0" w:color="auto"/>
        <w:left w:val="none" w:sz="0" w:space="0" w:color="auto"/>
        <w:bottom w:val="none" w:sz="0" w:space="0" w:color="auto"/>
        <w:right w:val="none" w:sz="0" w:space="0" w:color="auto"/>
      </w:divBdr>
    </w:div>
    <w:div w:id="1270432588">
      <w:marLeft w:val="640"/>
      <w:marRight w:val="0"/>
      <w:marTop w:val="0"/>
      <w:marBottom w:val="0"/>
      <w:divBdr>
        <w:top w:val="none" w:sz="0" w:space="0" w:color="auto"/>
        <w:left w:val="none" w:sz="0" w:space="0" w:color="auto"/>
        <w:bottom w:val="none" w:sz="0" w:space="0" w:color="auto"/>
        <w:right w:val="none" w:sz="0" w:space="0" w:color="auto"/>
      </w:divBdr>
    </w:div>
    <w:div w:id="1289776193">
      <w:marLeft w:val="640"/>
      <w:marRight w:val="0"/>
      <w:marTop w:val="0"/>
      <w:marBottom w:val="0"/>
      <w:divBdr>
        <w:top w:val="none" w:sz="0" w:space="0" w:color="auto"/>
        <w:left w:val="none" w:sz="0" w:space="0" w:color="auto"/>
        <w:bottom w:val="none" w:sz="0" w:space="0" w:color="auto"/>
        <w:right w:val="none" w:sz="0" w:space="0" w:color="auto"/>
      </w:divBdr>
    </w:div>
    <w:div w:id="1583829189">
      <w:marLeft w:val="640"/>
      <w:marRight w:val="0"/>
      <w:marTop w:val="0"/>
      <w:marBottom w:val="0"/>
      <w:divBdr>
        <w:top w:val="none" w:sz="0" w:space="0" w:color="auto"/>
        <w:left w:val="none" w:sz="0" w:space="0" w:color="auto"/>
        <w:bottom w:val="none" w:sz="0" w:space="0" w:color="auto"/>
        <w:right w:val="none" w:sz="0" w:space="0" w:color="auto"/>
      </w:divBdr>
    </w:div>
    <w:div w:id="1728144224">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hyperlink" Target="mailto:mfarsari@iesl.forth.gr" TargetMode="Externa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931B03-4C79-4561-BCF9-D10594A028A9}"/>
      </w:docPartPr>
      <w:docPartBody>
        <w:p w:rsidR="004C1C08" w:rsidRDefault="00760F87">
          <w:r w:rsidRPr="009176B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F87"/>
    <w:rsid w:val="000839D8"/>
    <w:rsid w:val="00470331"/>
    <w:rsid w:val="004C1C08"/>
    <w:rsid w:val="004D273E"/>
    <w:rsid w:val="00510620"/>
    <w:rsid w:val="00760F87"/>
    <w:rsid w:val="00B5755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l-GR" w:eastAsia="el-G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0F8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BB1B4C9-A1A0-44FC-AA6B-8FE77EDB9FE7}">
  <we:reference id="wa104382081" version="1.55.1.0" store="el-GR" storeType="OMEX"/>
  <we:alternateReferences>
    <we:reference id="WA104382081" version="1.55.1.0" store="" storeType="OMEX"/>
  </we:alternateReferences>
  <we:properties>
    <we:property name="MENDELEY_BIBLIOGRAPHY_IS_DIRTY" value="true"/>
    <we:property name="MENDELEY_BIBLIOGRAPHY_LAST_MODIFIED" value="1787826074195"/>
    <we:property name="MENDELEY_CITATIONS" value="[{&quot;citationID&quot;:&quot;MENDELEY_CITATION_6421fc4c-779c-40e4-83ba-e74e4b466c77&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&quot;,&quot;citationItems&quot;:[{&quot;id&quot;:&quot;adb516b6-4b79-307b-939b-0932ff55042f&quot;,&quot;itemData&quot;:{&quot;type&quot;:&quot;article-journal&quot;,&quot;id&quot;:&quot;adb516b6-4b79-307b-939b-0932ff55042f&quot;,&quot;title&quot;:&quot;Systematic FTIR spectroscopy study of the secondary structure changes in human serum albumin under various denaturation conditions&quot;,&quot;author&quot;:[{&quot;family&quot;:&quot;Usoltsev&quot;,&quot;given&quot;:&quot;Dmitrii&quot;,&quot;parse-names&quot;:false,&quot;dropping-particle&quot;:&quot;&quot;,&quot;non-dropping-particle&quot;:&quot;&quot;},{&quot;family&quot;:&quot;Sitnikova&quot;,&quot;given&quot;:&quot;Vera&quot;,&quot;parse-names&quot;:false,&quot;dropping-particle&quot;:&quot;&quot;,&quot;non-dropping-particle&quot;:&quot;&quot;},{&quot;family&quot;:&quot;Kajava&quot;,&quot;given&quot;:&quot;Andrey&quot;,&quot;parse-names&quot;:false,&quot;dropping-particle&quot;:&quot;&quot;,&quot;non-dropping-particle&quot;:&quot;&quot;},{&quot;family&quot;:&quot;Uspenskaya&quot;,&quot;given&quot;:&quot;Mayya&quot;,&quot;parse-names&quot;:false,&quot;dropping-particle&quot;:&quot;&quot;,&quot;non-dropping-particle&quot;:&quot;&quot;}],&quot;container-title&quot;:&quot;Biomolecules&quot;,&quot;container-title-short&quot;:&quot;Biomolecules&quot;,&quot;DOI&quot;:&quot;10.3390/biom9080359&quot;,&quot;ISSN&quot;:&quot;2218273X&quot;,&quot;PMID&quot;:&quot;31409012&quot;,&quot;issued&quot;:{&quot;date-parts&quot;:[[2019,8,1]]},&quot;abstract&quot;:&quot;Human serum albumin (HSA) is the most abundant protein in blood plasma. HSA is involved in the transport of hormones, fatty acids, and some other compounds, maintenance of blood pH, osmotic pressure, and many other functions. Although this protein is well studied, data about its conformational changes upon different denaturation factors are fragmentary and sometimes contradictory. This is especially true for FTIR spectroscopy data interpretation. Here, the effect of various denaturing agents on the structural state of HSA by using FTIR spectroscopy in the aqueous solutions was systematically studied. Our data suggest that the second derivative deconvolution method provides the most consistent interpretation of the obtained IR spectra. The secondary structure changes of HSA were studied depending on the concentration of the denaturing agent during acid, alkaline, and thermal denaturation. In general, the denaturation of HSA in different conditions is accompanied by a decrease in α-helical conformation and an increase in random coil conformation and the intermolecular β-strands. Meantime, some variation in the conformational changes depending on the type of the denaturation agent were also observed. The increase of β-structural conformation suggests that HSA may form amyloid-like aggregates upon the denaturation.&quot;,&quot;publisher&quot;:&quot;MDPI AG&quot;,&quot;issue&quot;:&quot;8&quot;,&quot;volume&quot;:&quot;9&quot;},&quot;isTemporary&quot;:false},{&quot;id&quot;:&quot;4924d4a0-da83-3dc8-8211-fef732202a66&quot;,&quot;itemData&quot;:{&quot;type&quot;:&quot;article-journal&quot;,&quot;id&quot;:&quot;4924d4a0-da83-3dc8-8211-fef732202a66&quot;,&quot;title&quot;:&quot;FTIR study of secondary structure changes in Epidermal Growth Factor by gold nanoparticle conjugation&quot;,&quot;author&quot;:[{&quot;family&quot;:&quot;Bhattacharjee&quot;,&quot;given&quot;:&quot;T. T.&quot;,&quot;parse-names&quot;:false,&quot;dropping-particle&quot;:&quot;&quot;,&quot;non-dropping-particle&quot;:&quot;&quot;},{&quot;family&quot;:&quot;Castilho&quot;,&quot;given&quot;:&quot;M. L.&quot;,&quot;parse-names&quot;:false,&quot;dropping-particle&quot;:&quot;&quot;,&quot;non-dropping-particle&quot;:&quot;&quot;},{&quot;family&quot;:&quot;Oliveira&quot;,&quot;given&quot;:&quot;I. R.&quot;,&quot;parse-names&quot;:false,&quot;dropping-particle&quot;:&quot;&quot;,&quot;non-dropping-particle&quot;:&quot;de&quot;},{&quot;family&quot;:&quot;Jesus&quot;,&quot;given&quot;:&quot;V. P.S.&quot;,&quot;parse-names&quot;:false,&quot;dropping-particle&quot;:&quot;&quot;,&quot;non-dropping-particle&quot;:&quot;&quot;},{&quot;family&quot;:&quot;Hewitt&quot;,&quot;given&quot;:&quot;K. C.&quot;,&quot;parse-names&quot;:false,&quot;dropping-particle&quot;:&quot;&quot;,&quot;non-dropping-particle&quot;:&quot;&quot;},{&quot;family&quot;:&quot;Raniero&quot;,&quot;given&quot;:&quot;L.&quot;,&quot;parse-names&quot;:false,&quot;dropping-particle&quot;:&quot;&quot;,&quot;non-dropping-particle&quot;:&quot;&quot;}],&quot;container-title&quot;:&quot;Biochimica et Biophysica Acta - General Subjects&quot;,&quot;container-title-short&quot;:&quot;Biochim. Biophys. Acta Gen. Subj.&quot;,&quot;DOI&quot;:&quot;10.1016/j.bbagen.2017.11.009&quot;,&quot;ISSN&quot;:&quot;18728006&quot;,&quot;PMID&quot;:&quot;29122663&quot;,&quot;issued&quot;:{&quot;date-parts&quot;:[[2018,3,1]]},&quot;page&quot;:&quot;495-500&quot;,&quot;abstract&quot;:&quot;Conformation of protein is vital to its function, but may get affected when processing to manufacture products. It is therefore important to understand structural changes during each step of production. In this study, we investigate secondary structure changes in the targeting protein Epidermal Growth Factor (EGF) during synthesis of theranostic bifunctional nanoparticle, devised for Photodynamic therapy of breast cancer. We acquired FTIR spectra of EGF; unconjugated, post treatment with α-lipoic acid, attached to gold nanoparticle, and bound to the bifunctional nanoprobe. We observed decreasing disordered structures and turns, and increasing loops, as the synthesis process progressed. There was an overall increase in β-sheets in final product compared to pure EGF, but this increase was not linear and fluctuated. Previous crystal structure studies on EGF-EGFR complex have shown loops and β-sheets to be important in the binding interaction. Since our study found increase in these structures in the final product, no adverse effect on binding function of EGF was expected. This was confirmed by functional assays. Such studies may help modify synthesis procedures, and thus secondary structures of proteins, enabling increased functionality and optimum results.&quot;,&quot;publisher&quot;:&quot;Elsevier B.V.&quot;,&quot;issue&quot;:&quot;3&quot;,&quot;volume&quot;:&quot;1862&quot;},&quot;isTemporary&quot;:false}]},{&quot;citationID&quot;:&quot;MENDELEY_CITATION_78f43ad5-6ff6-4b87-95e2-e44a468b8ae1&quot;,&quot;properties&quot;:{&quot;noteIndex&quot;:0},&quot;isEdited&quot;:false,&quot;manualOverride&quot;:{&quot;isManuallyOverridden&quot;:false,&quot;citeprocText&quot;:&quot;&lt;sup&gt;3,4&lt;/sup&gt;&quot;,&quot;manualOverrideText&quot;:&quot;&quot;},&quot;citationItems&quot;:[{&quot;id&quot;:&quot;121a09c0-3d10-3c57-8e73-0c45de9a04a3&quot;,&quot;itemData&quot;:{&quot;type&quot;:&quot;article-journal&quot;,&quot;id&quot;:&quot;121a09c0-3d10-3c57-8e73-0c45de9a04a3&quot;,&quot;title&quot;:&quot;Chemistry of the Au-Thiol Interface through the Lens of Single-Molecule Flicker Noise Measurements&quot;,&quot;author&quot;:[{&quot;family&quot;:&quot;Rashid&quot;,&quot;given&quot;:&quot;Umar&quot;,&quot;parse-names&quot;:false,&quot;dropping-particle&quot;:&quot;&quot;,&quot;non-dropping-particle&quot;:&quot;&quot;},{&quot;family&quot;:&quot;Bro-Jørgensen&quot;,&quot;given&quot;:&quot;William&quot;,&quot;parse-names&quot;:false,&quot;dropping-particle&quot;:&quot;&quot;,&quot;non-dropping-particle&quot;:&quot;&quot;},{&quot;family&quot;:&quot;Harilal&quot;,&quot;given&quot;:&quot;Kb&quot;,&quot;parse-names&quot;:false,&quot;dropping-particle&quot;:&quot;&quot;,&quot;non-dropping-particle&quot;:&quot;&quot;},{&quot;family&quot;:&quot;Sreelakshmi&quot;,&quot;given&quot;:&quot;Pa&quot;,&quot;parse-names&quot;:false,&quot;dropping-particle&quot;:&quot;&quot;,&quot;non-dropping-particle&quot;:&quot;&quot;},{&quot;family&quot;:&quot;Mondal&quot;,&quot;given&quot;:&quot;Reetu Rani&quot;,&quot;parse-names&quot;:false,&quot;dropping-particle&quot;:&quot;&quot;,&quot;non-dropping-particle&quot;:&quot;&quot;},{&quot;family&quot;:&quot;Chittari Pisharam&quot;,&quot;given&quot;:&quot;Varun&quot;,&quot;parse-names&quot;:false,&quot;dropping-particle&quot;:&quot;&quot;,&quot;non-dropping-particle&quot;:&quot;&quot;},{&quot;family&quot;:&quot;Parida&quot;,&quot;given&quot;:&quot;Keshaba N.&quot;,&quot;parse-names&quot;:false,&quot;dropping-particle&quot;:&quot;&quot;,&quot;non-dropping-particle&quot;:&quot;&quot;},{&quot;family&quot;:&quot;Geetharani&quot;,&quot;given&quot;:&quot;K.&quot;,&quot;parse-names&quot;:false,&quot;dropping-particle&quot;:&quot;&quot;,&quot;non-dropping-particle&quot;:&quot;&quot;},{&quot;family&quot;:&quot;Hamill&quot;,&quot;given&quot;:&quot;Joseph M.&quot;,&quot;parse-names&quot;:false,&quot;dropping-particle&quot;:&quot;&quot;,&quot;non-dropping-particle&quot;:&quot;&quot;},{&quot;family&quot;:&quot;Kaliginedi&quot;,&quot;given&quot;:&quot;Veerabhadrarao&quot;,&quot;parse-names&quot;:false,&quot;dropping-particle&quot;:&quot;&quot;,&quot;non-dropping-particle&quot;:&quot;&quot;}],&quot;container-title&quot;:&quot;Journal of the American Chemical Society&quot;,&quot;container-title-short&quot;:&quot;J. Am. Chem. Soc.&quot;,&quot;DOI&quot;:&quot;10.1021/jacs.3c14079&quot;,&quot;ISSN&quot;:&quot;15205126&quot;,&quot;PMID&quot;:&quot;38381861&quot;,&quot;issued&quot;:{&quot;date-parts&quot;:[[2024,4,3]]},&quot;page&quot;:&quot;9063-9073&quot;,&quot;abstract&quot;:&quot;Chemistry of the Au-S interface at the nanoscale is one of the most complex systems to study, as the nature and strength of the Au-S bond change under different experimental conditions. In this study, using mechanically controlled break junction technique, we probed the conductance and analyzed Flicker noise for several aliphatic and aromatic thiol derivatives and thioethers. We demonstrate that Flicker noise can be used to unambiguously differentiate between stronger chemisorption (Au-SR) and weaker physisorption (Au-SRR′) type interactions. The Flicker noise measurements indicate that the gold rearrangement in chemisorbed Au-SR junctions resembles that of the Au rearrangement in pure Au-Au metal contact breaking, which is independent of the molecular backbone structure and the resulting conductance. In contrast, thioethers showed the formation of a weaker physisorbed Au-SRR′ type bond, and the Flicker noise measurement indicates the changes in the Au-anchoring group interface but not the Au-Au rearrangement like that in the Au-SR case. Additionally, by employing single-molecular conductance and Flicker noise analysis, we have probed the interfacial electric field-catalyzed ring-opening reaction of cyclic thioether under mild environmental conditions, which otherwise requires harsh chemical conditions for cleavage of the C-S bond. All of our conductance measurements are complemented by NEGF transport calculations. This study illustrates that the single-molecule conductance, together with the Flicker noise measurements can be used to tune and monitor chemical reactions at the single-molecule level.&quot;,&quot;publisher&quot;:&quot;American Chemical Society&quot;,&quot;issue&quot;:&quot;13&quot;,&quot;volume&quot;:&quot;146&quot;},&quot;isTemporary&quot;:false},{&quot;id&quot;:&quot;355c67e9-7557-39c4-892b-51211e523a10&quot;,&quot;itemData&quot;:{&quot;type&quot;:&quot;article-journal&quot;,&quot;id&quot;:&quot;355c67e9-7557-39c4-892b-51211e523a10&quot;,&quot;title&quot;:&quot;Structural Information on the Au–S Interface of Thiolate-Protected Gold Clusters: A Raman Spectroscopy Study&quot;,&quot;author&quot;:[{&quot;family&quot;:&quot;Varnholt&quot;,&quot;given&quot;:&quot;Birte&quot;,&quot;parse-names&quot;:false,&quot;dropping-particle&quot;:&quot;&quot;,&quot;non-dropping-particle&quot;:&quot;&quot;},{&quot;family&quot;:&quot;Oulevey&quot;,&quot;given&quot;:&quot;Patric&quot;,&quot;parse-names&quot;:false,&quot;dropping-particle&quot;:&quot;&quot;,&quot;non-dropping-particle&quot;:&quot;&quot;},{&quot;family&quot;:&quot;Luber&quot;,&quot;given&quot;:&quot;Sandra&quot;,&quot;parse-names&quot;:false,&quot;dropping-particle&quot;:&quot;&quot;,&quot;non-dropping-particle&quot;:&quot;&quot;},{&quot;family&quot;:&quot;Kumara&quot;,&quot;given&quot;:&quot;Chanaka&quot;,&quot;parse-names&quot;:false,&quot;dropping-particle&quot;:&quot;&quot;,&quot;non-dropping-particle&quot;:&quot;&quot;},{&quot;family&quot;:&quot;Dass&quot;,&quot;given&quot;:&quot;Amala&quot;,&quot;parse-names&quot;:false,&quot;dropping-particle&quot;:&quot;&quot;,&quot;non-dropping-particle&quot;:&quot;&quot;},{&quot;family&quot;:&quot;Bürgi&quot;,&quot;given&quot;:&quot;Thomas&quot;,&quot;parse-names&quot;:false,&quot;dropping-particle&quot;:&quot;&quot;,&quot;non-dropping-particle&quot;:&quot;&quot;}],&quot;container-title&quot;:&quot;The Journal of Physical Chemistry C&quot;,&quot;DOI&quot;:&quot;10.1021/jp502453q&quot;,&quot;ISSN&quot;:&quot;1932-7447&quot;,&quot;issued&quot;:{&quot;date-parts&quot;:[[2014,5,8]]},&quot;page&quot;:&quot;9604-9611&quot;,&quot;issue&quot;:&quot;18&quot;,&quot;volume&quot;:&quot;118&quot;},&quot;isTemporary&quot;:false}],&quot;citationTag&quot;:&quot;MENDELEY_CITATION_v3_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&quot;},{&quot;citationID&quot;:&quot;MENDELEY_CITATION_02c8309c-0545-491a-838f-3a2eb7bc9d55&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&quot;,&quot;citationItems&quot;:[{&quot;id&quot;:&quot;08cd4294-29e4-3d03-84b2-66ed202041cd&quot;,&quot;itemData&quot;:{&quot;type&quot;:&quot;article-journal&quot;,&quot;id&quot;:&quot;08cd4294-29e4-3d03-84b2-66ed202041cd&quot;,&quot;title&quot;:&quot;Additive manufacturing of micro-architected metals via hydrogel infusion&quot;,&quot;author&quot;:[{&quot;family&quot;:&quot;Saccone&quot;,&quot;given&quot;:&quot;Max A.&quot;,&quot;parse-names&quot;:false,&quot;dropping-particle&quot;:&quot;&quot;,&quot;non-dropping-particle&quot;:&quot;&quot;},{&quot;family&quot;:&quot;Gallivan&quot;,&quot;given&quot;:&quot;Rebecca A.&quot;,&quot;parse-names&quot;:false,&quot;dropping-particle&quot;:&quot;&quot;,&quot;non-dropping-particle&quot;:&quot;&quot;},{&quot;family&quot;:&quot;Narita&quot;,&quot;given&quot;:&quot;Kai&quot;,&quot;parse-names&quot;:false,&quot;dropping-particle&quot;:&quot;&quot;,&quot;non-dropping-particle&quot;:&quot;&quot;},{&quot;family&quot;:&quot;Yee&quot;,&quot;given&quot;:&quot;Daryl W.&quot;,&quot;parse-names&quot;:false,&quot;dropping-particle&quot;:&quot;&quot;,&quot;non-dropping-particle&quot;:&quot;&quot;},{&quot;family&quot;:&quot;Greer&quot;,&quot;given&quot;:&quot;Julia R.&quot;,&quot;parse-names&quot;:false,&quot;dropping-particle&quot;:&quot;&quot;,&quot;non-dropping-particle&quot;:&quot;&quot;}],&quot;container-title&quot;:&quot;Nature&quot;,&quot;container-title-short&quot;:&quot;Nature&quot;,&quot;DOI&quot;:&quot;10.1038/s41586-022-05433-2&quot;,&quot;ISSN&quot;:&quot;14764687&quot;,&quot;PMID&quot;:&quot;36265511&quot;,&quot;issued&quot;:{&quot;date-parts&quot;:[[2022,12,22]]},&quot;page&quot;:&quot;685-690&quot;,&quot;abstract&quot;:&quot;Metal additive manufacturing (AM) enables the production of high value and high performance components1 with applications from aerospace2 to biomedical3 fields. Layer-by-layer fabrication circumvents the geometric limitations of traditional metalworking techniques, allowing topologically optimized parts to be made rapidly and efficiently4,5. Existing AM techniques rely on thermally initiated melting or sintering for part shaping, a costly and material-limited process6–8. We report an AM technique that produces metals and alloys with microscale resolution via vat photopolymerization (VP). Three-dimensional-architected hydrogels are infused with metal precursors, then calcined and reduced to convert the hydrogel scaffolds into miniaturized metal replicas. This approach represents a paradigm shift in VP; the material is selected only after the structure is fabricated. Unlike existing VP strategies, which incorporate target materials or precursors into the photoresin during printing9–11, our method does not require reoptimization of resins and curing parameters for different materials, enabling quick iteration, compositional tuning and the ability to fabricate multimaterials. We demonstrate AM of metals with critical dimensions of approximately 40 µm that are challenging to fabricate by using conventional processes. Such hydrogel-derived metals have highly twinned microstructures and unusually high hardness, providing a pathway to create advanced metallic micromaterials.&quot;,&quot;publisher&quot;:&quot;Nature Research&quot;,&quot;issue&quot;:&quot;7941&quot;,&quot;volume&quot;:&quot;612&quot;},&quot;isTemporary&quot;:false},{&quot;id&quot;:&quot;56deef84-1a2a-3ab4-a438-3ac9d5e8cd0e&quot;,&quot;itemData&quot;:{&quot;type&quot;:&quot;article-journal&quot;,&quot;id&quot;:&quot;56deef84-1a2a-3ab4-a438-3ac9d5e8cd0e&quot;,&quot;title&quot;:&quot;Hydrogel-Based Vat Photopolymerization of Ceramics and Metals with Low Shrinkages via Repeated Infusion Precipitation&quot;,&quot;author&quot;:[{&quot;family&quot;:&quot;Ji&quot;,&quot;given&quot;:&quot;Yiming&quot;,&quot;parse-names&quot;:false,&quot;dropping-particle&quot;:&quot;&quot;,&quot;non-dropping-particle&quot;:&quot;&quot;},{&quot;family&quot;:&quot;Hong&quot;,&quot;given&quot;:&quot;Ying&quot;,&quot;parse-names&quot;:false,&quot;dropping-particle&quot;:&quot;&quot;,&quot;non-dropping-particle&quot;:&quot;&quot;},{&quot;family&quot;:&quot;Bhandari&quot;,&quot;given&quot;:&quot;Dhruv R.&quot;,&quot;parse-names&quot;:false,&quot;dropping-particle&quot;:&quot;&quot;,&quot;non-dropping-particle&quot;:&quot;&quot;},{&quot;family&quot;:&quot;Yee&quot;,&quot;given&quot;:&quot;Daryl W.&quot;,&quot;parse-names&quot;:false,&quot;dropping-particle&quot;:&quot;&quot;,&quot;non-dropping-particle&quot;:&quot;&quot;}],&quot;container-title&quot;:&quot;Advanced Materials&quot;,&quot;DOI&quot;:&quot;10.1002/adma.202504951&quot;,&quot;ISSN&quot;:&quot;15214095&quot;,&quot;PMID&quot;:&quot;40990545&quot;,&quot;issued&quot;:{&quot;date-parts&quot;:[[2026,2,6]]},&quot;abstract&quot;:&quot;Vat photopolymerization (VP) is a powerful tool for the fabrication of architected ceramic and metal structures. However, conventional methods of ceramic/metal VP, such as with the use of slurries or organic–inorganic hybrid resins, have challenges with viscosities, light-scattering, and limited material compositions. Recently, the use of metal-salt solutions has emerged as a promising approach for the VP of ceramics and metals. While versatile and accessible, the process is accompanied by a significant amount of shrinkage, which causes warping, porosity, and structural damage. Here, a versatile method is presented for fabricating dense architected ceramics and metals with low conversion linear shrinkages. Central to this method is a post-fabrication repeated infusion-coprecipitation process that progressively increases the metal loading in the 3D “blank” hydrogels. Thermal treatment of these high metal content hydrogels then converts them into ceramic or metal architectures. To demonstrate the versatility of this approach, a variety of 3D ceramic and metal structures with shrinkages as low as 20% while maintaining densities &gt;80% is fabricated. This infusion-precipitation-based process thus enables the VP of high-quality ceramics and metals, which is necessary for the fabrication of advanced architected materials and devices.&quot;,&quot;publisher&quot;:&quot;John Wiley and Sons Inc&quot;,&quot;issue&quot;:&quot;8&quot;,&quot;volume&quot;:&quot;38&quot;,&quot;container-title-short&quot;:&quot;&quot;},&quot;isTemporary&quot;:false}]},{&quot;citationID&quot;:&quot;MENDELEY_CITATION_d4174936-76f6-42bf-b72e-fa3f522ee5a2&quot;,&quot;properties&quot;:{&quot;noteIndex&quot;:0},&quot;isEdited&quot;:false,&quot;manualOverride&quot;:{&quot;isManuallyOverridden&quot;:false,&quot;citeprocText&quot;:&quot;&lt;sup&gt;7–9&lt;/sup&gt;&quot;,&quot;manualOverrideText&quot;:&quot;&quot;},&quot;citationTag&quot;:&quot;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&quot;,&quot;citationItems&quot;:[{&quot;id&quot;:&quot;ad659041-d562-383e-9565-1e1c2a24fb36&quot;,&quot;itemData&quot;:{&quot;type&quot;:&quot;article-journal&quot;,&quot;id&quot;:&quot;ad659041-d562-383e-9565-1e1c2a24fb36&quot;,&quot;title&quot;:&quot;Multiphoton fabrication of chemically responsive protein hydrogels for microactuation&quot;,&quot;author&quot;:[{&quot;family&quot;:&quot;Kaehr&quot;,&quot;given&quot;:&quot;Bryan&quot;,&quot;parse-names&quot;:false,&quot;dropping-particle&quot;:&quot;&quot;,&quot;non-dropping-particle&quot;:&quot;&quot;},{&quot;family&quot;:&quot;Shear&quot;,&quot;given&quot;:&quot;Jason B.&quot;,&quot;parse-names&quot;:false,&quot;dropping-particle&quot;:&quot;&quot;,&quot;non-dropping-particle&quot;:&quot;&quot;}],&quot;container-title&quot;:&quot;Proceedings of the National Academy of Sciences&quot;,&quot;DOI&quot;:&quot;10.1073/pnas.0709571105&quot;,&quot;ISSN&quot;:&quot;0027-8424&quot;,&quot;issued&quot;:{&quot;date-parts&quot;:[[2008,7]]},&quot;page&quot;:&quot;8850-8854&quot;,&quot;abstract&quot;:&quot;&lt;p&gt;We report a method for creating stimuli-responsive biomaterials in which scanning nonlinear excitation is used to photocrosslink proteins at submicrometer 3D coordinates. Proteins with differing hydration properties can be combined to achieve tunable volume changes that are rapid and reversible in response to changes in chemical environment. Protein matrices having arbitrary 3D topographies and definable density gradients over micrometer dimensions provide the ability to effect rapid (&amp;lt;1 sec) and precise mechanical manipulations by means of changes in hydrogel size and shape, and applicability of these materials to cell biology is shown through the fabrication of responsive bacterial cages.&lt;/p&gt;&quot;,&quot;issue&quot;:&quot;26&quot;,&quot;volume&quot;:&quot;105&quot;,&quot;container-title-short&quot;:&quot;&quot;},&quot;isTemporary&quot;:false},{&quot;id&quot;:&quot;ae20ce54-69d0-3992-bfaf-3ed6b0a7658d&quot;,&quot;itemData&quot;:{&quot;type&quot;:&quot;article-journal&quot;,&quot;id&quot;:&quot;ae20ce54-69d0-3992-bfaf-3ed6b0a7658d&quot;,&quot;title&quot;:&quot;Formulating an Ideal Protein Photoresist for Fabricating Dynamic Microstructures with High Aspect Ratios and Uniform Responsiveness&quot;,&quot;author&quot;:[{&quot;family&quot;:&quot;Lay&quot;,&quot;given&quot;:&quot;Chee Leng&quot;,&quot;parse-names&quot;:false,&quot;dropping-particle&quot;:&quot;&quot;,&quot;non-dropping-particle&quot;:&quot;&quot;},{&quot;family&quot;:&quot;Lee&quot;,&quot;given&quot;:&quot;Yih Hong&quot;,&quot;parse-names&quot;:false,&quot;dropping-particle&quot;:&quot;&quot;,&quot;non-dropping-particle&quot;:&quot;&quot;},{&quot;family&quot;:&quot;Lee&quot;,&quot;given&quot;:&quot;Mian Rong&quot;,&quot;parse-names&quot;:false,&quot;dropping-particle&quot;:&quot;&quot;,&quot;non-dropping-particle&quot;:&quot;&quot;},{&quot;family&quot;:&quot;Phang&quot;,&quot;given&quot;:&quot;In Yee&quot;,&quot;parse-names&quot;:false,&quot;dropping-particle&quot;:&quot;&quot;,&quot;non-dropping-particle&quot;:&quot;&quot;},{&quot;family&quot;:&quot;Ling&quot;,&quot;given&quot;:&quot;Xing Yi&quot;,&quot;parse-names&quot;:false,&quot;dropping-particle&quot;:&quot;&quot;,&quot;non-dropping-particle&quot;:&quot;&quot;}],&quot;container-title&quot;:&quot;ACS Applied Materials and Interfaces&quot;,&quot;container-title-short&quot;:&quot;ACS Appl. Mater. Interfaces&quot;,&quot;DOI&quot;:&quot;10.1021/acsami.6b02306&quot;,&quot;ISSN&quot;:&quot;19448252&quot;,&quot;PMID&quot;:&quot;26974854&quot;,&quot;issued&quot;:{&quot;date-parts&quot;:[[2016,3,30]]},&quot;page&quot;:&quot;8145-8153&quot;,&quot;abstract&quot;:&quot;The physical properties of aqueous-based stimuli-responsive photoresists are crucial in fabricating microstructures with high structural integrity and uniform responsiveness during two-photon lithography. Here, we quantitatively investigate how various components within bovine serum albumin (BSA) photoresists affect our ability to achieve BSA microstructures with consistent stimuli-responsive properties over areas exceeding 104 μm2. We unveil a relationship between BSA concentration and dynamic viscosity, establishing a threshold viscosity to achieve robust BSA microstructures. We also demonstrate the addition of an inert polymer to the photoresist as viscosity enhancer. A set of systematically optimized processing parameters is derived for the construction of dynamic BSA microstructures. The optimized BSA photoresists and processing parameters enable us to extend the two-dimensional (2D) microstructures to three-dimensional (3D) ones, culminating in arrays of micropillars with aspect ratio &gt; 10. Our findings foster the development of liquid stimuli-responsive photoresists to build multifunctional complex 3D geometries for applications such as bioimplantable devices or adaptive photonic systems. (Graph Presented).&quot;,&quot;publisher&quot;:&quot;American Chemical Society&quot;,&quot;issue&quot;:&quot;12&quot;,&quot;volume&quot;:&quot;8&quot;},&quot;isTemporary&quot;:false},{&quot;id&quot;:&quot;f5cdef0d-b851-36bb-ac37-7ef63daa9dc8&quot;,&quot;itemData&quot;:{&quot;type&quot;:&quot;article-journal&quot;,&quot;id&quot;:&quot;f5cdef0d-b851-36bb-ac37-7ef63daa9dc8&quot;,&quot;title&quot;:&quot;Protein-Based 3D Microstructures with Controllable Morphology and pH-Responsive Properties&quot;,&quot;author&quot;:[{&quot;family&quot;:&quot;Wei&quot;,&quot;given&quot;:&quot;Shuxin&quot;,&quot;parse-names&quot;:false,&quot;dropping-particle&quot;:&quot;&quot;,&quot;non-dropping-particle&quot;:&quot;&quot;},{&quot;family&quot;:&quot;Liu&quot;,&quot;given&quot;:&quot;Jie&quot;,&quot;parse-names&quot;:false,&quot;dropping-particle&quot;:&quot;&quot;,&quot;non-dropping-particle&quot;:&quot;&quot;},{&quot;family&quot;:&quot;Zhao&quot;,&quot;given&quot;:&quot;Yuanyuan&quot;,&quot;parse-names&quot;:false,&quot;dropping-particle&quot;:&quot;&quot;,&quot;non-dropping-particle&quot;:&quot;&quot;},{&quot;family&quot;:&quot;Zhang&quot;,&quot;given&quot;:&quot;Tingbin&quot;,&quot;parse-names&quot;:false,&quot;dropping-particle&quot;:&quot;&quot;,&quot;non-dropping-particle&quot;:&quot;&quot;},{&quot;family&quot;:&quot;Zheng&quot;,&quot;given&quot;:&quot;Meiling&quot;,&quot;parse-names&quot;:false,&quot;dropping-particle&quot;:&quot;&quot;,&quot;non-dropping-particle&quot;:&quot;&quot;},{&quot;family&quot;:&quot;Jin&quot;,&quot;given&quot;:&quot;Feng&quot;,&quot;parse-names&quot;:false,&quot;dropping-particle&quot;:&quot;&quot;,&quot;non-dropping-particle&quot;:&quot;&quot;},{&quot;family&quot;:&quot;Dong&quot;,&quot;given&quot;:&quot;Xianzi&quot;,&quot;parse-names&quot;:false,&quot;dropping-particle&quot;:&quot;&quot;,&quot;non-dropping-particle&quot;:&quot;&quot;},{&quot;family&quot;:&quot;Xing&quot;,&quot;given&quot;:&quot;Jinfeng&quot;,&quot;parse-names&quot;:false,&quot;dropping-particle&quot;:&quot;&quot;,&quot;non-dropping-particle&quot;:&quot;&quot;},{&quot;family&quot;:&quot;Duan&quot;,&quot;given&quot;:&quot;Xuanming&quot;,&quot;parse-names&quot;:false,&quot;dropping-particle&quot;:&quot;&quot;,&quot;non-dropping-particle&quot;:&quot;&quot;}],&quot;container-title&quot;:&quot;ACS Applied Materials and Interfaces&quot;,&quot;container-title-short&quot;:&quot;ACS Appl. Mater. Interfaces&quot;,&quot;DOI&quot;:&quot;10.1021/acsami.7b14915&quot;,&quot;ISSN&quot;:&quot;19448252&quot;,&quot;PMID&quot;:&quot;29131565&quot;,&quot;issued&quot;:{&quot;date-parts&quot;:[[2017,12,6]]},&quot;page&quot;:&quot;42247-42257&quot;,&quot;abstract&quot;:&quot;The microtechnology of controlling stimuli-responsive biomaterials at micrometer scale is crucial for biomedical applications. Here, we report bovine serum albumin (BSA)-based three-dimensional (3D) microstructures with tunable surface morphology and pH-responsive properties via two-photon polymerization microfabrication technology. The laser processing parameters, including laser power, scanning speed, and layer distance, are optimized for the fabrication of well-defined 3D BSA microstructures. The tunable morphology of BSA microstructures and a wide range of pH response corresponding to the swelling ratio of 1.08-2.71 have been achieved. The swelling behavior of the microstructures can be strongly influenced by the concentration of BSA precursor, which has been illustrated by a reasonable mechanism. A panda face-shaped BSA microrelief with reversible pH-responsive properties is fabricated and exhibits unique \&quot;facial expression\&quot; variations in pH cycle. We further design a mesh sieve-shaped microstructure as a functional device for promising microparticle separation. The pore sizes of microstructures can be tuned by changing the pH values. Therefore, such protein-based microstructures with controllable morphology and pH-responsive properties have potential applications especially in biomedicine and biosensors.&quot;,&quot;publisher&quot;:&quot;American Chemical Society&quot;,&quot;issue&quot;:&quot;48&quot;,&quot;volume&quot;:&quot;9&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C6920-F538-4AD4-AB0A-74B3C493F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13</Pages>
  <Words>3287</Words>
  <Characters>17752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Myrto Charitaki</dc:creator>
  <cp:keywords/>
  <dc:description/>
  <cp:lastModifiedBy>Myrto Charitaki</cp:lastModifiedBy>
  <cp:revision>18</cp:revision>
  <dcterms:created xsi:type="dcterms:W3CDTF">2026-08-24T15:41:00Z</dcterms:created>
  <dcterms:modified xsi:type="dcterms:W3CDTF">2026-08-30T18:40:00Z</dcterms:modified>
</cp:coreProperties>
</file>