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DF8E" w14:textId="77777777" w:rsidR="00F27850" w:rsidRPr="00A505E7" w:rsidRDefault="00000000">
      <w:pPr>
        <w:rPr>
          <w:rFonts w:ascii="Times New Roman" w:hAnsi="Times New Roman" w:cs="Times New Roman"/>
          <w:szCs w:val="20"/>
        </w:rPr>
      </w:pPr>
      <w:r w:rsidRPr="00A505E7">
        <w:rPr>
          <w:rFonts w:ascii="Times New Roman" w:hAnsi="Times New Roman" w:cs="Times New Roman"/>
          <w:b/>
          <w:szCs w:val="20"/>
        </w:rPr>
        <w:t>Online Resource 1. Cancer types and immune checkpoint inhibitor treatment regimens in the 2019 and 2023 cohorts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2376"/>
        <w:gridCol w:w="2376"/>
      </w:tblGrid>
      <w:tr w:rsidR="00F27850" w:rsidRPr="00A505E7" w14:paraId="2E000D77" w14:textId="77777777">
        <w:trPr>
          <w:tblHeader/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0544B8A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b/>
                <w:szCs w:val="20"/>
              </w:rPr>
              <w:t>Characteristic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E2B7D7" w14:textId="68025F22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b/>
                <w:szCs w:val="20"/>
              </w:rPr>
              <w:t>2019 cohort (n</w:t>
            </w:r>
            <w:r w:rsidR="00FA63CE">
              <w:rPr>
                <w:rFonts w:ascii="Times New Roman" w:hAnsi="Times New Roman" w:cs="Times New Roman" w:hint="eastAsia"/>
                <w:b/>
                <w:szCs w:val="20"/>
                <w:lang w:eastAsia="ja-JP"/>
              </w:rPr>
              <w:t xml:space="preserve"> </w:t>
            </w:r>
            <w:r w:rsidRPr="00A505E7">
              <w:rPr>
                <w:rFonts w:ascii="Times New Roman" w:hAnsi="Times New Roman" w:cs="Times New Roman"/>
                <w:b/>
                <w:szCs w:val="20"/>
              </w:rPr>
              <w:t>=</w:t>
            </w:r>
            <w:r w:rsidR="00FA63CE">
              <w:rPr>
                <w:rFonts w:ascii="Times New Roman" w:hAnsi="Times New Roman" w:cs="Times New Roman" w:hint="eastAsia"/>
                <w:b/>
                <w:szCs w:val="20"/>
                <w:lang w:eastAsia="ja-JP"/>
              </w:rPr>
              <w:t xml:space="preserve"> </w:t>
            </w:r>
            <w:r w:rsidRPr="00A505E7">
              <w:rPr>
                <w:rFonts w:ascii="Times New Roman" w:hAnsi="Times New Roman" w:cs="Times New Roman"/>
                <w:b/>
                <w:szCs w:val="20"/>
              </w:rPr>
              <w:t>248)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B36A40" w14:textId="69AF25F4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b/>
                <w:szCs w:val="20"/>
              </w:rPr>
              <w:t>2023 cohort (n</w:t>
            </w:r>
            <w:r w:rsidR="00FA63CE">
              <w:rPr>
                <w:rFonts w:ascii="Times New Roman" w:hAnsi="Times New Roman" w:cs="Times New Roman" w:hint="eastAsia"/>
                <w:b/>
                <w:szCs w:val="20"/>
                <w:lang w:eastAsia="ja-JP"/>
              </w:rPr>
              <w:t xml:space="preserve"> </w:t>
            </w:r>
            <w:r w:rsidRPr="00A505E7">
              <w:rPr>
                <w:rFonts w:ascii="Times New Roman" w:hAnsi="Times New Roman" w:cs="Times New Roman"/>
                <w:b/>
                <w:szCs w:val="20"/>
              </w:rPr>
              <w:t>=</w:t>
            </w:r>
            <w:r w:rsidR="00FA63CE">
              <w:rPr>
                <w:rFonts w:ascii="Times New Roman" w:hAnsi="Times New Roman" w:cs="Times New Roman" w:hint="eastAsia"/>
                <w:b/>
                <w:szCs w:val="20"/>
                <w:lang w:eastAsia="ja-JP"/>
              </w:rPr>
              <w:t xml:space="preserve"> </w:t>
            </w:r>
            <w:r w:rsidRPr="00A505E7">
              <w:rPr>
                <w:rFonts w:ascii="Times New Roman" w:hAnsi="Times New Roman" w:cs="Times New Roman"/>
                <w:b/>
                <w:szCs w:val="20"/>
              </w:rPr>
              <w:t>538)</w:t>
            </w:r>
          </w:p>
        </w:tc>
      </w:tr>
      <w:tr w:rsidR="00F27850" w:rsidRPr="00A505E7" w14:paraId="5FEC7790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115D94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b/>
                <w:szCs w:val="20"/>
              </w:rPr>
              <w:t>Cancer type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3FDE51" w14:textId="77777777" w:rsidR="00F27850" w:rsidRPr="00A505E7" w:rsidRDefault="00F2785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940A451" w14:textId="77777777" w:rsidR="00F27850" w:rsidRPr="00A505E7" w:rsidRDefault="00F2785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27850" w:rsidRPr="00A505E7" w14:paraId="67E8B3A5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B3BBBD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Lung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35EEC4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99 (39.9%)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15BC62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87 (16.2%)</w:t>
            </w:r>
          </w:p>
        </w:tc>
      </w:tr>
      <w:tr w:rsidR="00F27850" w:rsidRPr="00A505E7" w14:paraId="748F9B9B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40BC0C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Esophageal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7B02E7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4 (1.6%)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2B635C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63 (11.7%)</w:t>
            </w:r>
          </w:p>
        </w:tc>
      </w:tr>
      <w:tr w:rsidR="00F27850" w:rsidRPr="00A505E7" w14:paraId="39D1590A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518BAF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Biliary tract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689484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163A8F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51 (9.5%)</w:t>
            </w:r>
          </w:p>
        </w:tc>
      </w:tr>
      <w:tr w:rsidR="00F27850" w:rsidRPr="00A505E7" w14:paraId="5B567912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51AD59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Malignant melanoma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740B91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33 (13.3%)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DECAA84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50 (9.3%)</w:t>
            </w:r>
          </w:p>
        </w:tc>
      </w:tr>
      <w:tr w:rsidR="00F27850" w:rsidRPr="00A505E7" w14:paraId="35516139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6F8FB1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Head and neck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E83F36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34 (13.7%)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9CDC027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49 (9.1%)</w:t>
            </w:r>
          </w:p>
        </w:tc>
      </w:tr>
      <w:tr w:rsidR="00F27850" w:rsidRPr="00A505E7" w14:paraId="1134BDAE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0BA55F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Hepatocellular carcinoma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D3E2EF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B5D839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46 (8.6%)</w:t>
            </w:r>
          </w:p>
        </w:tc>
      </w:tr>
      <w:tr w:rsidR="00F27850" w:rsidRPr="00A505E7" w14:paraId="3DDE14F8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5D6DD1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Gastric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4AA7D8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22 (8.9%)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115D6CD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38 (7.1%)</w:t>
            </w:r>
          </w:p>
        </w:tc>
      </w:tr>
      <w:tr w:rsidR="00F27850" w:rsidRPr="00A505E7" w14:paraId="2D9F0D0A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D7452A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Renal cell carcinoma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851DBE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30 (12.1%)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D2F8C8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34 (6.3%)</w:t>
            </w:r>
          </w:p>
        </w:tc>
      </w:tr>
      <w:tr w:rsidR="00F27850" w:rsidRPr="00A505E7" w14:paraId="366EAE90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C40030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Cervical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481D2E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94758F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28 (5.2%)</w:t>
            </w:r>
          </w:p>
        </w:tc>
      </w:tr>
      <w:tr w:rsidR="00F27850" w:rsidRPr="00A505E7" w14:paraId="01E90E78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2BAC51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Urothelial carcinoma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97E8FBE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11 (4.4%)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75D5093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28 (5.2%)</w:t>
            </w:r>
          </w:p>
        </w:tc>
      </w:tr>
      <w:tr w:rsidR="00F27850" w:rsidRPr="00A505E7" w14:paraId="1BCBC686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DCB6C2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Breast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25C0DEB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1 (0.4%)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8EA7E5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26 (4.8%)</w:t>
            </w:r>
          </w:p>
        </w:tc>
      </w:tr>
      <w:tr w:rsidR="00F27850" w:rsidRPr="00A505E7" w14:paraId="72542BF7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8BD459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MSI-H/TMB-H solid tumors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5E5A15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8 (3.2%)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B2CC4A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21 (3.9%)</w:t>
            </w:r>
          </w:p>
        </w:tc>
      </w:tr>
      <w:tr w:rsidR="00F27850" w:rsidRPr="00A505E7" w14:paraId="4DF65B7F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2790F4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Malignant pleural mesothelioma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F09B9B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6 (2.4%)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8E87A3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8 (1.5%)</w:t>
            </w:r>
          </w:p>
        </w:tc>
      </w:tr>
      <w:tr w:rsidR="00F27850" w:rsidRPr="00A505E7" w14:paraId="3D5DCE7E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20E476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Endometrial cancer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E96E17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313F80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6 (1.1%)</w:t>
            </w:r>
          </w:p>
        </w:tc>
      </w:tr>
      <w:tr w:rsidR="00F27850" w:rsidRPr="00A505E7" w14:paraId="4A2D8CA9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C78C11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Other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554F47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CF2E3B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 (0.6%)</w:t>
            </w:r>
          </w:p>
        </w:tc>
      </w:tr>
      <w:tr w:rsidR="00F27850" w:rsidRPr="00A505E7" w14:paraId="01CF3676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7A19B8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b/>
                <w:szCs w:val="20"/>
              </w:rPr>
              <w:t>ICI treatment regimen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397804" w14:textId="77777777" w:rsidR="00F27850" w:rsidRPr="00A505E7" w:rsidRDefault="00F2785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2BE18ED" w14:textId="77777777" w:rsidR="00F27850" w:rsidRPr="00A505E7" w:rsidRDefault="00F2785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F27850" w:rsidRPr="00A505E7" w14:paraId="65A4524D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68F1D0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monotherapy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115ABC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197 (79.4%)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2D2A22D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245 (45.5%)</w:t>
            </w:r>
          </w:p>
        </w:tc>
      </w:tr>
      <w:tr w:rsidR="00F27850" w:rsidRPr="00A505E7" w14:paraId="2684679C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F65423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+ ICI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06BB0C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18 (7.3%)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42B0C5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52 (9.7%)</w:t>
            </w:r>
          </w:p>
        </w:tc>
      </w:tr>
      <w:tr w:rsidR="00F27850" w:rsidRPr="00A505E7" w14:paraId="12D45733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8790D5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+ anti-VEGF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CC07F5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5A0DE8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34 (6.3%)</w:t>
            </w:r>
          </w:p>
        </w:tc>
      </w:tr>
      <w:tr w:rsidR="00F27850" w:rsidRPr="00A505E7" w14:paraId="50C37F31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21F1CD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+ TKI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C46411A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E3C778F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22 (4.1%)</w:t>
            </w:r>
          </w:p>
        </w:tc>
      </w:tr>
      <w:tr w:rsidR="00F27850" w:rsidRPr="00A505E7" w14:paraId="29ABD9D9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6F35742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+ cytotoxic chemotherapy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6784B9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27 (10.9%)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5B8FE3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160 (29.7%)</w:t>
            </w:r>
          </w:p>
        </w:tc>
      </w:tr>
      <w:tr w:rsidR="00F27850" w:rsidRPr="00A505E7" w14:paraId="5B307971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D12044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+ ICI + cytotoxic chemotherapy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CFA0A7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0 (0.0%)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52F93E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 (0.4%)</w:t>
            </w:r>
          </w:p>
        </w:tc>
      </w:tr>
      <w:tr w:rsidR="00F27850" w:rsidRPr="00A505E7" w14:paraId="2B326B4E" w14:textId="77777777">
        <w:trPr>
          <w:jc w:val="center"/>
        </w:trPr>
        <w:tc>
          <w:tcPr>
            <w:tcW w:w="5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AFCD8C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ICI + anti-VEGF + cytotoxic chemotherapy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6D6A79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6 (2.4%)</w:t>
            </w:r>
          </w:p>
        </w:tc>
        <w:tc>
          <w:tcPr>
            <w:tcW w:w="2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9A6C1D" w14:textId="77777777" w:rsidR="00F27850" w:rsidRPr="00A505E7" w:rsidRDefault="0000000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A505E7">
              <w:rPr>
                <w:rFonts w:ascii="Times New Roman" w:hAnsi="Times New Roman" w:cs="Times New Roman"/>
                <w:szCs w:val="20"/>
              </w:rPr>
              <w:t>23 (4.3%)</w:t>
            </w:r>
          </w:p>
        </w:tc>
      </w:tr>
    </w:tbl>
    <w:p w14:paraId="484B4FD9" w14:textId="77777777" w:rsidR="00F27850" w:rsidRPr="00A505E7" w:rsidRDefault="00000000">
      <w:pPr>
        <w:spacing w:before="60" w:after="0" w:line="240" w:lineRule="auto"/>
        <w:rPr>
          <w:rFonts w:ascii="Times New Roman" w:hAnsi="Times New Roman" w:cs="Times New Roman"/>
          <w:szCs w:val="20"/>
        </w:rPr>
      </w:pPr>
      <w:r w:rsidRPr="00A505E7">
        <w:rPr>
          <w:rFonts w:ascii="Times New Roman" w:hAnsi="Times New Roman" w:cs="Times New Roman"/>
          <w:szCs w:val="20"/>
        </w:rPr>
        <w:t xml:space="preserve">Values are n (%). No hypothesis tests were performed for these </w:t>
      </w:r>
      <w:proofErr w:type="gramStart"/>
      <w:r w:rsidRPr="00A505E7">
        <w:rPr>
          <w:rFonts w:ascii="Times New Roman" w:hAnsi="Times New Roman" w:cs="Times New Roman"/>
          <w:szCs w:val="20"/>
        </w:rPr>
        <w:t>descriptive cohort</w:t>
      </w:r>
      <w:proofErr w:type="gramEnd"/>
      <w:r w:rsidRPr="00A505E7">
        <w:rPr>
          <w:rFonts w:ascii="Times New Roman" w:hAnsi="Times New Roman" w:cs="Times New Roman"/>
          <w:szCs w:val="20"/>
        </w:rPr>
        <w:t xml:space="preserve"> characteristics.</w:t>
      </w:r>
    </w:p>
    <w:p w14:paraId="0C4320BC" w14:textId="77777777" w:rsidR="00F27850" w:rsidRPr="00A505E7" w:rsidRDefault="00000000">
      <w:pPr>
        <w:spacing w:before="60" w:after="0" w:line="240" w:lineRule="auto"/>
        <w:rPr>
          <w:rFonts w:ascii="Times New Roman" w:hAnsi="Times New Roman" w:cs="Times New Roman"/>
          <w:szCs w:val="20"/>
        </w:rPr>
      </w:pPr>
      <w:r w:rsidRPr="00A505E7">
        <w:rPr>
          <w:rFonts w:ascii="Times New Roman" w:hAnsi="Times New Roman" w:cs="Times New Roman"/>
          <w:szCs w:val="20"/>
        </w:rPr>
        <w:t>Cancer-type labels were harmonized across study years. The 2019 category recorded as MSI-H was grouped with MSI-H/TMB-H solid tumors.</w:t>
      </w:r>
    </w:p>
    <w:p w14:paraId="064B8B2A" w14:textId="77777777" w:rsidR="00F27850" w:rsidRPr="00A505E7" w:rsidRDefault="00000000">
      <w:pPr>
        <w:spacing w:before="60" w:after="0" w:line="240" w:lineRule="auto"/>
        <w:rPr>
          <w:rFonts w:ascii="Times New Roman" w:hAnsi="Times New Roman" w:cs="Times New Roman"/>
          <w:szCs w:val="20"/>
        </w:rPr>
      </w:pPr>
      <w:r w:rsidRPr="00A505E7">
        <w:rPr>
          <w:rFonts w:ascii="Times New Roman" w:hAnsi="Times New Roman" w:cs="Times New Roman"/>
          <w:szCs w:val="20"/>
        </w:rPr>
        <w:t>For the 2019 cohort, each patient was assigned to one mutually exclusive treatment category reflecting the most intensive ICI-containing regimen documented during the study year; maintenance monotherapy following combination induction did not replace the induction combination category.</w:t>
      </w:r>
    </w:p>
    <w:p w14:paraId="1B268CF2" w14:textId="77777777" w:rsidR="00F27850" w:rsidRPr="00A505E7" w:rsidRDefault="00000000">
      <w:pPr>
        <w:spacing w:before="60" w:after="0" w:line="240" w:lineRule="auto"/>
        <w:rPr>
          <w:rFonts w:ascii="Times New Roman" w:hAnsi="Times New Roman" w:cs="Times New Roman"/>
          <w:szCs w:val="20"/>
        </w:rPr>
      </w:pPr>
      <w:r w:rsidRPr="00A505E7">
        <w:rPr>
          <w:rFonts w:ascii="Times New Roman" w:hAnsi="Times New Roman" w:cs="Times New Roman"/>
          <w:szCs w:val="20"/>
        </w:rPr>
        <w:t>Abbreviations: ICI, immune checkpoint inhibitor; VEGF, vascular endothelial growth factor; TKI, tyrosine kinase inhibitor.</w:t>
      </w:r>
    </w:p>
    <w:sectPr w:rsidR="00F27850" w:rsidRPr="00A505E7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D8232" w14:textId="77777777" w:rsidR="00EE5F87" w:rsidRDefault="00EE5F87" w:rsidP="00A505E7">
      <w:pPr>
        <w:spacing w:after="0" w:line="240" w:lineRule="auto"/>
      </w:pPr>
      <w:r>
        <w:separator/>
      </w:r>
    </w:p>
  </w:endnote>
  <w:endnote w:type="continuationSeparator" w:id="0">
    <w:p w14:paraId="636E2104" w14:textId="77777777" w:rsidR="00EE5F87" w:rsidRDefault="00EE5F87" w:rsidP="00A5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08232" w14:textId="77777777" w:rsidR="00EE5F87" w:rsidRDefault="00EE5F87" w:rsidP="00A505E7">
      <w:pPr>
        <w:spacing w:after="0" w:line="240" w:lineRule="auto"/>
      </w:pPr>
      <w:r>
        <w:separator/>
      </w:r>
    </w:p>
  </w:footnote>
  <w:footnote w:type="continuationSeparator" w:id="0">
    <w:p w14:paraId="19EA4FB1" w14:textId="77777777" w:rsidR="00EE5F87" w:rsidRDefault="00EE5F87" w:rsidP="00A5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7065759">
    <w:abstractNumId w:val="8"/>
  </w:num>
  <w:num w:numId="2" w16cid:durableId="867186474">
    <w:abstractNumId w:val="6"/>
  </w:num>
  <w:num w:numId="3" w16cid:durableId="1748647228">
    <w:abstractNumId w:val="5"/>
  </w:num>
  <w:num w:numId="4" w16cid:durableId="1628467142">
    <w:abstractNumId w:val="4"/>
  </w:num>
  <w:num w:numId="5" w16cid:durableId="1047728353">
    <w:abstractNumId w:val="7"/>
  </w:num>
  <w:num w:numId="6" w16cid:durableId="645015004">
    <w:abstractNumId w:val="3"/>
  </w:num>
  <w:num w:numId="7" w16cid:durableId="102919021">
    <w:abstractNumId w:val="2"/>
  </w:num>
  <w:num w:numId="8" w16cid:durableId="1066103426">
    <w:abstractNumId w:val="1"/>
  </w:num>
  <w:num w:numId="9" w16cid:durableId="1749116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514C"/>
    <w:rsid w:val="00765ABE"/>
    <w:rsid w:val="00A505E7"/>
    <w:rsid w:val="00A86D24"/>
    <w:rsid w:val="00AA1D8D"/>
    <w:rsid w:val="00B47730"/>
    <w:rsid w:val="00CB0664"/>
    <w:rsid w:val="00EE5F87"/>
    <w:rsid w:val="00F27850"/>
    <w:rsid w:val="00FA63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27B8B9"/>
  <w14:defaultImageDpi w14:val="300"/>
  <w15:docId w15:val="{BF12A0C8-632F-4BBA-9B63-2222469F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1515</Characters>
  <Application>Microsoft Office Word</Application>
  <DocSecurity>0</DocSecurity>
  <Lines>30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智也 下方</cp:lastModifiedBy>
  <cp:revision>4</cp:revision>
  <dcterms:created xsi:type="dcterms:W3CDTF">2026-08-25T14:49:00Z</dcterms:created>
  <dcterms:modified xsi:type="dcterms:W3CDTF">2026-08-27T14:26:00Z</dcterms:modified>
  <cp:category/>
</cp:coreProperties>
</file>