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Supplementary Material</w:t>
      </w:r>
    </w:p>
    <w:p>
      <w:pPr>
        <w:jc w:val="center"/>
      </w:pPr>
      <w:r>
        <w:t>Impulsivity, Conformity Based Overtime Pressure, and Driving Distraction among Employee Car Commuters in Shandong, China: Implications for Road Safety Education</w:t>
      </w:r>
    </w:p>
    <w:p>
      <w:pPr>
        <w:pStyle w:val="Heading2"/>
      </w:pPr>
      <w:r>
        <w:t>Supplementary Table S1. Raw Item and Score Map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  <w:gridCol w:w="2280"/>
        <w:gridCol w:w="2280"/>
      </w:tblGrid>
      <w:tr>
        <w:trPr>
          <w:tblHeader w:val="true"/>
        </w:trPr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Score</w:t>
            </w:r>
          </w:p>
        </w:tc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Raw items</w:t>
            </w:r>
          </w:p>
        </w:tc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k</w:t>
            </w:r>
          </w:p>
        </w:tc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Response anchor</w:t>
            </w:r>
          </w:p>
        </w:tc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Reverse scoring</w:t>
            </w:r>
          </w:p>
        </w:tc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Interpretive boundary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Impulsivity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Q12–Q23, Q26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13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Agreement: 1 Strongly Disagree to 5 Strongly Agree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None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Substantial positive-urgency content plus Q26 restlessness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Conformity-Based Overtime Pressure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Q97–Q100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Agreement: 1 Strongly Disagree to 5 Strongly Agree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None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Social unease about leaving; not hours or fatigue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Driving Distraction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Q155, Q157–Q162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7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Agreement: 1 Strongly Disagree to 5 Strongly Agree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None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Q156 passenger interaction excluded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Mixed orientation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Q142, Q145, Q146, Q148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Agreement: 1 Strongly Disagree to 5 Strongly Agree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None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Two multitasking and two work-integration items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Errors and Violations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Q187–Q196, Q198, Q201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12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Frequency: 1 Never to 5 Always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None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Sample-specific content score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Lapses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Q199, Q202–Q204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Frequency: 1 Never to 5 Always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None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Sample-specific content score</w:t>
            </w:r>
          </w:p>
        </w:tc>
      </w:tr>
      <w:tr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Aggressive Violations</w:t>
            </w:r>
          </w:p>
        </w:tc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Q179–Q181</w:t>
            </w:r>
          </w:p>
        </w:tc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3</w:t>
            </w:r>
          </w:p>
        </w:tc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Frequency: 1 Never to 5 Always</w:t>
            </w:r>
          </w:p>
        </w:tc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None</w:t>
            </w:r>
          </w:p>
        </w:tc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Sample-specific content score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All scores are arithmetic means reconstructed from the immutable SAV. Declared missing values and observed item ranges were checked; focal items had no missing values and all observed values were 1–5.</w:t>
      </w:r>
    </w:p>
    <w:p>
      <w:pPr>
        <w:pStyle w:val="Heading2"/>
      </w:pPr>
      <w:r>
        <w:t>Supplementary Table S2. Separate Score-Level Reliability and One-Component Audit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  <w:gridCol w:w="1368"/>
      </w:tblGrid>
      <w:tr>
        <w:trPr>
          <w:tblHeader w:val="true"/>
        </w:trPr>
        <w:tc>
          <w:tcPr>
            <w:tcW w:type="dxa" w:w="1368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Score</w:t>
            </w:r>
          </w:p>
        </w:tc>
        <w:tc>
          <w:tcPr>
            <w:tcW w:type="dxa" w:w="1368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k</w:t>
            </w:r>
          </w:p>
        </w:tc>
        <w:tc>
          <w:tcPr>
            <w:tcW w:type="dxa" w:w="1368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α</w:t>
            </w:r>
          </w:p>
        </w:tc>
        <w:tc>
          <w:tcPr>
            <w:tcW w:type="dxa" w:w="1368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ω</w:t>
            </w:r>
          </w:p>
        </w:tc>
        <w:tc>
          <w:tcPr>
            <w:tcW w:type="dxa" w:w="1368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KMO</w:t>
            </w:r>
          </w:p>
        </w:tc>
        <w:tc>
          <w:tcPr>
            <w:tcW w:type="dxa" w:w="1368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Bartlett χ²</w:t>
            </w:r>
          </w:p>
        </w:tc>
        <w:tc>
          <w:tcPr>
            <w:tcW w:type="dxa" w:w="1368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df</w:t>
            </w:r>
          </w:p>
        </w:tc>
        <w:tc>
          <w:tcPr>
            <w:tcW w:type="dxa" w:w="1368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p</w:t>
            </w:r>
          </w:p>
        </w:tc>
        <w:tc>
          <w:tcPr>
            <w:tcW w:type="dxa" w:w="1368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PC1 eigenvalue</w:t>
            </w:r>
          </w:p>
        </w:tc>
        <w:tc>
          <w:tcPr>
            <w:tcW w:type="dxa" w:w="1368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Variance %</w:t>
            </w:r>
          </w:p>
        </w:tc>
      </w:tr>
      <w:tr>
        <w:tc>
          <w:tcPr>
            <w:tcW w:type="dxa" w:w="1368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Impulsivity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13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0.939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0.941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0.953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4238.40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78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&lt; .001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7.645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58.8</w:t>
            </w:r>
          </w:p>
        </w:tc>
      </w:tr>
      <w:tr>
        <w:tc>
          <w:tcPr>
            <w:tcW w:type="dxa" w:w="1368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Conformity-Based Overtime Pressure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0.822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0.824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0.774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702.28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6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&lt; .001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2.613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65.3</w:t>
            </w:r>
          </w:p>
        </w:tc>
      </w:tr>
      <w:tr>
        <w:tc>
          <w:tcPr>
            <w:tcW w:type="dxa" w:w="1368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Driving Distraction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7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0.858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0.861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0.833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1560.79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21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&lt; .001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3.819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54.6</w:t>
            </w:r>
          </w:p>
        </w:tc>
      </w:tr>
      <w:tr>
        <w:tc>
          <w:tcPr>
            <w:tcW w:type="dxa" w:w="1368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Mixed Multitasking and Work Integration Orientation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0.710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0.715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0.720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359.28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6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&lt; .001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2.143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53.6</w:t>
            </w:r>
          </w:p>
        </w:tc>
      </w:tr>
      <w:tr>
        <w:tc>
          <w:tcPr>
            <w:tcW w:type="dxa" w:w="1368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Errors and Violations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12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0.948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0.954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0.965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4901.87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66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&lt; .001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7.991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66.6</w:t>
            </w:r>
          </w:p>
        </w:tc>
      </w:tr>
      <w:tr>
        <w:tc>
          <w:tcPr>
            <w:tcW w:type="dxa" w:w="1368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Lapses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0.879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0.882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0.837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1023.88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6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&lt; .001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2.950</w:t>
            </w:r>
          </w:p>
        </w:tc>
        <w:tc>
          <w:tcPr>
            <w:tcW w:type="dxa" w:w="1368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73.8</w:t>
            </w:r>
          </w:p>
        </w:tc>
      </w:tr>
      <w:tr>
        <w:tc>
          <w:tcPr>
            <w:tcW w:type="dxa" w:w="1368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Aggressive Violations</w:t>
            </w:r>
          </w:p>
        </w:tc>
        <w:tc>
          <w:tcPr>
            <w:tcW w:type="dxa" w:w="1368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3</w:t>
            </w:r>
          </w:p>
        </w:tc>
        <w:tc>
          <w:tcPr>
            <w:tcW w:type="dxa" w:w="1368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0.805</w:t>
            </w:r>
          </w:p>
        </w:tc>
        <w:tc>
          <w:tcPr>
            <w:tcW w:type="dxa" w:w="1368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0.822</w:t>
            </w:r>
          </w:p>
        </w:tc>
        <w:tc>
          <w:tcPr>
            <w:tcW w:type="dxa" w:w="1368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0.661</w:t>
            </w:r>
          </w:p>
        </w:tc>
        <w:tc>
          <w:tcPr>
            <w:tcW w:type="dxa" w:w="1368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574.60</w:t>
            </w:r>
          </w:p>
        </w:tc>
        <w:tc>
          <w:tcPr>
            <w:tcW w:type="dxa" w:w="1368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3</w:t>
            </w:r>
          </w:p>
        </w:tc>
        <w:tc>
          <w:tcPr>
            <w:tcW w:type="dxa" w:w="1368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&lt; .001</w:t>
            </w:r>
          </w:p>
        </w:tc>
        <w:tc>
          <w:tcPr>
            <w:tcW w:type="dxa" w:w="1368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2.179</w:t>
            </w:r>
          </w:p>
        </w:tc>
        <w:tc>
          <w:tcPr>
            <w:tcW w:type="dxa" w:w="1368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72.6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KMO, Bartlett, and PCA were calculated separately for the items actually averaged into each score. These are same-sample score-lineage checks, not confirmatory factor analyses or external validation.</w:t>
      </w:r>
    </w:p>
    <w:p>
      <w:pPr>
        <w:pStyle w:val="Heading2"/>
      </w:pPr>
      <w:r>
        <w:t>Supplementary Table S3. Measurement Lineage and Source Discrepancies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20"/>
        <w:gridCol w:w="3420"/>
        <w:gridCol w:w="3420"/>
        <w:gridCol w:w="3420"/>
      </w:tblGrid>
      <w:tr>
        <w:trPr>
          <w:tblHeader w:val="true"/>
        </w:trPr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Issue</w:t>
            </w:r>
          </w:p>
        </w:tc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Source discrepancy</w:t>
            </w:r>
          </w:p>
        </w:tc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Effect on focal score</w:t>
            </w:r>
          </w:p>
        </w:tc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Resolution</w:t>
            </w:r>
          </w:p>
        </w:tc>
      </w:tr>
      <w:tr>
        <w:tc>
          <w:tcPr>
            <w:tcW w:type="dxa" w:w="34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Q184 deletion lineage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Thesis narrative and retained reanalysis records differ in the round at which Q184 was removed.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Does not enter any focal arithmetic score.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Preserved as an unresolved lineage discrepancy; no outcome formula changed.</w:t>
            </w:r>
          </w:p>
        </w:tc>
      </w:tr>
      <w:tr>
        <w:tc>
          <w:tcPr>
            <w:tcW w:type="dxa" w:w="34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Q193 wording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SAV label describes overtaking or skid steering; the thesis wording describes braking near a slower vehicle.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Q193 is included in Errors and Violations under both sources.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SAV label retained for item audit; wording discrepancy disclosed.</w:t>
            </w:r>
          </w:p>
        </w:tc>
      </w:tr>
      <w:tr>
        <w:tc>
          <w:tcPr>
            <w:tcW w:type="dxa" w:w="34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Starting item block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Historical records refer to both 90 and 105 starting items in different factor-analysis descriptions.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Does not alter the seven fixed score formulas.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Historical archaeology excluded from main text.</w:t>
            </w:r>
          </w:p>
        </w:tc>
      </w:tr>
      <w:tr>
        <w:tc>
          <w:tcPr>
            <w:tcW w:type="dxa" w:w="34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Legacy impulsivity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Saved composite follows Q11–Q23 in historical lineage.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Primary score is Q12–Q23 plus Q26.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Legacy version used only for reconciliation sensitivity.</w:t>
            </w:r>
          </w:p>
        </w:tc>
      </w:tr>
      <w:tr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Legacy distraction</w:t>
            </w:r>
          </w:p>
        </w:tc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Saved composite uses a historical five-item definition.</w:t>
            </w:r>
          </w:p>
        </w:tc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Primary score is Q155 plus Q157–Q162.</w:t>
            </w:r>
          </w:p>
        </w:tc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Legacy version used only for reconciliation sensitivity.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The fixed formulas were applied without selecting items according to statistical significance.</w:t>
      </w:r>
    </w:p>
    <w:p>
      <w:pPr>
        <w:pStyle w:val="Heading2"/>
      </w:pPr>
      <w:r>
        <w:t>Supplementary Table S4. Bootstrap and Multiplicity Detail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 w:val="true"/>
        </w:trPr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Antecedent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Outcome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a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b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Product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95% percentile CI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Bonferroni 98.33% CI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Successful resamples</w:t>
            </w:r>
          </w:p>
        </w:tc>
      </w:tr>
      <w:tr>
        <w:tc>
          <w:tcPr>
            <w:tcW w:type="dxa" w:w="1710"/>
          </w:tcPr>
          <w:p>
            <w:r>
              <w:t>Impulsivity</w:t>
            </w:r>
          </w:p>
        </w:tc>
        <w:tc>
          <w:tcPr>
            <w:tcW w:type="dxa" w:w="1710"/>
          </w:tcPr>
          <w:p>
            <w:r>
              <w:t>Errors and Violations</w:t>
            </w:r>
          </w:p>
        </w:tc>
        <w:tc>
          <w:tcPr>
            <w:tcW w:type="dxa" w:w="1710"/>
          </w:tcPr>
          <w:p>
            <w:r>
              <w:t>0.092</w:t>
            </w:r>
          </w:p>
        </w:tc>
        <w:tc>
          <w:tcPr>
            <w:tcW w:type="dxa" w:w="1710"/>
          </w:tcPr>
          <w:p>
            <w:r>
              <w:t>0.296</w:t>
            </w:r>
          </w:p>
        </w:tc>
        <w:tc>
          <w:tcPr>
            <w:tcW w:type="dxa" w:w="1710"/>
          </w:tcPr>
          <w:p>
            <w:r>
              <w:t>0.027</w:t>
            </w:r>
          </w:p>
        </w:tc>
        <w:tc>
          <w:tcPr>
            <w:tcW w:type="dxa" w:w="1710"/>
          </w:tcPr>
          <w:p>
            <w:r>
              <w:t>[−0.006, 0.066]</w:t>
            </w:r>
          </w:p>
        </w:tc>
        <w:tc>
          <w:tcPr>
            <w:tcW w:type="dxa" w:w="1710"/>
          </w:tcPr>
          <w:p>
            <w:r>
              <w:t>[−0.015, 0.075]</w:t>
            </w:r>
          </w:p>
        </w:tc>
        <w:tc>
          <w:tcPr>
            <w:tcW w:type="dxa" w:w="1710"/>
          </w:tcPr>
          <w:p>
            <w:r>
              <w:t>10000</w:t>
            </w:r>
          </w:p>
        </w:tc>
      </w:tr>
      <w:tr>
        <w:tc>
          <w:tcPr>
            <w:tcW w:type="dxa" w:w="1710"/>
          </w:tcPr>
          <w:p>
            <w:r>
              <w:t>Conformity Based Overtime Pressure</w:t>
            </w:r>
          </w:p>
        </w:tc>
        <w:tc>
          <w:tcPr>
            <w:tcW w:type="dxa" w:w="1710"/>
          </w:tcPr>
          <w:p>
            <w:r>
              <w:t>Errors and Violations</w:t>
            </w:r>
          </w:p>
        </w:tc>
        <w:tc>
          <w:tcPr>
            <w:tcW w:type="dxa" w:w="1710"/>
          </w:tcPr>
          <w:p>
            <w:r>
              <w:t>0.183</w:t>
            </w:r>
          </w:p>
        </w:tc>
        <w:tc>
          <w:tcPr>
            <w:tcW w:type="dxa" w:w="1710"/>
          </w:tcPr>
          <w:p>
            <w:r>
              <w:t>0.296</w:t>
            </w:r>
          </w:p>
        </w:tc>
        <w:tc>
          <w:tcPr>
            <w:tcW w:type="dxa" w:w="1710"/>
          </w:tcPr>
          <w:p>
            <w:r>
              <w:t>0.054</w:t>
            </w:r>
          </w:p>
        </w:tc>
        <w:tc>
          <w:tcPr>
            <w:tcW w:type="dxa" w:w="1710"/>
          </w:tcPr>
          <w:p>
            <w:r>
              <w:t>[0.022, 0.091]</w:t>
            </w:r>
          </w:p>
        </w:tc>
        <w:tc>
          <w:tcPr>
            <w:tcW w:type="dxa" w:w="1710"/>
          </w:tcPr>
          <w:p>
            <w:r>
              <w:t>[0.017, 0.101]</w:t>
            </w:r>
          </w:p>
        </w:tc>
        <w:tc>
          <w:tcPr>
            <w:tcW w:type="dxa" w:w="1710"/>
          </w:tcPr>
          <w:p>
            <w:r>
              <w:t>10000</w:t>
            </w:r>
          </w:p>
        </w:tc>
      </w:tr>
      <w:tr>
        <w:tc>
          <w:tcPr>
            <w:tcW w:type="dxa" w:w="1710"/>
          </w:tcPr>
          <w:p>
            <w:r>
              <w:t>Impulsivity</w:t>
            </w:r>
          </w:p>
        </w:tc>
        <w:tc>
          <w:tcPr>
            <w:tcW w:type="dxa" w:w="1710"/>
          </w:tcPr>
          <w:p>
            <w:r>
              <w:t>Lapses</w:t>
            </w:r>
          </w:p>
        </w:tc>
        <w:tc>
          <w:tcPr>
            <w:tcW w:type="dxa" w:w="1710"/>
          </w:tcPr>
          <w:p>
            <w:r>
              <w:t>0.092</w:t>
            </w:r>
          </w:p>
        </w:tc>
        <w:tc>
          <w:tcPr>
            <w:tcW w:type="dxa" w:w="1710"/>
          </w:tcPr>
          <w:p>
            <w:r>
              <w:t>0.189</w:t>
            </w:r>
          </w:p>
        </w:tc>
        <w:tc>
          <w:tcPr>
            <w:tcW w:type="dxa" w:w="1710"/>
          </w:tcPr>
          <w:p>
            <w:r>
              <w:t>0.017</w:t>
            </w:r>
          </w:p>
        </w:tc>
        <w:tc>
          <w:tcPr>
            <w:tcW w:type="dxa" w:w="1710"/>
          </w:tcPr>
          <w:p>
            <w:r>
              <w:t>[−0.004, 0.046]</w:t>
            </w:r>
          </w:p>
        </w:tc>
        <w:tc>
          <w:tcPr>
            <w:tcW w:type="dxa" w:w="1710"/>
          </w:tcPr>
          <w:p>
            <w:r>
              <w:t>[−0.009, 0.052]</w:t>
            </w:r>
          </w:p>
        </w:tc>
        <w:tc>
          <w:tcPr>
            <w:tcW w:type="dxa" w:w="1710"/>
          </w:tcPr>
          <w:p>
            <w:r>
              <w:t>10000</w:t>
            </w:r>
          </w:p>
        </w:tc>
      </w:tr>
      <w:tr>
        <w:tc>
          <w:tcPr>
            <w:tcW w:type="dxa" w:w="1710"/>
          </w:tcPr>
          <w:p>
            <w:r>
              <w:t>Conformity Based Overtime Pressure</w:t>
            </w:r>
          </w:p>
        </w:tc>
        <w:tc>
          <w:tcPr>
            <w:tcW w:type="dxa" w:w="1710"/>
          </w:tcPr>
          <w:p>
            <w:r>
              <w:t>Lapses</w:t>
            </w:r>
          </w:p>
        </w:tc>
        <w:tc>
          <w:tcPr>
            <w:tcW w:type="dxa" w:w="1710"/>
          </w:tcPr>
          <w:p>
            <w:r>
              <w:t>0.183</w:t>
            </w:r>
          </w:p>
        </w:tc>
        <w:tc>
          <w:tcPr>
            <w:tcW w:type="dxa" w:w="1710"/>
          </w:tcPr>
          <w:p>
            <w:r>
              <w:t>0.189</w:t>
            </w:r>
          </w:p>
        </w:tc>
        <w:tc>
          <w:tcPr>
            <w:tcW w:type="dxa" w:w="1710"/>
          </w:tcPr>
          <w:p>
            <w:r>
              <w:t>0.035</w:t>
            </w:r>
          </w:p>
        </w:tc>
        <w:tc>
          <w:tcPr>
            <w:tcW w:type="dxa" w:w="1710"/>
          </w:tcPr>
          <w:p>
            <w:r>
              <w:t>[0.013, 0.063]</w:t>
            </w:r>
          </w:p>
        </w:tc>
        <w:tc>
          <w:tcPr>
            <w:tcW w:type="dxa" w:w="1710"/>
          </w:tcPr>
          <w:p>
            <w:r>
              <w:t>[0.009, 0.072]</w:t>
            </w:r>
          </w:p>
        </w:tc>
        <w:tc>
          <w:tcPr>
            <w:tcW w:type="dxa" w:w="1710"/>
          </w:tcPr>
          <w:p>
            <w:r>
              <w:t>10000</w:t>
            </w:r>
          </w:p>
        </w:tc>
      </w:tr>
      <w:tr>
        <w:tc>
          <w:tcPr>
            <w:tcW w:type="dxa" w:w="1710"/>
          </w:tcPr>
          <w:p>
            <w:r>
              <w:t>Impulsivity</w:t>
            </w:r>
          </w:p>
        </w:tc>
        <w:tc>
          <w:tcPr>
            <w:tcW w:type="dxa" w:w="1710"/>
          </w:tcPr>
          <w:p>
            <w:r>
              <w:t>Aggressive Violations</w:t>
            </w:r>
          </w:p>
        </w:tc>
        <w:tc>
          <w:tcPr>
            <w:tcW w:type="dxa" w:w="1710"/>
          </w:tcPr>
          <w:p>
            <w:r>
              <w:t>0.092</w:t>
            </w:r>
          </w:p>
        </w:tc>
        <w:tc>
          <w:tcPr>
            <w:tcW w:type="dxa" w:w="1710"/>
          </w:tcPr>
          <w:p>
            <w:r>
              <w:t>0.295</w:t>
            </w:r>
          </w:p>
        </w:tc>
        <w:tc>
          <w:tcPr>
            <w:tcW w:type="dxa" w:w="1710"/>
          </w:tcPr>
          <w:p>
            <w:r>
              <w:t>0.027</w:t>
            </w:r>
          </w:p>
        </w:tc>
        <w:tc>
          <w:tcPr>
            <w:tcW w:type="dxa" w:w="1710"/>
          </w:tcPr>
          <w:p>
            <w:r>
              <w:t>[−0.007, 0.067]</w:t>
            </w:r>
          </w:p>
        </w:tc>
        <w:tc>
          <w:tcPr>
            <w:tcW w:type="dxa" w:w="1710"/>
          </w:tcPr>
          <w:p>
            <w:r>
              <w:t>[−0.014, 0.077]</w:t>
            </w:r>
          </w:p>
        </w:tc>
        <w:tc>
          <w:tcPr>
            <w:tcW w:type="dxa" w:w="1710"/>
          </w:tcPr>
          <w:p>
            <w:r>
              <w:t>10000</w:t>
            </w:r>
          </w:p>
        </w:tc>
      </w:tr>
      <w:tr>
        <w:tc>
          <w:tcPr>
            <w:tcW w:type="dxa" w:w="1710"/>
          </w:tcPr>
          <w:p>
            <w:r>
              <w:t>Conformity Based Overtime Pressure</w:t>
            </w:r>
          </w:p>
        </w:tc>
        <w:tc>
          <w:tcPr>
            <w:tcW w:type="dxa" w:w="1710"/>
          </w:tcPr>
          <w:p>
            <w:r>
              <w:t>Aggressive Violations</w:t>
            </w:r>
          </w:p>
        </w:tc>
        <w:tc>
          <w:tcPr>
            <w:tcW w:type="dxa" w:w="1710"/>
          </w:tcPr>
          <w:p>
            <w:r>
              <w:t>0.183</w:t>
            </w:r>
          </w:p>
        </w:tc>
        <w:tc>
          <w:tcPr>
            <w:tcW w:type="dxa" w:w="1710"/>
          </w:tcPr>
          <w:p>
            <w:r>
              <w:t>0.295</w:t>
            </w:r>
          </w:p>
        </w:tc>
        <w:tc>
          <w:tcPr>
            <w:tcW w:type="dxa" w:w="1710"/>
          </w:tcPr>
          <w:p>
            <w:r>
              <w:t>0.054</w:t>
            </w:r>
          </w:p>
        </w:tc>
        <w:tc>
          <w:tcPr>
            <w:tcW w:type="dxa" w:w="1710"/>
          </w:tcPr>
          <w:p>
            <w:r>
              <w:t>[0.020, 0.096]</w:t>
            </w:r>
          </w:p>
        </w:tc>
        <w:tc>
          <w:tcPr>
            <w:tcW w:type="dxa" w:w="1710"/>
          </w:tcPr>
          <w:p>
            <w:r>
              <w:t>[0.015, 0.105]</w:t>
            </w:r>
          </w:p>
        </w:tc>
        <w:tc>
          <w:tcPr>
            <w:tcW w:type="dxa" w:w="1710"/>
          </w:tcPr>
          <w:p>
            <w:r>
              <w:t>10000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t>Note. Case-resampled bootstrap with 10,000 resamples. Base seed = 20260829; relationship seeds: IMP→EV 20261214, IOWC→EV 20261290, IMP→Lapses 20261280, IOWC→Lapses 20261356, IMP→Aggressive Violations 20261210, IOWC→Aggressive Violations 20261286.</w:t>
      </w:r>
    </w:p>
    <w:p>
      <w:pPr>
        <w:pStyle w:val="Heading2"/>
      </w:pPr>
      <w:r>
        <w:t>Supplementary Table S5. Full Primary Model Coefficients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</w:tblGrid>
      <w:tr>
        <w:trPr>
          <w:tblHeader w:val="true"/>
        </w:trPr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Stage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Outcome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Term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N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B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HC3 SE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β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95% CI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Raw p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Holm p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R²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Adj. R²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driving_distraction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const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2.120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0.273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[1.583, 2.657]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0.082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0.072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driving_distraction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-0.013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-0.123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[-0.023, -0.003]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.011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0.082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0.072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driving_distraction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Male response category (female reference)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-0.048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-0.034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[-0.171, 0.075]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.442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0.082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0.072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driving_distraction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experience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0.016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0.153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[0.006, 0.026]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0.082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0.072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driving_distraction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0.085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[-0.027, 0.211]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.129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0.082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0.072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driving_distraction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[0.079, 0.287]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0.082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0.072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const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0.455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0.222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[0.019, 0.890]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.041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-0.002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-0.025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[-0.012, 0.007]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.628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Male response category (female reference)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0.279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0.220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[0.165, 0.393]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experience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0.011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[-0.007, 0.009]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.815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0.220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[0.113, 0.308]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0.231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[0.107, 0.259]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const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0.336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0.250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[-0.155, 0.826]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.179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0.169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[-0.006, 0.014]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.409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0.169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Male response category (female reference)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0.100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[-0.028, 0.227]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.124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0.169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experience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[-0.009, 0.010]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.962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0.169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0.366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0.330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[0.258, 0.474]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0.169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0.165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[0.080, 0.250]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0.169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const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1.006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0.266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[0.485, 1.528]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0.124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-0.006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-0.057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[-0.017, 0.004]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.241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0.124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Male response category (female reference)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0.256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0.070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[0.119, 0.393]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0.124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experience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0.011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[0.001, 0.022]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.031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0.124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0.258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0.227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[0.144, 0.373]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0.124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total_association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0.093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0.098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[-0.007, 0.192]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.067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.067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0.124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const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-0.173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[-0.590, 0.245]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.416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0.283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0.016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[-0.007, 0.010]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.717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0.283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Male response category (female reference)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0.231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[0.186, 0.400]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0.283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experience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-0.004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-0.040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[-0.012, 0.004]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.365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0.283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[0.098, 0.268]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0.283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0.162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[0.061, 0.197]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0.283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0.335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[0.215, 0.377]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0.283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const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-0.066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0.245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[-0.548, 0.415]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.787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[-0.003, 0.016]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.161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Male response category (female reference)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0.109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0.074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[-0.016, 0.233]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.087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experience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-0.003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-0.026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[-0.012, 0.006]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.547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0.349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0.314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[0.246, 0.452]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0.142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[0.049, 0.212]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[0.104, 0.275]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0.200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const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0.382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0.275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[-0.159, 0.923]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.166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0.195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-0.002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-0.022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[-0.013, 0.008]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.630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0.195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Male response category (female reference)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0.270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[0.139, 0.401]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0.195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experience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0.006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[-0.004, 0.017]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.210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—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0.195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0.231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[0.125, 0.337]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0.195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0.039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[-0.060, 0.137]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.443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.443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0.195</w:t>
            </w:r>
          </w:p>
        </w:tc>
      </w:tr>
      <w:tr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conditional_association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0.295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0.280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[0.191, 0.398]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0.205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0.195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Model A covariates are age, recorded male versus female response-category contrast, and driving experience. The constant has no standardised beta.</w:t>
      </w:r>
    </w:p>
    <w:p>
      <w:pPr>
        <w:pStyle w:val="Heading2"/>
      </w:pPr>
      <w:r>
        <w:t>Supplementary Table S6. Diagnostics for Conditional Outcome Models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</w:tblGrid>
      <w:tr>
        <w:trPr>
          <w:tblHeader w:val="true"/>
        </w:trPr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Outcome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DW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BP p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White p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RESET F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RESET p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Max VIF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Min tol.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Max |stud.|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Max lev.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Max Cook D</w:t>
            </w:r>
          </w:p>
        </w:tc>
        <w:tc>
          <w:tcPr>
            <w:tcW w:type="dxa" w:w="114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Max |DFBETA|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2.018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41.08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1.263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0.792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4.137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0.512</w:t>
            </w:r>
          </w:p>
        </w:tc>
      </w:tr>
      <w:tr>
        <w:tc>
          <w:tcPr>
            <w:tcW w:type="dxa" w:w="114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2.072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11.53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1.263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0.792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2.990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0.064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0.055</w:t>
            </w:r>
          </w:p>
        </w:tc>
        <w:tc>
          <w:tcPr>
            <w:tcW w:type="dxa" w:w="114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0.326</w:t>
            </w:r>
          </w:p>
        </w:tc>
      </w:tr>
      <w:tr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1.971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.259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.001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7.86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.005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1.263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0.792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5.126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0.064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0.069</w:t>
            </w:r>
          </w:p>
        </w:tc>
        <w:tc>
          <w:tcPr>
            <w:tcW w:type="dxa" w:w="114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0.482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Durbin–Watson is a software-reproduction statistic only because row order is not temporal. No case was deleted on an influence statistic.</w:t>
      </w:r>
    </w:p>
    <w:p>
      <w:pPr>
        <w:pStyle w:val="Heading2"/>
      </w:pPr>
      <w:r>
        <w:t>Supplementary Table S7. Functional-Form and Robust-Regression Sensitivities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  <w:gridCol w:w="1520"/>
        <w:gridCol w:w="1520"/>
        <w:gridCol w:w="1520"/>
      </w:tblGrid>
      <w:tr>
        <w:trPr>
          <w:tblHeader w:val="true"/>
        </w:trPr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Analysis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Outcome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Term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N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B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SE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95% CI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p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R² / pseudo R²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Huber_RLM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0.130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[0.067, 0.193]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Huber_RLM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0.094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0.027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[0.041, 0.146]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Huber_RLM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0.219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[0.161, 0.277]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Huber_RLM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0.365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0.049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[0.269, 0.460]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Huber_RLM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0.140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[0.061, 0.220]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Huber_RLM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0.173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0.045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[0.085, 0.261]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Huber_RLM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0.228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0.048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[0.134, 0.322]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Huber_RLM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0.040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[-0.041, 0.116]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.351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Huber_RLM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0.309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0.044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[0.223, 0.395]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median_quantile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0.097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[0.031, 0.163]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.004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median_quantile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0.072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0.028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[0.017, 0.127]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.011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median_quantile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0.164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[0.103, 0.224]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median_quantile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0.406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0.064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[0.281, 0.532]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median_quantile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0.137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[0.033, 0.241]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.010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median_quantile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0.171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0.059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[0.056, 0.286]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.004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median_quantile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0.226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0.059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[0.109, 0.342]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median_quantile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0.024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0.049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[-0.073, 0.121]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.633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  <w:tr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median_quantile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Driving Distraction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0.310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0.054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[0.203, 0.417]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—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Quadratic terms were centred. Alternative estimators were not substituted for the primary OLS specification on the basis of significance.</w:t>
      </w:r>
    </w:p>
    <w:p>
      <w:pPr>
        <w:pStyle w:val="Heading2"/>
      </w:pPr>
      <w:r>
        <w:t>Supplementary Table S8. Alternative Covariate, Exposure, Duration, and Historical-Score Sensitivities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  <w:gridCol w:w="1520"/>
        <w:gridCol w:w="1520"/>
        <w:gridCol w:w="1520"/>
      </w:tblGrid>
      <w:tr>
        <w:trPr>
          <w:tblHeader w:val="true"/>
        </w:trPr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Specification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Outcome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Term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N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B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SE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95% CI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p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1"/>
              </w:rPr>
              <w:t>R²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model_b_log_exposure_conditional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[0.096, 0.267]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0.293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model_b_log_exposure_conditional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[0.060, 0.197]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0.293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model_b_log_exposure_conditional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[0.215, 0.378]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0.293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[0.096, 0.268]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[0.061, 0.198]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[0.215, 0.377]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model_b_winsor_raw_exposure_conditional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[0.097, 0.267]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model_b_winsor_raw_exposure_conditional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[0.060, 0.197]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model_b_winsor_raw_exposure_conditional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[0.215, 0.378]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full_archive_no_gender_model_a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[0.117, 0.291]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0.245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full_archive_no_gender_model_a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[0.059, 0.199]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0.245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full_archive_no_gender_model_a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[0.208, 0.371]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0.245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predefined_D16_three_controls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[0.117, 0.291]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0.245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predefined_D16_three_controls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[0.058, 0.196]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0.245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predefined_D16_three_controls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[0.210, 0.372]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0.245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primary_plus_ambiguous_duration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[0.099, 0.270]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primary_plus_ambiguous_duration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0.128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[0.059, 0.196]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primary_plus_ambiguous_duration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[0.217, 0.378]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[0.064, 0.201]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0.289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[0.216, 0.378]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0.289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historical_five_item_distraction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[0.101, 0.277]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0.254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historical_five_item_distraction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0.148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[0.078, 0.218]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0.254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model_b_log_exposure_conditional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0.346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[0.242, 0.449]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0.212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model_b_log_exposure_conditional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[0.048, 0.212]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0.212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model_b_log_exposure_conditional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[0.101, 0.273]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0.212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0.345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[0.242, 0.448]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0.211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[0.049, 0.213]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0.211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[0.103, 0.275]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0.211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model_b_winsor_raw_exposure_conditional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0.346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[0.243, 0.449]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0.211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model_b_winsor_raw_exposure_conditional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[0.048, 0.212]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0.211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model_b_winsor_raw_exposure_conditional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[0.104, 0.275]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0.211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full_archive_no_gender_model_a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0.357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[0.254, 0.459]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full_archive_no_gender_model_a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[0.050, 0.212]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full_archive_no_gender_model_a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[0.101, 0.273]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predefined_D16_three_controls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0.352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[0.249, 0.456]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0.208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predefined_D16_three_controls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[0.050, 0.211]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0.208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predefined_D16_three_controls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0.183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[0.099, 0.268]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0.208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primary_plus_ambiguous_duration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0.349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[0.246, 0.453]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0.210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primary_plus_ambiguous_duration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[0.047, 0.212]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0.210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primary_plus_ambiguous_duration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[0.105, 0.276]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0.210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0.136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[0.054, 0.219]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0.204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[0.105, 0.277]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0.204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historical_five_item_distraction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0.352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[0.248, 0.455]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0.200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historical_five_item_distraction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[0.059, 0.224]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0.200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model_b_log_exposure_conditional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0.234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[0.127, 0.340]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0.207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model_b_log_exposure_conditional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[-0.060, 0.138]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0.207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model_b_log_exposure_conditional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[0.188, 0.396]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0.207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0.235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[0.131, 0.340]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0.208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[-0.063, 0.137]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.466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0.208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[0.192, 0.398]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0.208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model_b_winsor_raw_exposure_conditional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0.235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[0.130, 0.340]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0.209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model_b_winsor_raw_exposure_conditional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[-0.060, 0.138]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.442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0.209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model_b_winsor_raw_exposure_conditional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[0.189, 0.397]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0.209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full_archive_no_gender_model_a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0.250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[0.144, 0.355]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0.177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full_archive_no_gender_model_a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[-0.058, 0.137]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.430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0.177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full_archive_no_gender_model_a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0.289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[0.184, 0.394]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0.177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predefined_D16_three_controls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0.258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[0.151, 0.364]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0.174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predefined_D16_three_controls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[-0.064, 0.130]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.505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0.174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predefined_D16_three_controls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[0.194, 0.398]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0.174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primary_plus_ambiguous_duration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0.232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[0.125, 0.338]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0.206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primary_plus_ambiguous_duration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0.038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[-0.061, 0.137]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.454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0.206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primary_plus_ambiguous_duration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[0.192, 0.399]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0.206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[-0.058, 0.140]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.418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0.206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Driving 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0.295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[0.191, 0.399]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0.206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historical_five_item_distraction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Impulsivity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0.233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[0.126, 0.339]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0.197</w:t>
            </w:r>
          </w:p>
        </w:tc>
      </w:tr>
      <w:tr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historical_five_item_distraction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Aggressive Violations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Conformity-Based Overtime Pressure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490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0.051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0.050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[-0.047, 0.148]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= .308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1"/>
              </w:rPr>
              <w:t>0.197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Model B adds log(1 + commuting frequency) and log(1 + commuting distance). Raw and winsorised variants address high-end values. Commuting duration remains non-primary because its recorded unit is ambiguous. Legacy scores are reconciliation checks only.</w:t>
      </w:r>
    </w:p>
    <w:p>
      <w:pPr>
        <w:pStyle w:val="Heading2"/>
      </w:pPr>
      <w:r>
        <w:t>Supplementary Table S9. Response-Quality Rules and Strict-Sample Moderation Sensitivity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60"/>
        <w:gridCol w:w="4560"/>
        <w:gridCol w:w="4560"/>
      </w:tblGrid>
      <w:tr>
        <w:trPr>
          <w:tblHeader w:val="true"/>
        </w:trPr>
        <w:tc>
          <w:tcPr>
            <w:tcW w:type="dxa" w:w="456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4"/>
              </w:rPr>
              <w:t>Rule</w:t>
            </w:r>
          </w:p>
        </w:tc>
        <w:tc>
          <w:tcPr>
            <w:tcW w:type="dxa" w:w="456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4"/>
              </w:rPr>
              <w:t>Definition</w:t>
            </w:r>
          </w:p>
        </w:tc>
        <w:tc>
          <w:tcPr>
            <w:tcW w:type="dxa" w:w="456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4"/>
              </w:rPr>
              <w:t>Flagged records</w:t>
            </w:r>
          </w:p>
        </w:tc>
      </w:tr>
      <w:tr>
        <w:tc>
          <w:tcPr>
            <w:tcW w:type="dxa" w:w="456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FLAG_TIME</w:t>
            </w:r>
          </w:p>
        </w:tc>
        <w:tc>
          <w:tcPr>
            <w:tcW w:type="dxa" w:w="456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completion &lt;300 or &gt;7200 seconds</w:t>
            </w:r>
          </w:p>
        </w:tc>
        <w:tc>
          <w:tcPr>
            <w:tcW w:type="dxa" w:w="456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10</w:t>
            </w:r>
          </w:p>
        </w:tc>
      </w:tr>
      <w:tr>
        <w:tc>
          <w:tcPr>
            <w:tcW w:type="dxa" w:w="456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FLAG_LOWSD</w:t>
            </w:r>
          </w:p>
        </w:tc>
        <w:tc>
          <w:tcPr>
            <w:tcW w:type="dxa" w:w="456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within-person SD &lt;=.20</w:t>
            </w:r>
          </w:p>
        </w:tc>
        <w:tc>
          <w:tcPr>
            <w:tcW w:type="dxa" w:w="456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7</w:t>
            </w:r>
          </w:p>
        </w:tc>
      </w:tr>
      <w:tr>
        <w:tc>
          <w:tcPr>
            <w:tcW w:type="dxa" w:w="456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FLAG_MODAL</w:t>
            </w:r>
          </w:p>
        </w:tc>
        <w:tc>
          <w:tcPr>
            <w:tcW w:type="dxa" w:w="456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modal response share &gt;=.90</w:t>
            </w:r>
          </w:p>
        </w:tc>
        <w:tc>
          <w:tcPr>
            <w:tcW w:type="dxa" w:w="456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10</w:t>
            </w:r>
          </w:p>
        </w:tc>
      </w:tr>
      <w:tr>
        <w:tc>
          <w:tcPr>
            <w:tcW w:type="dxa" w:w="456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FLAG_RUN40</w:t>
            </w:r>
          </w:p>
        </w:tc>
        <w:tc>
          <w:tcPr>
            <w:tcW w:type="dxa" w:w="456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same-response run &gt;=40 items</w:t>
            </w:r>
          </w:p>
        </w:tc>
        <w:tc>
          <w:tcPr>
            <w:tcW w:type="dxa" w:w="456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70</w:t>
            </w:r>
          </w:p>
        </w:tc>
      </w:tr>
      <w:tr>
        <w:tc>
          <w:tcPr>
            <w:tcW w:type="dxa" w:w="456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Strict exclusion</w:t>
            </w:r>
          </w:p>
        </w:tc>
        <w:tc>
          <w:tcPr>
            <w:tcW w:type="dxa" w:w="456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at least two flags</w:t>
            </w:r>
          </w:p>
        </w:tc>
        <w:tc>
          <w:tcPr>
            <w:tcW w:type="dxa" w:w="456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4"/>
              </w:rPr>
              <w:t>12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Rules were applied to the 492-record archive. The strict retained sample was N = 480 overall and N = 478 for gender-adjusted models. In that N = 478 sensitivity, the impulsivity interactions had Holm p = .059 for Errors and Violations and .232 for Lapses; no interaction was supported after adjustment.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10"/>
        <w:gridCol w:w="1710"/>
        <w:gridCol w:w="1710"/>
        <w:gridCol w:w="1710"/>
        <w:gridCol w:w="1710"/>
        <w:gridCol w:w="1710"/>
        <w:gridCol w:w="1710"/>
        <w:gridCol w:w="1710"/>
      </w:tblGrid>
      <w:tr>
        <w:trPr>
          <w:tblHeader w:val="true"/>
        </w:trPr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Outcome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Interaction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N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B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HC3 SE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95% CI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Raw p</w:t>
            </w:r>
          </w:p>
        </w:tc>
        <w:tc>
          <w:tcPr>
            <w:tcW w:type="dxa" w:w="171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Holm p</w:t>
            </w:r>
          </w:p>
        </w:tc>
      </w:tr>
      <w:tr>
        <w:tc>
          <w:tcPr>
            <w:tcW w:type="dxa" w:w="171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Errors and Violations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IMP_X_ORIENT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478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0.193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0.074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[0.046, 0.339]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.010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.059</w:t>
            </w:r>
          </w:p>
        </w:tc>
      </w:tr>
      <w:tr>
        <w:tc>
          <w:tcPr>
            <w:tcW w:type="dxa" w:w="171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Errors and Violations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IOWC_X_ORIENT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478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0.083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0.042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[0.001, 0.165]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.048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.232</w:t>
            </w:r>
          </w:p>
        </w:tc>
      </w:tr>
      <w:tr>
        <w:tc>
          <w:tcPr>
            <w:tcW w:type="dxa" w:w="171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Lapses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IMP_X_ORIENT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478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0.168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0.084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[0.003, 0.333]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.046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.232</w:t>
            </w:r>
          </w:p>
        </w:tc>
      </w:tr>
      <w:tr>
        <w:tc>
          <w:tcPr>
            <w:tcW w:type="dxa" w:w="171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Lapses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IOWC_X_ORIENT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478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0.043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0.051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[-0.058, 0.144]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.403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1.000</w:t>
            </w:r>
          </w:p>
        </w:tc>
      </w:tr>
      <w:tr>
        <w:tc>
          <w:tcPr>
            <w:tcW w:type="dxa" w:w="171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Aggressive Violations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IMP_X_ORIENT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478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0.072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0.082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[-0.089, 0.233]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.380</w:t>
            </w:r>
          </w:p>
        </w:tc>
        <w:tc>
          <w:tcPr>
            <w:tcW w:type="dxa" w:w="171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1.000</w:t>
            </w:r>
          </w:p>
        </w:tc>
      </w:tr>
      <w:tr>
        <w:tc>
          <w:tcPr>
            <w:tcW w:type="dxa" w:w="171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Aggressive Violations</w:t>
            </w:r>
          </w:p>
        </w:tc>
        <w:tc>
          <w:tcPr>
            <w:tcW w:type="dxa" w:w="171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IOWC_X_ORIENT</w:t>
            </w:r>
          </w:p>
        </w:tc>
        <w:tc>
          <w:tcPr>
            <w:tcW w:type="dxa" w:w="171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478</w:t>
            </w:r>
          </w:p>
        </w:tc>
        <w:tc>
          <w:tcPr>
            <w:tcW w:type="dxa" w:w="171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0.040</w:t>
            </w:r>
          </w:p>
        </w:tc>
        <w:tc>
          <w:tcPr>
            <w:tcW w:type="dxa" w:w="171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0.059</w:t>
            </w:r>
          </w:p>
        </w:tc>
        <w:tc>
          <w:tcPr>
            <w:tcW w:type="dxa" w:w="171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[-0.076, 0.157]</w:t>
            </w:r>
          </w:p>
        </w:tc>
        <w:tc>
          <w:tcPr>
            <w:tcW w:type="dxa" w:w="171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.497</w:t>
            </w:r>
          </w:p>
        </w:tc>
        <w:tc>
          <w:tcPr>
            <w:tcW w:type="dxa" w:w="171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= 1.000</w:t>
            </w:r>
          </w:p>
        </w:tc>
      </w:tr>
    </w:tbl>
    <w:p>
      <w:pPr>
        <w:spacing w:after="0"/>
      </w:pPr>
    </w:p>
    <w:p>
      <w:pPr>
        <w:pStyle w:val="Heading2"/>
      </w:pPr>
      <w:r>
        <w:t>Supplementary Table S10. Moderator Split-Content Sensitivity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  <w:gridCol w:w="1520"/>
        <w:gridCol w:w="1520"/>
        <w:gridCol w:w="1520"/>
      </w:tblGrid>
      <w:tr>
        <w:trPr>
          <w:tblHeader w:val="true"/>
        </w:trPr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Moderator pair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Outcome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Interaction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N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B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HC3 SE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95% CI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Raw p</w:t>
            </w:r>
          </w:p>
        </w:tc>
        <w:tc>
          <w:tcPr>
            <w:tcW w:type="dxa" w:w="15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Holm p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ORIENT_MULTI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0.149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[0.045, 0.252]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.005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.031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ORIENT_MULTI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0.073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[0.004, 0.143]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.038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.190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ORIENT_MULTI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0.104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0.061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[-0.016, 0.224]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.089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.355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ORIENT_MULTI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0.028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0.045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[-0.061, 0.117]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.538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1.000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ORIENT_MULTI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0.078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[-0.051, 0.254]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.193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.579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ORIENT_MULTI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0.004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0.058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[-0.110, 0.119]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.941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1.000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ORIENT_INTEGRATION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0.232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0.046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[0.141, 0.323]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ORIENT_INTEGRATION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0.076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0.032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[0.013, 0.139]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.018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.073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ORIENT_INTEGRATION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0.206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0.053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[0.103, 0.310]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&lt; .001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ORIENT_INTEGRATION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0.038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0.039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[-0.039, 0.114]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.333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.333</w:t>
            </w:r>
          </w:p>
        </w:tc>
      </w:tr>
      <w:tr>
        <w:tc>
          <w:tcPr>
            <w:tcW w:type="dxa" w:w="15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ORIENT_INTEGRATION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IMP_X_ALT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0.155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0.067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[0.023, 0.287]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.021</w:t>
            </w:r>
          </w:p>
        </w:tc>
        <w:tc>
          <w:tcPr>
            <w:tcW w:type="dxa" w:w="15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.073</w:t>
            </w:r>
          </w:p>
        </w:tc>
      </w:tr>
      <w:tr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ORIENT_INTEGRATION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IOWC_X_ALT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0.092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0.054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[-0.014, 0.198]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.090</w:t>
            </w:r>
          </w:p>
        </w:tc>
        <w:tc>
          <w:tcPr>
            <w:tcW w:type="dxa" w:w="15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= .180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ORIENT_MULTI uses Q142/Q145; ORIENT_WORKINT uses Q146/Q148. The difference between the pair-specific patterns supports treating the four-item score as heterogeneous and exploratory.</w:t>
      </w:r>
    </w:p>
    <w:p>
      <w:pPr>
        <w:pStyle w:val="Heading2"/>
      </w:pPr>
      <w:r>
        <w:t>Supplementary Table S11. Software and Reproducibility Provenance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20"/>
        <w:gridCol w:w="3420"/>
        <w:gridCol w:w="3420"/>
        <w:gridCol w:w="3420"/>
      </w:tblGrid>
      <w:tr>
        <w:trPr>
          <w:tblHeader w:val="true"/>
        </w:trPr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Software</w:t>
            </w:r>
          </w:p>
        </w:tc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Role</w:t>
            </w:r>
          </w:p>
        </w:tc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Scope</w:t>
            </w:r>
          </w:p>
        </w:tc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3"/>
              </w:rPr>
              <w:t>Evidence</w:t>
            </w:r>
          </w:p>
        </w:tc>
      </w:tr>
      <w:tr>
        <w:tc>
          <w:tcPr>
            <w:tcW w:type="dxa" w:w="34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IBM SPSS Statistics 26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Native Mac batch execution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Score construction; alpha; separate PCA/KMO/Bartlett; descriptives; correlations; OLS; standard diagnostics; moderation preparation</w:t>
            </w:r>
          </w:p>
        </w:tc>
        <w:tc>
          <w:tcPr>
            <w:tcW w:type="dxa" w:w="3420"/>
            <w:vAlign w:val="center"/>
          </w:tcPr>
          <w:p>
            <w:r>
              <w:t>ETRR_MASTER_ANALYSIS.sps; ETRR_NATIVE_SPSS_OUTPUT.spv; ETRR_NATIVE_SPSS_OUTPUT.html; ETRR_NATIVE_SPSS_RUN_LOG.txt (0 errors, 3 title-length warnings)</w:t>
            </w:r>
          </w:p>
        </w:tc>
      </w:tr>
      <w:tr>
        <w:tc>
          <w:tcPr>
            <w:tcW w:type="dxa" w:w="34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Python 3.12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Independent numerical pipeline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Raw SAV import; omega; HC3; Holm; bootstrap; robust, quantile, quadratic and quality sensitivities; master results</w:t>
            </w:r>
          </w:p>
        </w:tc>
        <w:tc>
          <w:tcPr>
            <w:tcW w:type="dxa" w:w="3420"/>
            <w:vAlign w:val="center"/>
          </w:tcPr>
          <w:p>
            <w:r>
              <w:t>ETRR_Independent_Python_Verification.py; ETRR_Master_Results.json; 01_ANALYSIS CSV outputs</w:t>
            </w:r>
          </w:p>
        </w:tc>
      </w:tr>
      <w:tr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Independent check script</w:t>
            </w:r>
          </w:p>
        </w:tc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3"/>
              </w:rPr>
              <w:t>Fresh raw-score and model reconstruction</w:t>
            </w:r>
          </w:p>
        </w:tc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r>
              <w:t>Fresh raw-score and model reconstruction, including equality contrasts</w:t>
            </w:r>
          </w:p>
        </w:tc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r>
              <w:t>46 key values checked; 46 passed; independent_25_number_audit.csv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t>Note. SAV SHA-256: 974fd09e9ee6cc40edaba5da88345ca0251a0b20c580641f1d14d03efc286036. Thesis SHA-256: 319f4088bc2fd7a4f6bfd01283407b779bedb00dfa0c0f13cb983e8179de3b06. Native SPSS 26 completed with zero errors. Its three warnings truncated overlong output titles only. The longest-identical-run response-quality flag and all HC3, Holm, bootstrap and equality-contrast inference were independently executed in Python and are not represented as SPSS output.</w:t>
      </w:r>
    </w:p>
    <w:p>
      <w:pPr>
        <w:pStyle w:val="Heading2"/>
      </w:pPr>
      <w:r>
        <w:t>Supplementary Table S12. Final Numerical Audit, Equality Contrasts, and Conflict Reconciliation</w:t>
      </w:r>
    </w:p>
    <w:p>
      <w:r>
        <w:rPr>
          <w:i/>
        </w:rPr>
        <w:t>Panel A. Independent numerical audit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  <w:gridCol w:w="2736"/>
      </w:tblGrid>
      <w:tr>
        <w:trPr>
          <w:tblHeader w:val="true"/>
        </w:trPr>
        <w:tc>
          <w:tcPr>
            <w:tcW w:type="dxa" w:w="2736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Check</w:t>
            </w:r>
          </w:p>
        </w:tc>
        <w:tc>
          <w:tcPr>
            <w:tcW w:type="dxa" w:w="2736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Fresh SAV value</w:t>
            </w:r>
          </w:p>
        </w:tc>
        <w:tc>
          <w:tcPr>
            <w:tcW w:type="dxa" w:w="2736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Master value</w:t>
            </w:r>
          </w:p>
        </w:tc>
        <w:tc>
          <w:tcPr>
            <w:tcW w:type="dxa" w:w="2736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Absolute difference</w:t>
            </w:r>
          </w:p>
        </w:tc>
        <w:tc>
          <w:tcPr>
            <w:tcW w:type="dxa" w:w="2736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Status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Archive N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Primary N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490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 alpha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0.9388767705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0.9388767705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 alpha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0.8219288652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0.8219288652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DD alpha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0.8582784559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0.8582784559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ORIENT alpha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0.7097206617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0.7097206617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EV alpha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0.9478274932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0.9478274932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 alpha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0.879340466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0.879340466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AV alpha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0.8050189181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0.8050189181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 primary mean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2.316640502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2.316640502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 primary mean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2.595408163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2.595408163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DD primary mean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2.439358601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2.439358601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EV primary mean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1.458673469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1.458673469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 primary mean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1.84744898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1.84744898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AV primary mean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1.842176871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1.842176871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IOWC-DD Pearson r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0.2179542142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0.2179542142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1.4e-16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IMP-EV Pearson r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0.3014707799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0.3014707799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5e-16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 to DD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0.1831736116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0.1831736116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 to DD HC3 SE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0.05287770517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0.05287770517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1.4e-17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 to DD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0.09205240123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0.09205240123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2.2e-16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 total EV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0.2107354241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0.2107354241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 conditional EV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0.128895395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0.128895395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1.4e-16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DD conditional EV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0.2960532279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0.2960532279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5.6e-17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 total LAP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0.3663177774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0.3663177774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1.1e-16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 conditional LAP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0.1303154484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0.1303154484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8.3e-17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DD conditional LAP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0.1894950838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0.1894950838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3.6e-16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 total AV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0.2582749814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0.2582749814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5.6e-17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IOWC conditional AV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0.03855558064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0.03855558064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3.1e-16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DD conditional AV B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0.2946385399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0.2946385399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1.7e-16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DD model R2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0.08162044545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0.08162044545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3.3e-16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EV conditional R2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0.2917603532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0.2917603532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2.2e-16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EV delta R2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0.1033112519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0.1033112519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Driving Distraction beta difference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-0.1189483745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-0.1189483745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1.9e-16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Driving Distraction equality p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0.2061739048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0.2061739048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5.6e-16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 total beta difference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-0.01072762896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-0.01072762896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1.9e-16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 total equality p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0.8769504953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0.8769504953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2.2e-15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 conditional beta difference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0.02916762375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0.02916762375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1.4e-16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 conditional equality p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0.6420894398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0.6420894398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8.9e-16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 total beta difference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0.1506034668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0.1506034668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 total equality p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0.03358398782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0.03358398782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4.9e-17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 conditional beta difference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0.1726300399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0.1726300399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6.1e-16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 conditional equality p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0.009316837197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0.009316837197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1.7e-16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 total beta difference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0.1286594168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0.1286594168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1.1e-16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 total equality p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0.09022511743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0.09022511743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4.6e-16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 conditional beta difference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0.1620174972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0.1620174972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1.1e-16</w:t>
            </w:r>
          </w:p>
        </w:tc>
        <w:tc>
          <w:tcPr>
            <w:tcW w:type="dxa" w:w="2736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  <w:tr>
        <w:tc>
          <w:tcPr>
            <w:tcW w:type="dxa" w:w="2736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 conditional equality p</w:t>
            </w:r>
          </w:p>
        </w:tc>
        <w:tc>
          <w:tcPr>
            <w:tcW w:type="dxa" w:w="2736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0.02516667242</w:t>
            </w:r>
          </w:p>
        </w:tc>
        <w:tc>
          <w:tcPr>
            <w:tcW w:type="dxa" w:w="2736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0.02516667242</w:t>
            </w:r>
          </w:p>
        </w:tc>
        <w:tc>
          <w:tcPr>
            <w:tcW w:type="dxa" w:w="2736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1.2e-16</w:t>
            </w:r>
          </w:p>
        </w:tc>
        <w:tc>
          <w:tcPr>
            <w:tcW w:type="dxa" w:w="2736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PASS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46 independently coded checks were recalculated directly from the immutable SAV; all passed the stated numerical tolerance.</w:t>
      </w:r>
    </w:p>
    <w:p>
      <w:r>
        <w:rPr>
          <w:i/>
        </w:rPr>
        <w:t>Panel B. Standardised impulsivity minus overtime pressure coefficient contrasts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  <w:gridCol w:w="2280"/>
        <w:gridCol w:w="2280"/>
      </w:tblGrid>
      <w:tr>
        <w:trPr>
          <w:tblHeader w:val="true"/>
        </w:trPr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Model</w:t>
            </w:r>
          </w:p>
        </w:tc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Difference in β</w:t>
            </w:r>
          </w:p>
        </w:tc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HC3 SE</w:t>
            </w:r>
          </w:p>
        </w:tc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Raw p</w:t>
            </w:r>
          </w:p>
        </w:tc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Holm p</w:t>
            </w:r>
          </w:p>
        </w:tc>
        <w:tc>
          <w:tcPr>
            <w:tcW w:type="dxa" w:w="228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Decision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Driving Distraction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−0.119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0.094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.206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.619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Not supported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 total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−0.011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0.069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.877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1.000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Not supported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Errors and Violations conditional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0.029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0.063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.642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1.000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Not supported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 total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0.151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0.071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.034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.168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Not supported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Lapses conditional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0.173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0.066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.009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.065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Not supported</w:t>
            </w:r>
          </w:p>
        </w:tc>
      </w:tr>
      <w:tr>
        <w:tc>
          <w:tcPr>
            <w:tcW w:type="dxa" w:w="228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 total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0.129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0.076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.090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.361</w:t>
            </w:r>
          </w:p>
        </w:tc>
        <w:tc>
          <w:tcPr>
            <w:tcW w:type="dxa" w:w="228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Not supported</w:t>
            </w:r>
          </w:p>
        </w:tc>
      </w:tr>
      <w:tr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Aggressive Violations conditional</w:t>
            </w:r>
          </w:p>
        </w:tc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0.162</w:t>
            </w:r>
          </w:p>
        </w:tc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0.072</w:t>
            </w:r>
          </w:p>
        </w:tc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.025</w:t>
            </w:r>
          </w:p>
        </w:tc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.151</w:t>
            </w:r>
          </w:p>
        </w:tc>
        <w:tc>
          <w:tcPr>
            <w:tcW w:type="dxa" w:w="228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Not supported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The contrast is standardised Impulsivity minus standardised Conformity Based Overtime Pressure. All models used N = 490 and Model A covariates. Holm adjustment covered all seven contrasts; none was supported.</w:t>
      </w:r>
    </w:p>
    <w:p>
      <w:r>
        <w:rPr>
          <w:i/>
        </w:rPr>
        <w:t>Panel C. Thesis-to-current-analysis numerical and lineage reconciliation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20"/>
        <w:gridCol w:w="3420"/>
        <w:gridCol w:w="3420"/>
        <w:gridCol w:w="3420"/>
      </w:tblGrid>
      <w:tr>
        <w:trPr>
          <w:tblHeader w:val="true"/>
        </w:trPr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Issue</w:t>
            </w:r>
          </w:p>
        </w:tc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Thesis or historical record</w:t>
            </w:r>
          </w:p>
        </w:tc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Final evidence</w:t>
            </w:r>
          </w:p>
        </w:tc>
        <w:tc>
          <w:tcPr>
            <w:tcW w:type="dxa" w:w="3420"/>
            <w:vAlign w:val="center"/>
            <w:tcBorders>
              <w:top w:val="single" w:sz="10" w:color="000000" w:space="0"/>
              <w:bottom w:val="single" w:sz="6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/>
                <w:i w:val="0"/>
                <w:sz w:val="12"/>
              </w:rPr>
              <w:t>Disposition</w:t>
            </w:r>
          </w:p>
        </w:tc>
      </w:tr>
      <w:tr>
        <w:tc>
          <w:tcPr>
            <w:tcW w:type="dxa" w:w="34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Participant flow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Thesis: 1,000 invited; 668 returned; 176 excluded; 492 retained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Only the final 492 cases are present in the SAV; excluded records cannot be reconstructed case by case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Preserved as a limitation</w:t>
            </w:r>
          </w:p>
        </w:tc>
      </w:tr>
      <w:tr>
        <w:tc>
          <w:tcPr>
            <w:tcW w:type="dxa" w:w="34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Impulsivity formula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Historical composite used Q11–Q23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Primary score uses Q12–Q23 plus Q26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Resolved by raw item reconstruction</w:t>
            </w:r>
          </w:p>
        </w:tc>
      </w:tr>
      <w:tr>
        <w:tc>
          <w:tcPr>
            <w:tcW w:type="dxa" w:w="34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Driving Distraction formula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Historical composite used five items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Primary score uses Q155 and Q157–Q162; Q156 excluded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Resolved by raw item reconstruction</w:t>
            </w:r>
          </w:p>
        </w:tc>
      </w:tr>
      <w:tr>
        <w:tc>
          <w:tcPr>
            <w:tcW w:type="dxa" w:w="3420"/>
            <w:vAlign w:val="center"/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Equality claims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Narrative profile comparison only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Seven formal standardised contrasts; minimum Holm p = .065</w:t>
            </w:r>
          </w:p>
        </w:tc>
        <w:tc>
          <w:tcPr>
            <w:tcW w:type="dxa" w:w="3420"/>
            <w:vAlign w:val="center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No systematic magnitude difference established</w:t>
            </w:r>
          </w:p>
        </w:tc>
      </w:tr>
      <w:tr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Measurement lineage</w:t>
            </w:r>
          </w:p>
        </w:tc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Q184/Q193 and 90 versus 105 item-block discrepancies</w:t>
            </w:r>
          </w:p>
        </w:tc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No arithmetic focal formula changed</w:t>
            </w:r>
          </w:p>
        </w:tc>
        <w:tc>
          <w:tcPr>
            <w:tcW w:type="dxa" w:w="3420"/>
            <w:vAlign w:val="center"/>
            <w:tcBorders>
              <w:bottom w:val="single" w:sz="10" w:color="000000" w:space="0"/>
            </w:tcBorders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Times New Roman" w:hAnsi="Times New Roman" w:eastAsia="Arial Unicode MS"/>
                <w:b w:val="0"/>
                <w:i w:val="0"/>
                <w:sz w:val="12"/>
              </w:rPr>
              <w:t>Retained in S3 and conflict report</w:t>
            </w:r>
          </w:p>
        </w:tc>
      </w:tr>
    </w:tbl>
    <w:p>
      <w:pPr>
        <w:spacing w:after="0"/>
      </w:pPr>
    </w:p>
    <w:p>
      <w:pPr>
        <w:spacing w:line="240" w:lineRule="auto" w:after="120"/>
      </w:pPr>
      <w:r>
        <w:rPr>
          <w:i/>
          <w:sz w:val="16"/>
        </w:rPr>
        <w:t xml:space="preserve">Note. </w:t>
      </w:r>
      <w:r>
        <w:rPr>
          <w:sz w:val="16"/>
        </w:rPr>
        <w:t>Bootstrap base seed = 20260829. Relationship seeds were IMP→EV 20261214, IOWC→EV 20261290, IMP→Lapses 20261280, IOWC→Lapses 20261356, IMP→Aggressive Violations 20261210, and IOWC→Aggressive Violations 20261286. Each relationship used 10,000 case resamples.</w:t>
      </w:r>
    </w:p>
    <w:sectPr>
      <w:headerReference w:type="default" r:id="rId9"/>
      <w:footerReference w:type="default" r:id="rId10"/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SUPPLEMENTARY MATERIAL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40"/>
    </w:pPr>
    <w:rPr>
      <w:rFonts w:ascii="Times New Roman" w:hAnsi="Times New Roman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Times New Roman" w:hAnsi="Times New Roman" w:eastAsia="Arial Unicode MS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Times New Roman" w:hAnsi="Times New Roman" w:eastAsia="Arial Unicode MS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Times New Roman" w:hAnsi="Times New Roman" w:eastAsia="Arial Unicode MS"/>
      <w:b/>
      <w:bCs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60"/>
      <w:contextualSpacing/>
    </w:pPr>
    <w:rPr>
      <w:rFonts w:asciiTheme="majorHAnsi" w:eastAsiaTheme="majorEastAsia" w:hAnsiTheme="majorHAnsi" w:cstheme="majorBidi" w:ascii="Times New Roman" w:hAnsi="Times New Roman" w:eastAsia="Arial Unicode MS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Impulsivity, Conformity Based Overtime Pressure, and Driving Distraction among Employee Car Commuters in Shandong, China: Implications for Road Safety Education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