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B4D" w:rsidRPr="00993CFC" w:rsidRDefault="00B83B4D" w:rsidP="00B83B4D">
      <w:pPr>
        <w:keepNext/>
        <w:keepLines/>
        <w:spacing w:before="240" w:after="0" w:line="480" w:lineRule="auto"/>
        <w:outlineLvl w:val="0"/>
        <w:rPr>
          <w:rFonts w:ascii="Times New Roman" w:eastAsia="Malgun Gothic" w:hAnsi="Times New Roman" w:cs="Times New Roman"/>
          <w:b/>
          <w:caps/>
          <w:sz w:val="24"/>
          <w:szCs w:val="32"/>
          <w:lang w:eastAsia="ko-KR"/>
        </w:rPr>
      </w:pPr>
      <w:r w:rsidRPr="00993CFC">
        <w:rPr>
          <w:rFonts w:ascii="Times New Roman" w:eastAsia="Malgun Gothic" w:hAnsi="Times New Roman" w:cs="Times New Roman"/>
          <w:b/>
          <w:caps/>
          <w:sz w:val="24"/>
          <w:szCs w:val="32"/>
          <w:lang w:eastAsia="ko-KR"/>
        </w:rPr>
        <w:t>SUPPLEMENTARY RESULTS</w:t>
      </w:r>
    </w:p>
    <w:p w:rsidR="00B83B4D" w:rsidRPr="00993CFC" w:rsidRDefault="00B83B4D" w:rsidP="00B83B4D">
      <w:pPr>
        <w:keepNext/>
        <w:keepLines/>
        <w:spacing w:before="40" w:after="0" w:line="480" w:lineRule="auto"/>
        <w:outlineLvl w:val="1"/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</w:pPr>
      <w:r w:rsidRPr="00993CFC"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  <w:t>Imaging features</w:t>
      </w:r>
    </w:p>
    <w:p w:rsidR="00B83B4D" w:rsidRPr="00993CFC" w:rsidRDefault="00B83B4D" w:rsidP="00B83B4D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  <w:r w:rsidRPr="00993CFC">
        <w:rPr>
          <w:rFonts w:ascii="Times New Roman" w:eastAsia="Calibri" w:hAnsi="Times New Roman" w:cs="Times New Roman"/>
          <w:sz w:val="24"/>
        </w:rPr>
        <w:t xml:space="preserve">Lattice-based texture estimation adopted for lung 3D CT scan was used for feature extraction. Three sets of features were derived: Gray-level histogram, Co-occurrence, Run-length </w:t>
      </w:r>
      <w:bookmarkStart w:id="0" w:name="_GoBack"/>
      <w:bookmarkEnd w:id="0"/>
      <w:r w:rsidRPr="00993CFC">
        <w:rPr>
          <w:rFonts w:ascii="Times New Roman" w:eastAsia="Calibri" w:hAnsi="Times New Roman" w:cs="Times New Roman"/>
          <w:sz w:val="24"/>
        </w:rPr>
        <w:t xml:space="preserve">features. </w:t>
      </w:r>
    </w:p>
    <w:p w:rsidR="00B83B4D" w:rsidRPr="00993CFC" w:rsidRDefault="00B83B4D" w:rsidP="00B83B4D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</w:rPr>
      </w:pPr>
      <w:r w:rsidRPr="00993CFC">
        <w:rPr>
          <w:rFonts w:ascii="Times New Roman" w:eastAsia="Calibri" w:hAnsi="Times New Roman" w:cs="Times New Roman"/>
          <w:b/>
          <w:sz w:val="24"/>
        </w:rPr>
        <w:t>Gray-level histogram features</w:t>
      </w:r>
      <w:r w:rsidRPr="00993CFC">
        <w:rPr>
          <w:rFonts w:ascii="Times New Roman" w:eastAsia="Calibri" w:hAnsi="Times New Roman" w:cs="Times New Roman"/>
          <w:sz w:val="24"/>
        </w:rPr>
        <w:t xml:space="preserve"> are first-order histogram statistics calculated from the gray-level intensity histogram of each image. </w:t>
      </w:r>
    </w:p>
    <w:tbl>
      <w:tblPr>
        <w:tblStyle w:val="TableGrid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8"/>
        <w:gridCol w:w="3250"/>
        <w:gridCol w:w="3198"/>
      </w:tblGrid>
      <w:tr w:rsidR="00B83B4D" w:rsidRPr="00993CFC" w:rsidTr="00415447">
        <w:tc>
          <w:tcPr>
            <w:tcW w:w="2408" w:type="dxa"/>
            <w:tcBorders>
              <w:bottom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Feature</w:t>
            </w:r>
          </w:p>
        </w:tc>
        <w:tc>
          <w:tcPr>
            <w:tcW w:w="3250" w:type="dxa"/>
            <w:tcBorders>
              <w:bottom w:val="double" w:sz="4" w:space="0" w:color="auto"/>
            </w:tcBorders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Mathematical Notation</w:t>
            </w:r>
          </w:p>
        </w:tc>
        <w:tc>
          <w:tcPr>
            <w:tcW w:w="3198" w:type="dxa"/>
            <w:tcBorders>
              <w:bottom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Qualitative description</w:t>
            </w:r>
          </w:p>
        </w:tc>
      </w:tr>
      <w:tr w:rsidR="00B83B4D" w:rsidRPr="00993CFC" w:rsidTr="00415447">
        <w:tc>
          <w:tcPr>
            <w:tcW w:w="2408" w:type="dxa"/>
            <w:tcBorders>
              <w:top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contextualSpacing/>
              <w:rPr>
                <w:rFonts w:ascii="Times New Roman" w:hAnsi="Times New Roman" w:cs="Calibri"/>
                <w:b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Mean</w:t>
            </w:r>
          </w:p>
        </w:tc>
        <w:tc>
          <w:tcPr>
            <w:tcW w:w="3250" w:type="dxa"/>
            <w:tcBorders>
              <w:top w:val="double" w:sz="4" w:space="0" w:color="auto"/>
            </w:tcBorders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</m:t>
                        </m:r>
                      </m:sub>
                      <m:sup/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k*g(k)</m:t>
                        </m:r>
                      </m:e>
                    </m:nary>
                  </m:num>
                  <m:den>
                    <m:r>
                      <w:rPr>
                        <w:rFonts w:ascii="Cambria Math" w:eastAsia="Times New Roman" w:hAnsi="Cambria Math" w:cs="Calibri"/>
                        <w:sz w:val="20"/>
                        <w:szCs w:val="20"/>
                      </w:rPr>
                      <m:t>K</m:t>
                    </m:r>
                  </m:den>
                </m:f>
              </m:oMath>
            </m:oMathPara>
          </w:p>
        </w:tc>
        <w:tc>
          <w:tcPr>
            <w:tcW w:w="3198" w:type="dxa"/>
            <w:tcBorders>
              <w:top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Mean gray-level value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Min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min(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Pr="00993CFC">
              <w:rPr>
                <w:rFonts w:ascii="Times New Roman" w:hAnsi="Times New Roman" w:cs="Calibri"/>
                <w:sz w:val="20"/>
                <w:szCs w:val="20"/>
              </w:rPr>
              <w:t>)</w:t>
            </w:r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Minimum gray-level value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Max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max(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Pr="00993CFC">
              <w:rPr>
                <w:rFonts w:ascii="Times New Roman" w:hAnsi="Times New Roman" w:cs="Calibri"/>
                <w:sz w:val="20"/>
                <w:szCs w:val="20"/>
              </w:rPr>
              <w:t>)</w:t>
            </w:r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Maximum gray-level value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5</w:t>
            </w:r>
            <w:r w:rsidRPr="00993CFC">
              <w:rPr>
                <w:rFonts w:ascii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 Percentile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sz w:val="20"/>
                <w:szCs w:val="20"/>
              </w:rPr>
            </w:pP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: 5% of values </w:t>
            </w:r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≤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jc w:val="both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The histogram bin that 5% of gray-level values are less than or equal to.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5</w:t>
            </w:r>
            <w:r w:rsidRPr="00993CFC">
              <w:rPr>
                <w:rFonts w:ascii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 Mean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sz w:val="20"/>
                <w:szCs w:val="20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="Calibri"/>
                      <w:i/>
                      <w:sz w:val="20"/>
                      <w:szCs w:val="20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  <w:sz w:val="20"/>
                          <w:szCs w:val="20"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k*g(k)</m:t>
                      </m:r>
                    </m:e>
                  </m:nary>
                </m:num>
                <m:den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  <w:sz w:val="20"/>
                          <w:szCs w:val="20"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g(k)</m:t>
                      </m:r>
                    </m:e>
                  </m:nary>
                </m:den>
              </m:f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 for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 ≤ 5</w:t>
            </w:r>
            <w:r w:rsidRPr="00993CFC">
              <w:rPr>
                <w:rFonts w:ascii="Times New Roman" w:eastAsia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 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>Percentile</w:t>
            </w:r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jc w:val="both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Mean value of the gray-level values which less than or equal to the 5</w:t>
            </w:r>
            <w:r w:rsidRPr="00993CFC">
              <w:rPr>
                <w:rFonts w:ascii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 Percentile.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95</w:t>
            </w:r>
            <w:r w:rsidRPr="00993CFC">
              <w:rPr>
                <w:rFonts w:ascii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 Percentile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sz w:val="20"/>
                <w:szCs w:val="20"/>
              </w:rPr>
            </w:pP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: 95% of values </w:t>
            </w:r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≥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The histogram bin that 95% of gray-level values are less than or equal to.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95</w:t>
            </w:r>
            <w:r w:rsidRPr="00993CFC">
              <w:rPr>
                <w:rFonts w:ascii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 Mean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sz w:val="20"/>
                <w:szCs w:val="20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="Calibri"/>
                      <w:i/>
                      <w:sz w:val="20"/>
                      <w:szCs w:val="20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  <w:sz w:val="20"/>
                          <w:szCs w:val="20"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k*g(k)</m:t>
                      </m:r>
                    </m:e>
                  </m:nary>
                </m:num>
                <m:den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Calibri"/>
                          <w:i/>
                          <w:sz w:val="20"/>
                          <w:szCs w:val="20"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k</m:t>
                      </m:r>
                    </m:sub>
                    <m:sup/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g(k)</m:t>
                      </m:r>
                    </m:e>
                  </m:nary>
                </m:den>
              </m:f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 for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Pr="00993CFC">
              <w:rPr>
                <w:rFonts w:ascii="Times New Roman" w:eastAsia="Times New Roman" w:hAnsi="Times New Roman" w:cs="Calibri"/>
                <w:i/>
                <w:sz w:val="20"/>
                <w:szCs w:val="20"/>
              </w:rPr>
              <w:t xml:space="preserve"> </w:t>
            </w:r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>≥ 95</w:t>
            </w:r>
            <w:r w:rsidRPr="00993CFC">
              <w:rPr>
                <w:rFonts w:ascii="Times New Roman" w:eastAsia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 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>Percentile</w:t>
            </w:r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jc w:val="both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Mean value of the gray-level values which larger than or equal to the 95</w:t>
            </w:r>
            <w:r w:rsidRPr="00993CFC">
              <w:rPr>
                <w:rFonts w:ascii="Times New Roman" w:hAnsi="Times New Roman" w:cs="Calibri"/>
                <w:sz w:val="20"/>
                <w:szCs w:val="20"/>
                <w:vertAlign w:val="superscript"/>
              </w:rPr>
              <w:t>th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 Percentile.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Sum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k*g(k)</m:t>
                    </m:r>
                  </m:e>
                </m:nary>
              </m:oMath>
            </m:oMathPara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Sum of gray-level values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Sigma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</m:t>
                        </m:r>
                      </m:sub>
                      <m:sup/>
                      <m:e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k-Mean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*g(k)</m:t>
                        </m:r>
                      </m:e>
                    </m:nary>
                  </m:e>
                </m:rad>
              </m:oMath>
            </m:oMathPara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Variation of gray-level values around the Mean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Entropy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k</m:t>
                        </m:r>
                      </m:e>
                    </m:d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0"/>
                        <w:szCs w:val="20"/>
                      </w:rPr>
                      <m:t>log⁡</m:t>
                    </m:r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(g(k))</m:t>
                    </m:r>
                  </m:e>
                </m:nary>
              </m:oMath>
            </m:oMathPara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Measure of histogram uniformity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Kurtosis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Sigm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-4</m:t>
                    </m:r>
                  </m:sup>
                </m:sSup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k-Mean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*g(k)</m:t>
                    </m:r>
                  </m:e>
                </m:nary>
                <m:r>
                  <w:rPr>
                    <w:rFonts w:ascii="Cambria Math" w:hAnsi="Cambria Math" w:cs="Calibri"/>
                    <w:sz w:val="20"/>
                    <w:szCs w:val="20"/>
                  </w:rPr>
                  <m:t>-3</m:t>
                </m:r>
              </m:oMath>
            </m:oMathPara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Measure of histogram flatness</w:t>
            </w:r>
          </w:p>
        </w:tc>
      </w:tr>
      <w:tr w:rsidR="00B83B4D" w:rsidRPr="00993CFC" w:rsidTr="00415447">
        <w:tc>
          <w:tcPr>
            <w:tcW w:w="240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Skewness</w:t>
            </w:r>
          </w:p>
        </w:tc>
        <w:tc>
          <w:tcPr>
            <w:tcW w:w="325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Sigm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-3</m:t>
                    </m:r>
                  </m:sup>
                </m:sSup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k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k-Mean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*g(k)</m:t>
                    </m:r>
                  </m:e>
                </m:nary>
              </m:oMath>
            </m:oMathPara>
          </w:p>
        </w:tc>
        <w:tc>
          <w:tcPr>
            <w:tcW w:w="319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Measure of histogram symmetry</w:t>
            </w:r>
          </w:p>
        </w:tc>
      </w:tr>
      <w:tr w:rsidR="00B83B4D" w:rsidRPr="00993CFC" w:rsidTr="00415447">
        <w:tc>
          <w:tcPr>
            <w:tcW w:w="8856" w:type="dxa"/>
            <w:gridSpan w:val="3"/>
            <w:tcBorders>
              <w:top w:val="sing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eastAsia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where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</m:t>
              </m:r>
            </m:oMath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 is the histogram bin, </w:t>
            </w: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 xml:space="preserve">g </w:t>
            </w: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is the frequency of the histogram bin and </w:t>
            </w:r>
            <m:oMath>
              <m:r>
                <w:rPr>
                  <w:rFonts w:ascii="Cambria Math" w:hAnsi="Cambria Math" w:cs="Calibri"/>
                  <w:sz w:val="20"/>
                  <w:szCs w:val="20"/>
                </w:rPr>
                <m:t>K=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k</m:t>
                  </m:r>
                </m:sub>
                <m:sup/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g(k)</m:t>
                  </m:r>
                </m:e>
              </m:nary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>.</w:t>
            </w:r>
          </w:p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</w:p>
        </w:tc>
      </w:tr>
    </w:tbl>
    <w:p w:rsidR="00B83B4D" w:rsidRPr="00993CFC" w:rsidRDefault="00B83B4D" w:rsidP="00B83B4D">
      <w:pPr>
        <w:spacing w:after="0" w:line="480" w:lineRule="auto"/>
        <w:rPr>
          <w:rFonts w:ascii="Times New Roman" w:eastAsia="Calibri" w:hAnsi="Times New Roman" w:cs="Calibri"/>
          <w:sz w:val="24"/>
        </w:rPr>
      </w:pPr>
      <w:r w:rsidRPr="00993CFC">
        <w:rPr>
          <w:rFonts w:ascii="Times New Roman" w:eastAsia="Calibri" w:hAnsi="Times New Roman" w:cs="Times New Roman"/>
          <w:b/>
          <w:sz w:val="24"/>
        </w:rPr>
        <w:t>Co-occurrence features</w:t>
      </w:r>
      <w:r w:rsidRPr="00993CFC">
        <w:rPr>
          <w:rFonts w:ascii="Times New Roman" w:eastAsia="Calibri" w:hAnsi="Times New Roman" w:cs="Times New Roman"/>
          <w:sz w:val="24"/>
        </w:rPr>
        <w:t xml:space="preserve"> capture the spatial relationship between pixels and are based on the gray-level co-occurrence matrix (GLCM). In a GLCM, each element, </w:t>
      </w:r>
      <m:oMath>
        <m:r>
          <w:rPr>
            <w:rFonts w:ascii="Cambria Math" w:eastAsia="Calibri" w:hAnsi="Cambria Math" w:cs="Times New Roman"/>
            <w:sz w:val="24"/>
          </w:rPr>
          <m:t>f(i,j)</m:t>
        </m:r>
      </m:oMath>
      <w:r w:rsidRPr="00993CFC">
        <w:rPr>
          <w:rFonts w:ascii="Times New Roman" w:eastAsia="Calibri" w:hAnsi="Times New Roman" w:cs="Times New Roman"/>
          <w:sz w:val="24"/>
        </w:rPr>
        <w:t>, corresponds to the frequency with which two neighboring pixels, one with gray level</w:t>
      </w:r>
      <w:r w:rsidRPr="00993CFC">
        <w:rPr>
          <w:rFonts w:ascii="Times New Roman" w:eastAsia="Calibri" w:hAnsi="Times New Roman" w:cs="Times New Roman"/>
          <w:i/>
          <w:sz w:val="24"/>
        </w:rPr>
        <w:t xml:space="preserve"> </w:t>
      </w:r>
      <m:oMath>
        <m:r>
          <w:rPr>
            <w:rFonts w:ascii="Cambria Math" w:eastAsia="Calibri" w:hAnsi="Cambria Math" w:cs="Times New Roman"/>
            <w:sz w:val="24"/>
          </w:rPr>
          <m:t>i</m:t>
        </m:r>
      </m:oMath>
      <w:r w:rsidRPr="00993CFC">
        <w:rPr>
          <w:rFonts w:ascii="Times New Roman" w:eastAsia="Calibri" w:hAnsi="Times New Roman" w:cs="Times New Roman"/>
          <w:sz w:val="24"/>
        </w:rPr>
        <w:t xml:space="preserve"> and the other with  </w:t>
      </w:r>
      <m:oMath>
        <m:r>
          <w:rPr>
            <w:rFonts w:ascii="Cambria Math" w:eastAsia="Calibri" w:hAnsi="Cambria Math" w:cs="Times New Roman"/>
            <w:sz w:val="24"/>
          </w:rPr>
          <m:t>j</m:t>
        </m:r>
      </m:oMath>
      <w:r w:rsidRPr="00993CFC">
        <w:rPr>
          <w:rFonts w:ascii="Times New Roman" w:eastAsia="Calibri" w:hAnsi="Times New Roman" w:cs="Times New Roman"/>
          <w:sz w:val="24"/>
        </w:rPr>
        <w:t xml:space="preserve">, </w:t>
      </w:r>
      <w:r w:rsidRPr="00993CFC">
        <w:rPr>
          <w:rFonts w:ascii="Times New Roman" w:eastAsia="Calibri" w:hAnsi="Times New Roman" w:cs="Times New Roman"/>
          <w:sz w:val="24"/>
        </w:rPr>
        <w:lastRenderedPageBreak/>
        <w:t>occur within a specified distance (</w:t>
      </w:r>
      <m:oMath>
        <m:r>
          <w:rPr>
            <w:rFonts w:ascii="Cambria Math" w:eastAsia="Calibri" w:hAnsi="Cambria Math" w:cs="Times New Roman"/>
            <w:sz w:val="24"/>
          </w:rPr>
          <m:t>d</m:t>
        </m:r>
      </m:oMath>
      <w:r w:rsidRPr="00993CFC">
        <w:rPr>
          <w:rFonts w:ascii="Times New Roman" w:eastAsia="Calibri" w:hAnsi="Times New Roman" w:cs="Times New Roman"/>
          <w:sz w:val="24"/>
        </w:rPr>
        <w:t xml:space="preserve">). In our study, the GLCM matrices were estimated using  different </w:t>
      </w:r>
      <m:oMath>
        <m:r>
          <w:rPr>
            <w:rFonts w:ascii="Cambria Math" w:eastAsia="Calibri" w:hAnsi="Cambria Math" w:cs="Times New Roman"/>
            <w:sz w:val="24"/>
          </w:rPr>
          <m:t>window sizes=4, 6, 8, 10, 12, 14, 16, 18, 20</m:t>
        </m:r>
      </m:oMath>
      <w:r w:rsidRPr="00993CFC">
        <w:rPr>
          <w:rFonts w:ascii="Times New Roman" w:eastAsia="Times New Roman" w:hAnsi="Times New Roman" w:cs="Times New Roman"/>
          <w:sz w:val="24"/>
        </w:rPr>
        <w:t xml:space="preserve"> pixels</w:t>
      </w:r>
      <w:r w:rsidRPr="00993CFC">
        <w:rPr>
          <w:rFonts w:ascii="Times New Roman" w:eastAsia="Calibri" w:hAnsi="Times New Roman" w:cs="Times New Roman"/>
          <w:sz w:val="24"/>
        </w:rPr>
        <w:t xml:space="preserve">. </w:t>
      </w:r>
    </w:p>
    <w:p w:rsidR="00B83B4D" w:rsidRPr="00993CFC" w:rsidRDefault="00B83B4D" w:rsidP="00B83B4D">
      <w:pPr>
        <w:spacing w:after="120" w:line="240" w:lineRule="auto"/>
        <w:ind w:firstLine="418"/>
        <w:jc w:val="both"/>
        <w:rPr>
          <w:rFonts w:ascii="Times New Roman" w:eastAsia="Calibri" w:hAnsi="Times New Roman" w:cs="Calibri"/>
          <w:sz w:val="24"/>
        </w:rPr>
      </w:pPr>
    </w:p>
    <w:tbl>
      <w:tblPr>
        <w:tblStyle w:val="TableGrid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4"/>
        <w:gridCol w:w="3017"/>
        <w:gridCol w:w="3566"/>
      </w:tblGrid>
      <w:tr w:rsidR="00B83B4D" w:rsidRPr="00993CFC" w:rsidTr="00415447">
        <w:tc>
          <w:tcPr>
            <w:tcW w:w="2628" w:type="dxa"/>
            <w:tcBorders>
              <w:bottom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Feature</w:t>
            </w:r>
          </w:p>
        </w:tc>
        <w:tc>
          <w:tcPr>
            <w:tcW w:w="3060" w:type="dxa"/>
            <w:tcBorders>
              <w:bottom w:val="double" w:sz="4" w:space="0" w:color="auto"/>
            </w:tcBorders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Mathematical Notation</w:t>
            </w:r>
          </w:p>
        </w:tc>
        <w:tc>
          <w:tcPr>
            <w:tcW w:w="3888" w:type="dxa"/>
            <w:tcBorders>
              <w:bottom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Qualitative description</w:t>
            </w:r>
          </w:p>
        </w:tc>
      </w:tr>
      <w:tr w:rsidR="00B83B4D" w:rsidRPr="00993CFC" w:rsidTr="00415447">
        <w:tc>
          <w:tcPr>
            <w:tcW w:w="2628" w:type="dxa"/>
            <w:tcBorders>
              <w:top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Cluster Shade</w:t>
            </w:r>
          </w:p>
        </w:tc>
        <w:tc>
          <w:tcPr>
            <w:tcW w:w="3060" w:type="dxa"/>
            <w:tcBorders>
              <w:top w:val="double" w:sz="4" w:space="0" w:color="auto"/>
            </w:tcBorders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+j-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*f(i,j)</m:t>
                    </m:r>
                  </m:e>
                </m:nary>
              </m:oMath>
            </m:oMathPara>
          </w:p>
        </w:tc>
        <w:tc>
          <w:tcPr>
            <w:tcW w:w="3888" w:type="dxa"/>
            <w:tcBorders>
              <w:top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Asymmetry in gray-level values</w:t>
            </w:r>
          </w:p>
        </w:tc>
      </w:tr>
      <w:tr w:rsidR="00B83B4D" w:rsidRPr="00993CFC" w:rsidTr="00415447">
        <w:tc>
          <w:tcPr>
            <w:tcW w:w="262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Correlation</w:t>
            </w:r>
          </w:p>
        </w:tc>
        <w:tc>
          <w:tcPr>
            <w:tcW w:w="3060" w:type="dxa"/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*f(i,j)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*σ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sub>
                        </m:sSub>
                      </m:den>
                    </m:f>
                  </m:e>
                </m:nary>
              </m:oMath>
            </m:oMathPara>
          </w:p>
        </w:tc>
        <w:tc>
          <w:tcPr>
            <w:tcW w:w="3888" w:type="dxa"/>
            <w:vMerge w:val="restart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Linear gray-level dependence</w:t>
            </w:r>
          </w:p>
        </w:tc>
      </w:tr>
      <w:tr w:rsidR="00B83B4D" w:rsidRPr="00993CFC" w:rsidTr="00415447">
        <w:tc>
          <w:tcPr>
            <w:tcW w:w="262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Haralick Correlation</w:t>
            </w:r>
          </w:p>
        </w:tc>
        <w:tc>
          <w:tcPr>
            <w:tcW w:w="306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ij*f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µ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*σ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sub>
                        </m:sSub>
                      </m:den>
                    </m:f>
                  </m:e>
                </m:nary>
              </m:oMath>
            </m:oMathPara>
          </w:p>
        </w:tc>
        <w:tc>
          <w:tcPr>
            <w:tcW w:w="3888" w:type="dxa"/>
            <w:vMerge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</w:p>
        </w:tc>
      </w:tr>
      <w:tr w:rsidR="00B83B4D" w:rsidRPr="00993CFC" w:rsidTr="00415447">
        <w:tc>
          <w:tcPr>
            <w:tcW w:w="262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Energy</w:t>
            </w:r>
          </w:p>
        </w:tc>
        <w:tc>
          <w:tcPr>
            <w:tcW w:w="306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f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388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Certainty of gray-level co-occurrence</w:t>
            </w:r>
          </w:p>
        </w:tc>
      </w:tr>
      <w:tr w:rsidR="00B83B4D" w:rsidRPr="00993CFC" w:rsidTr="00415447">
        <w:tc>
          <w:tcPr>
            <w:tcW w:w="262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Entropy</w:t>
            </w:r>
          </w:p>
        </w:tc>
        <w:tc>
          <w:tcPr>
            <w:tcW w:w="306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alibri"/>
                    <w:sz w:val="20"/>
                    <w:szCs w:val="20"/>
                  </w:rPr>
                  <m:t>-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i,j</m:t>
                        </m:r>
                      </m:e>
                    </m:d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0"/>
                        <w:szCs w:val="20"/>
                      </w:rPr>
                      <m:t>log⁡</m:t>
                    </m:r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(f</m:t>
                    </m:r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i,j</m:t>
                        </m:r>
                      </m:e>
                    </m:d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)</m:t>
                    </m:r>
                  </m:e>
                </m:nary>
              </m:oMath>
            </m:oMathPara>
          </w:p>
        </w:tc>
        <w:tc>
          <w:tcPr>
            <w:tcW w:w="388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Uncertainty of gray-level co-occurrence</w:t>
            </w:r>
          </w:p>
        </w:tc>
      </w:tr>
      <w:tr w:rsidR="00B83B4D" w:rsidRPr="00993CFC" w:rsidTr="00415447">
        <w:tc>
          <w:tcPr>
            <w:tcW w:w="262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Inertia</w:t>
            </w:r>
          </w:p>
        </w:tc>
        <w:tc>
          <w:tcPr>
            <w:tcW w:w="3060" w:type="dxa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i-j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*f(i,j)</m:t>
                    </m:r>
                  </m:e>
                </m:nary>
              </m:oMath>
            </m:oMathPara>
          </w:p>
        </w:tc>
        <w:tc>
          <w:tcPr>
            <w:tcW w:w="388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Local variation of gray-level intensity</w:t>
            </w:r>
          </w:p>
        </w:tc>
      </w:tr>
      <w:tr w:rsidR="00B83B4D" w:rsidRPr="00993CFC" w:rsidTr="00415447">
        <w:tc>
          <w:tcPr>
            <w:tcW w:w="2628" w:type="dxa"/>
            <w:tcBorders>
              <w:bottom w:val="sing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Inverse Difference Moment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ij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f(i,j)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1+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i-j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nary>
              </m:oMath>
            </m:oMathPara>
          </w:p>
        </w:tc>
        <w:tc>
          <w:tcPr>
            <w:tcW w:w="3888" w:type="dxa"/>
            <w:tcBorders>
              <w:bottom w:val="sing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Local homogeneity in gray-level values</w:t>
            </w:r>
          </w:p>
        </w:tc>
      </w:tr>
      <w:tr w:rsidR="00B83B4D" w:rsidRPr="00993CFC" w:rsidTr="00415447">
        <w:tc>
          <w:tcPr>
            <w:tcW w:w="9576" w:type="dxa"/>
            <w:gridSpan w:val="3"/>
            <w:tcBorders>
              <w:top w:val="sing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where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μ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</m:sSub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  <m:sup/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i*f(i,j)</m:t>
                  </m:r>
                </m:e>
              </m:nary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μ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</m:sSub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  <m:sup/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j*f(i,j)</m:t>
                  </m:r>
                </m:e>
              </m:nary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2</m:t>
                  </m:r>
                </m:sup>
              </m:sSubSup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  <m:sup/>
                <m:e>
                  <m:sSup>
                    <m:sSupPr>
                      <m:ctrlPr>
                        <w:rPr>
                          <w:rFonts w:ascii="Cambria Math" w:hAnsi="Cambria Math" w:cs="Calibri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Calibr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Calibri"/>
                              <w:sz w:val="20"/>
                              <w:szCs w:val="20"/>
                            </w:rPr>
                            <m:t>i-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μ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*f(i,j)</m:t>
                  </m:r>
                </m:e>
              </m:nary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, and </w:t>
            </w:r>
            <m:oMath>
              <m:sSubSup>
                <m:sSubSupPr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2</m:t>
                  </m:r>
                </m:sup>
              </m:sSubSup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</m:t>
                  </m:r>
                </m:sub>
                <m:sup/>
                <m:e>
                  <m:sSup>
                    <m:sSupPr>
                      <m:ctrlPr>
                        <w:rPr>
                          <w:rFonts w:ascii="Cambria Math" w:hAnsi="Cambria Math" w:cs="Calibri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Calibr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Calibri"/>
                              <w:sz w:val="20"/>
                              <w:szCs w:val="20"/>
                            </w:rPr>
                            <m:t>j-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μ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0"/>
                                  <w:szCs w:val="20"/>
                                </w:rPr>
                                <m:t>j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*f(i,j)</m:t>
                  </m:r>
                </m:e>
              </m:nary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>.</w:t>
            </w:r>
          </w:p>
        </w:tc>
      </w:tr>
    </w:tbl>
    <w:p w:rsidR="00B83B4D" w:rsidRPr="00993CFC" w:rsidRDefault="00B83B4D" w:rsidP="00B83B4D">
      <w:pPr>
        <w:spacing w:after="120" w:line="240" w:lineRule="auto"/>
        <w:jc w:val="both"/>
        <w:rPr>
          <w:rFonts w:ascii="Times New Roman" w:eastAsia="Calibri" w:hAnsi="Times New Roman" w:cs="Calibri"/>
          <w:b/>
          <w:sz w:val="24"/>
        </w:rPr>
      </w:pPr>
    </w:p>
    <w:p w:rsidR="00B83B4D" w:rsidRPr="00993CFC" w:rsidRDefault="00B83B4D" w:rsidP="00B83B4D">
      <w:pPr>
        <w:spacing w:after="0" w:line="480" w:lineRule="auto"/>
        <w:rPr>
          <w:rFonts w:ascii="Times New Roman" w:eastAsia="Calibri" w:hAnsi="Times New Roman" w:cs="Times New Roman"/>
          <w:sz w:val="24"/>
        </w:rPr>
      </w:pPr>
      <w:r w:rsidRPr="00993CFC">
        <w:rPr>
          <w:rFonts w:ascii="Times New Roman" w:eastAsia="Calibri" w:hAnsi="Times New Roman" w:cs="Times New Roman"/>
          <w:b/>
          <w:sz w:val="24"/>
        </w:rPr>
        <w:t>Run-length features</w:t>
      </w:r>
      <w:r w:rsidRPr="00993CFC">
        <w:rPr>
          <w:rFonts w:ascii="Times New Roman" w:eastAsia="Calibri" w:hAnsi="Times New Roman" w:cs="Times New Roman"/>
          <w:sz w:val="24"/>
        </w:rPr>
        <w:t xml:space="preserve"> capture the coarseness of a texture in specified directions, where a run is defined as a string of consecutive pixels with similar gray-level intensity along specific linear orientation. Similar to GLCMs, a run-length matrix </w:t>
      </w:r>
      <m:oMath>
        <m:r>
          <w:rPr>
            <w:rFonts w:ascii="Cambria Math" w:eastAsia="Calibri" w:hAnsi="Cambria Math" w:cs="Times New Roman"/>
            <w:sz w:val="24"/>
          </w:rPr>
          <m:t>R</m:t>
        </m:r>
      </m:oMath>
      <w:r w:rsidRPr="00993CFC" w:rsidDel="00175E82">
        <w:rPr>
          <w:rFonts w:ascii="Times New Roman" w:eastAsia="Calibri" w:hAnsi="Times New Roman" w:cs="Times New Roman"/>
          <w:i/>
          <w:sz w:val="24"/>
        </w:rPr>
        <w:t xml:space="preserve"> </w:t>
      </w:r>
      <w:r w:rsidRPr="00993CFC">
        <w:rPr>
          <w:rFonts w:ascii="Times New Roman" w:eastAsia="Calibri" w:hAnsi="Times New Roman" w:cs="Times New Roman"/>
          <w:sz w:val="24"/>
        </w:rPr>
        <w:t xml:space="preserve">is defined, with each element, </w:t>
      </w:r>
      <m:oMath>
        <m:r>
          <w:rPr>
            <w:rFonts w:ascii="Cambria Math" w:eastAsia="Calibri" w:hAnsi="Cambria Math" w:cs="Times New Roman"/>
            <w:sz w:val="24"/>
          </w:rPr>
          <m:t>R</m:t>
        </m:r>
        <m:d>
          <m:dPr>
            <m:ctrlPr>
              <w:rPr>
                <w:rFonts w:ascii="Cambria Math" w:eastAsia="Calibri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Calibri" w:hAnsi="Cambria Math" w:cs="Times New Roman"/>
                <w:sz w:val="24"/>
              </w:rPr>
              <m:t>i,j</m:t>
            </m:r>
          </m:e>
        </m:d>
      </m:oMath>
      <w:r w:rsidRPr="00993CFC">
        <w:rPr>
          <w:rFonts w:ascii="Times New Roman" w:eastAsia="Calibri" w:hAnsi="Times New Roman" w:cs="Times New Roman"/>
          <w:i/>
          <w:sz w:val="24"/>
        </w:rPr>
        <w:t>,</w:t>
      </w:r>
      <w:r w:rsidRPr="00993CFC">
        <w:rPr>
          <w:rFonts w:ascii="Times New Roman" w:eastAsia="Calibri" w:hAnsi="Times New Roman" w:cs="Times New Roman"/>
          <w:sz w:val="24"/>
        </w:rPr>
        <w:t xml:space="preserve"> representing the number of runs with pixels of gray-level intensity equal to </w:t>
      </w:r>
      <m:oMath>
        <m:r>
          <w:rPr>
            <w:rFonts w:ascii="Cambria Math" w:eastAsia="Calibri" w:hAnsi="Cambria Math" w:cs="Times New Roman"/>
            <w:sz w:val="24"/>
          </w:rPr>
          <m:t>i</m:t>
        </m:r>
      </m:oMath>
      <w:r w:rsidRPr="00993CFC" w:rsidDel="002E61A4">
        <w:rPr>
          <w:rFonts w:ascii="Times New Roman" w:eastAsia="Calibri" w:hAnsi="Times New Roman" w:cs="Times New Roman"/>
          <w:i/>
          <w:sz w:val="24"/>
        </w:rPr>
        <w:t xml:space="preserve"> </w:t>
      </w:r>
      <w:r w:rsidRPr="00993CFC">
        <w:rPr>
          <w:rFonts w:ascii="Times New Roman" w:eastAsia="Calibri" w:hAnsi="Times New Roman" w:cs="Times New Roman"/>
          <w:sz w:val="24"/>
        </w:rPr>
        <w:t>and length of run equal to</w:t>
      </w:r>
      <w:r w:rsidRPr="00993CFC">
        <w:rPr>
          <w:rFonts w:ascii="Times New Roman" w:eastAsia="Calibri" w:hAnsi="Times New Roman" w:cs="Times New Roman"/>
          <w:i/>
          <w:sz w:val="24"/>
        </w:rPr>
        <w:t xml:space="preserve"> </w:t>
      </w:r>
      <m:oMath>
        <m:r>
          <w:rPr>
            <w:rFonts w:ascii="Cambria Math" w:eastAsia="Calibri" w:hAnsi="Cambria Math" w:cs="Times New Roman"/>
            <w:sz w:val="24"/>
          </w:rPr>
          <m:t>j</m:t>
        </m:r>
      </m:oMath>
      <w:r w:rsidRPr="00993CFC" w:rsidDel="002E61A4">
        <w:rPr>
          <w:rFonts w:ascii="Times New Roman" w:eastAsia="Calibri" w:hAnsi="Times New Roman" w:cs="Times New Roman"/>
          <w:i/>
          <w:sz w:val="24"/>
        </w:rPr>
        <w:t xml:space="preserve"> </w:t>
      </w:r>
      <w:r w:rsidRPr="00993CFC">
        <w:rPr>
          <w:rFonts w:ascii="Times New Roman" w:eastAsia="Calibri" w:hAnsi="Times New Roman" w:cs="Times New Roman"/>
          <w:sz w:val="24"/>
        </w:rPr>
        <w:t xml:space="preserve">along the specific orientation. The size of the matrix </w:t>
      </w:r>
      <m:oMath>
        <m:r>
          <w:rPr>
            <w:rFonts w:ascii="Cambria Math" w:eastAsia="Calibri" w:hAnsi="Cambria Math" w:cs="Times New Roman"/>
            <w:sz w:val="24"/>
          </w:rPr>
          <m:t>R</m:t>
        </m:r>
      </m:oMath>
      <w:r w:rsidRPr="00993CFC" w:rsidDel="00DE6EEA">
        <w:rPr>
          <w:rFonts w:ascii="Times New Roman" w:eastAsia="Calibri" w:hAnsi="Times New Roman" w:cs="Times New Roman"/>
          <w:i/>
          <w:sz w:val="24"/>
        </w:rPr>
        <w:t xml:space="preserve"> </w:t>
      </w:r>
      <w:r w:rsidRPr="00993CFC">
        <w:rPr>
          <w:rFonts w:ascii="Times New Roman" w:eastAsia="Calibri" w:hAnsi="Times New Roman" w:cs="Times New Roman"/>
          <w:sz w:val="24"/>
        </w:rPr>
        <w:t xml:space="preserve">is </w:t>
      </w:r>
      <m:oMath>
        <m:r>
          <w:rPr>
            <w:rFonts w:ascii="Cambria Math" w:eastAsia="Calibri" w:hAnsi="Cambria Math" w:cs="Times New Roman"/>
            <w:sz w:val="24"/>
          </w:rPr>
          <m:t>M×N</m:t>
        </m:r>
      </m:oMath>
      <w:r w:rsidRPr="00993CFC">
        <w:rPr>
          <w:rFonts w:ascii="Times New Roman" w:eastAsia="Calibri" w:hAnsi="Times New Roman" w:cs="Times New Roman"/>
          <w:sz w:val="24"/>
        </w:rPr>
        <w:t xml:space="preserve">, where </w:t>
      </w:r>
      <m:oMath>
        <m:r>
          <w:rPr>
            <w:rFonts w:ascii="Cambria Math" w:eastAsia="Calibri" w:hAnsi="Cambria Math" w:cs="Times New Roman"/>
            <w:sz w:val="24"/>
          </w:rPr>
          <m:t>N</m:t>
        </m:r>
      </m:oMath>
      <w:r w:rsidRPr="00993CFC">
        <w:rPr>
          <w:rFonts w:ascii="Times New Roman" w:eastAsia="Calibri" w:hAnsi="Times New Roman" w:cs="Times New Roman"/>
          <w:sz w:val="24"/>
        </w:rPr>
        <w:t xml:space="preserve"> is equal to the maximum run length. The following run-length statistics were estimated using  different </w:t>
      </w:r>
      <m:oMath>
        <m:r>
          <w:rPr>
            <w:rFonts w:ascii="Cambria Math" w:eastAsia="Calibri" w:hAnsi="Cambria Math" w:cs="Times New Roman"/>
            <w:sz w:val="24"/>
          </w:rPr>
          <m:t>window sizes=4, 6, 8, 10, 12, 14, 16, 18, 20</m:t>
        </m:r>
      </m:oMath>
      <w:r w:rsidRPr="00993CFC">
        <w:rPr>
          <w:rFonts w:ascii="Times New Roman" w:eastAsia="Times New Roman" w:hAnsi="Times New Roman" w:cs="Times New Roman"/>
          <w:sz w:val="24"/>
        </w:rPr>
        <w:t xml:space="preserve"> pixels</w:t>
      </w:r>
      <w:r w:rsidRPr="00993CFC">
        <w:rPr>
          <w:rFonts w:ascii="Times New Roman" w:eastAsia="Calibri" w:hAnsi="Times New Roman" w:cs="Times New Roman"/>
          <w:sz w:val="24"/>
        </w:rPr>
        <w:t>.</w:t>
      </w:r>
    </w:p>
    <w:p w:rsidR="00B83B4D" w:rsidRPr="00993CFC" w:rsidRDefault="00B83B4D" w:rsidP="00B83B4D">
      <w:pPr>
        <w:spacing w:after="0" w:line="480" w:lineRule="auto"/>
        <w:rPr>
          <w:rFonts w:ascii="Times New Roman" w:eastAsia="Calibri" w:hAnsi="Times New Roman" w:cs="Times New Roman"/>
          <w:sz w:val="24"/>
        </w:rPr>
      </w:pPr>
    </w:p>
    <w:p w:rsidR="00B83B4D" w:rsidRPr="00993CFC" w:rsidRDefault="00B83B4D" w:rsidP="00B83B4D">
      <w:pPr>
        <w:spacing w:after="0" w:line="480" w:lineRule="auto"/>
        <w:rPr>
          <w:rFonts w:ascii="Times New Roman" w:eastAsia="Calibri" w:hAnsi="Times New Roman" w:cs="Times New Roman"/>
          <w:sz w:val="24"/>
        </w:rPr>
      </w:pPr>
    </w:p>
    <w:p w:rsidR="00B83B4D" w:rsidRPr="00993CFC" w:rsidRDefault="00B83B4D" w:rsidP="00B83B4D">
      <w:pPr>
        <w:spacing w:after="0" w:line="480" w:lineRule="auto"/>
        <w:rPr>
          <w:rFonts w:ascii="Times New Roman" w:eastAsia="Calibri" w:hAnsi="Times New Roman" w:cs="Times New Roman"/>
          <w:sz w:val="24"/>
        </w:rPr>
      </w:pPr>
    </w:p>
    <w:p w:rsidR="00B83B4D" w:rsidRPr="00993CFC" w:rsidRDefault="00B83B4D" w:rsidP="00B83B4D">
      <w:pPr>
        <w:spacing w:after="120" w:line="240" w:lineRule="auto"/>
        <w:jc w:val="both"/>
        <w:rPr>
          <w:rFonts w:ascii="Times New Roman" w:eastAsia="Calibri" w:hAnsi="Times New Roman" w:cs="Calibri"/>
          <w:sz w:val="24"/>
        </w:rPr>
      </w:pPr>
    </w:p>
    <w:tbl>
      <w:tblPr>
        <w:tblStyle w:val="TableGrid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8"/>
        <w:gridCol w:w="2539"/>
        <w:gridCol w:w="3940"/>
      </w:tblGrid>
      <w:tr w:rsidR="00B83B4D" w:rsidRPr="00993CFC" w:rsidTr="00415447">
        <w:tc>
          <w:tcPr>
            <w:tcW w:w="2718" w:type="dxa"/>
            <w:tcBorders>
              <w:bottom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lastRenderedPageBreak/>
              <w:t>Feature</w:t>
            </w:r>
          </w:p>
        </w:tc>
        <w:tc>
          <w:tcPr>
            <w:tcW w:w="2610" w:type="dxa"/>
            <w:tcBorders>
              <w:bottom w:val="double" w:sz="4" w:space="0" w:color="auto"/>
            </w:tcBorders>
          </w:tcPr>
          <w:p w:rsidR="00B83B4D" w:rsidRPr="00993CFC" w:rsidRDefault="00B83B4D" w:rsidP="00415447">
            <w:pPr>
              <w:spacing w:after="120"/>
              <w:jc w:val="center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Mathematical Notation</w:t>
            </w:r>
          </w:p>
        </w:tc>
        <w:tc>
          <w:tcPr>
            <w:tcW w:w="4248" w:type="dxa"/>
            <w:tcBorders>
              <w:bottom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i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i/>
                <w:sz w:val="20"/>
                <w:szCs w:val="20"/>
              </w:rPr>
              <w:t>Qualitative description</w:t>
            </w:r>
          </w:p>
        </w:tc>
      </w:tr>
      <w:tr w:rsidR="00B83B4D" w:rsidRPr="00993CFC" w:rsidTr="00415447">
        <w:tc>
          <w:tcPr>
            <w:tcW w:w="2718" w:type="dxa"/>
            <w:tcBorders>
              <w:top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Gray Level Non-uniformity</w:t>
            </w:r>
          </w:p>
        </w:tc>
        <w:tc>
          <w:tcPr>
            <w:tcW w:w="2610" w:type="dxa"/>
            <w:tcBorders>
              <w:top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sSup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N</m:t>
                                </m:r>
                              </m:sup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Calibri"/>
                                        <w:sz w:val="20"/>
                                        <w:szCs w:val="20"/>
                                      </w:rPr>
                                      <m:t>i,j</m:t>
                                    </m:r>
                                  </m:e>
                                </m:d>
                              </m:e>
                            </m:nary>
                          </m:e>
                        </m:d>
                      </m:e>
                    </m:nary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248" w:type="dxa"/>
            <w:tcBorders>
              <w:top w:val="doub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Dissimilarity in runs across gray-level values </w:t>
            </w:r>
          </w:p>
        </w:tc>
      </w:tr>
      <w:tr w:rsidR="00B83B4D" w:rsidRPr="00993CFC" w:rsidTr="00415447">
        <w:tc>
          <w:tcPr>
            <w:tcW w:w="271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High Gray Level Run Emphasis</w:t>
            </w:r>
          </w:p>
        </w:tc>
        <w:tc>
          <w:tcPr>
            <w:tcW w:w="2610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Runs of high-gray-level values</w:t>
            </w:r>
          </w:p>
        </w:tc>
      </w:tr>
      <w:tr w:rsidR="00B83B4D" w:rsidRPr="00993CFC" w:rsidTr="00415447">
        <w:tc>
          <w:tcPr>
            <w:tcW w:w="271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Long Run Emphasis</w:t>
            </w:r>
          </w:p>
        </w:tc>
        <w:tc>
          <w:tcPr>
            <w:tcW w:w="2610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i,j</m:t>
                            </m:r>
                          </m:e>
                        </m:d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*</m:t>
                        </m:r>
                        <m:sSup>
                          <m:sSup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j</m:t>
                            </m:r>
                          </m:e>
                          <m:sup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Emphasis on the long runs </w:t>
            </w:r>
          </w:p>
        </w:tc>
      </w:tr>
      <w:tr w:rsidR="00B83B4D" w:rsidRPr="00993CFC" w:rsidTr="00415447">
        <w:tc>
          <w:tcPr>
            <w:tcW w:w="271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Low Gray Level Run Emphasis</w:t>
            </w:r>
          </w:p>
        </w:tc>
        <w:tc>
          <w:tcPr>
            <w:tcW w:w="2610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R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i,j</m:t>
                                </m:r>
                              </m:e>
                            </m:d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Runs of low-gray-level values</w:t>
            </w:r>
          </w:p>
        </w:tc>
      </w:tr>
      <w:tr w:rsidR="00B83B4D" w:rsidRPr="00993CFC" w:rsidTr="00415447">
        <w:tc>
          <w:tcPr>
            <w:tcW w:w="271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Run Length Non-uniformity</w:t>
            </w:r>
          </w:p>
        </w:tc>
        <w:tc>
          <w:tcPr>
            <w:tcW w:w="2610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sSup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M</m:t>
                                </m:r>
                              </m:sup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R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Calibri"/>
                                        <w:sz w:val="20"/>
                                        <w:szCs w:val="20"/>
                                      </w:rPr>
                                      <m:t>i,j</m:t>
                                    </m:r>
                                  </m:e>
                                </m:d>
                              </m:e>
                            </m:nary>
                          </m:e>
                        </m:d>
                      </m:e>
                    </m:nary>
                  </m:e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24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Dissimilarity in runs across lengths</w:t>
            </w:r>
          </w:p>
        </w:tc>
      </w:tr>
      <w:tr w:rsidR="00B83B4D" w:rsidRPr="00993CFC" w:rsidTr="00415447">
        <w:tc>
          <w:tcPr>
            <w:tcW w:w="271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Run Percentage</w:t>
            </w:r>
          </w:p>
        </w:tc>
        <w:tc>
          <w:tcPr>
            <w:tcW w:w="2610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#pixels</m:t>
                    </m:r>
                  </m:den>
                </m:f>
              </m:oMath>
            </m:oMathPara>
          </w:p>
        </w:tc>
        <w:tc>
          <w:tcPr>
            <w:tcW w:w="4248" w:type="dxa"/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Homogeneity and distribution of runs  </w:t>
            </w:r>
          </w:p>
        </w:tc>
      </w:tr>
      <w:tr w:rsidR="00B83B4D" w:rsidRPr="00993CFC" w:rsidTr="00415447">
        <w:tc>
          <w:tcPr>
            <w:tcW w:w="2718" w:type="dxa"/>
            <w:tcBorders>
              <w:bottom w:val="sing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contextualSpacing/>
              <w:rPr>
                <w:rFonts w:ascii="Times New Roman" w:hAnsi="Times New Roman" w:cs="Calibri"/>
                <w:b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>Short Run Emphasis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Calibri"/>
                        <w:sz w:val="20"/>
                        <w:szCs w:val="20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alibri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j=1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  <w:sz w:val="20"/>
                                <w:szCs w:val="20"/>
                              </w:rPr>
                              <m:t>R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i,j</m:t>
                                </m:r>
                              </m:e>
                            </m:d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j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Calibri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nary>
                  </m:e>
                </m:nary>
              </m:oMath>
            </m:oMathPara>
          </w:p>
        </w:tc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:rsidR="00B83B4D" w:rsidRPr="00993CFC" w:rsidRDefault="00B83B4D" w:rsidP="00415447">
            <w:pPr>
              <w:spacing w:after="120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Emphasis on the short runs </w:t>
            </w:r>
          </w:p>
        </w:tc>
      </w:tr>
      <w:tr w:rsidR="00B83B4D" w:rsidRPr="00993CFC" w:rsidTr="00415447">
        <w:tc>
          <w:tcPr>
            <w:tcW w:w="9576" w:type="dxa"/>
            <w:gridSpan w:val="3"/>
            <w:tcBorders>
              <w:top w:val="single" w:sz="4" w:space="0" w:color="auto"/>
            </w:tcBorders>
          </w:tcPr>
          <w:p w:rsidR="00B83B4D" w:rsidRPr="00993CFC" w:rsidRDefault="00B83B4D" w:rsidP="00415447">
            <w:pPr>
              <w:spacing w:after="120"/>
              <w:jc w:val="both"/>
              <w:rPr>
                <w:rFonts w:ascii="Times New Roman" w:hAnsi="Times New Roman" w:cs="Calibri"/>
                <w:sz w:val="20"/>
                <w:szCs w:val="20"/>
              </w:rPr>
            </w:pPr>
            <w:r w:rsidRPr="00993CFC">
              <w:rPr>
                <w:rFonts w:ascii="Times New Roman" w:hAnsi="Times New Roman" w:cs="Calibri"/>
                <w:sz w:val="20"/>
                <w:szCs w:val="20"/>
              </w:rPr>
              <w:t xml:space="preserve">where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r</m:t>
                  </m:r>
                </m:sub>
              </m:sSub>
              <m:r>
                <w:rPr>
                  <w:rFonts w:ascii="Cambria Math" w:hAnsi="Cambria Math" w:cs="Calibr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Calibri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i=1</m:t>
                  </m:r>
                </m:sub>
                <m:sup>
                  <m:r>
                    <w:rPr>
                      <w:rFonts w:ascii="Cambria Math" w:hAnsi="Cambria Math" w:cs="Calibri"/>
                      <w:sz w:val="20"/>
                      <w:szCs w:val="20"/>
                    </w:rPr>
                    <m:t>M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Calibri"/>
                          <w:i/>
                          <w:sz w:val="20"/>
                          <w:szCs w:val="20"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N</m:t>
                      </m:r>
                    </m:sup>
                    <m:e>
                      <m:r>
                        <w:rPr>
                          <w:rFonts w:ascii="Cambria Math" w:hAnsi="Cambria Math" w:cs="Calibri"/>
                          <w:sz w:val="20"/>
                          <w:szCs w:val="20"/>
                        </w:rPr>
                        <m:t>R</m:t>
                      </m:r>
                      <m:d>
                        <m:dPr>
                          <m:ctrlPr>
                            <w:rPr>
                              <w:rFonts w:ascii="Cambria Math" w:hAnsi="Cambria Math" w:cs="Calibr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Calibri"/>
                              <w:sz w:val="20"/>
                              <w:szCs w:val="20"/>
                            </w:rPr>
                            <m:t>i,j</m:t>
                          </m:r>
                        </m:e>
                      </m:d>
                    </m:e>
                  </m:nary>
                </m:e>
              </m:nary>
            </m:oMath>
            <w:r w:rsidRPr="00993CFC">
              <w:rPr>
                <w:rFonts w:ascii="Times New Roman" w:eastAsia="Times New Roman" w:hAnsi="Times New Roman" w:cs="Calibri"/>
                <w:sz w:val="20"/>
                <w:szCs w:val="20"/>
              </w:rPr>
              <w:t xml:space="preserve"> is the total number of runs.</w:t>
            </w:r>
          </w:p>
        </w:tc>
      </w:tr>
    </w:tbl>
    <w:p w:rsidR="00B83B4D" w:rsidRPr="00993CFC" w:rsidRDefault="00B83B4D" w:rsidP="00B83B4D">
      <w:pPr>
        <w:spacing w:after="0" w:line="480" w:lineRule="auto"/>
        <w:rPr>
          <w:rFonts w:ascii="Times New Roman" w:eastAsia="Calibri" w:hAnsi="Times New Roman" w:cs="Times New Roman"/>
          <w:sz w:val="24"/>
        </w:rPr>
      </w:pPr>
    </w:p>
    <w:p w:rsidR="00B83B4D" w:rsidRPr="00993CFC" w:rsidRDefault="00B83B4D" w:rsidP="00B83B4D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</w:p>
    <w:p w:rsidR="00B83B4D" w:rsidRPr="00993CFC" w:rsidRDefault="00B83B4D" w:rsidP="00B83B4D">
      <w:pPr>
        <w:keepNext/>
        <w:keepLines/>
        <w:spacing w:before="40" w:after="0" w:line="480" w:lineRule="auto"/>
        <w:outlineLvl w:val="1"/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keepNext/>
        <w:keepLines/>
        <w:spacing w:before="40" w:after="0" w:line="480" w:lineRule="auto"/>
        <w:outlineLvl w:val="1"/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</w:pPr>
      <w:r w:rsidRPr="00993CFC"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  <w:lastRenderedPageBreak/>
        <w:t>Clustering Analysis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0"/>
        <w:gridCol w:w="3011"/>
        <w:gridCol w:w="24"/>
        <w:gridCol w:w="3002"/>
      </w:tblGrid>
      <w:tr w:rsidR="00B83B4D" w:rsidRPr="00993CFC" w:rsidTr="00415447">
        <w:tc>
          <w:tcPr>
            <w:tcW w:w="300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09E64314" wp14:editId="61A81402">
                  <wp:extent cx="1883410" cy="1655618"/>
                  <wp:effectExtent l="0" t="0" r="254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/>
                          <a:srcRect l="19050" b="9425"/>
                          <a:stretch/>
                        </pic:blipFill>
                        <pic:spPr bwMode="auto">
                          <a:xfrm>
                            <a:off x="0" y="0"/>
                            <a:ext cx="1884335" cy="1656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9" w:type="dxa"/>
            <w:gridSpan w:val="2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081474FA" wp14:editId="13D8405D">
                  <wp:extent cx="1883410" cy="1683327"/>
                  <wp:effectExtent l="0" t="0" r="254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19050" b="7909"/>
                          <a:stretch/>
                        </pic:blipFill>
                        <pic:spPr bwMode="auto">
                          <a:xfrm>
                            <a:off x="0" y="0"/>
                            <a:ext cx="1884334" cy="16841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6A29E355" wp14:editId="640332E1">
                  <wp:extent cx="1890395" cy="1662546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18752" b="9049"/>
                          <a:stretch/>
                        </pic:blipFill>
                        <pic:spPr bwMode="auto">
                          <a:xfrm>
                            <a:off x="0" y="0"/>
                            <a:ext cx="1891263" cy="16633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3B4D" w:rsidRPr="00993CFC" w:rsidTr="00415447">
        <w:tc>
          <w:tcPr>
            <w:tcW w:w="9017" w:type="dxa"/>
            <w:gridSpan w:val="4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i/>
                <w:iCs/>
                <w:sz w:val="24"/>
              </w:rPr>
              <w:t>W</w:t>
            </w:r>
            <w:r w:rsidRPr="00993CFC">
              <w:rPr>
                <w:rFonts w:ascii="Times New Roman" w:hAnsi="Times New Roman" w:cs="Arial"/>
                <w:sz w:val="24"/>
              </w:rPr>
              <w:t xml:space="preserve"> = 4mm</w:t>
            </w:r>
          </w:p>
        </w:tc>
      </w:tr>
      <w:tr w:rsidR="00B83B4D" w:rsidRPr="00993CFC" w:rsidTr="00415447">
        <w:tc>
          <w:tcPr>
            <w:tcW w:w="300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69C3DD5E" wp14:editId="1A10541D">
                  <wp:extent cx="1890395" cy="1683327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18752" b="7912"/>
                          <a:stretch/>
                        </pic:blipFill>
                        <pic:spPr bwMode="auto">
                          <a:xfrm>
                            <a:off x="0" y="0"/>
                            <a:ext cx="1891263" cy="1684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7F77A4C3" wp14:editId="2BF8D0F1">
                  <wp:extent cx="1890395" cy="169718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18752" b="7155"/>
                          <a:stretch/>
                        </pic:blipFill>
                        <pic:spPr bwMode="auto">
                          <a:xfrm>
                            <a:off x="0" y="0"/>
                            <a:ext cx="1891262" cy="1697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  <w:gridSpan w:val="2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03746A06" wp14:editId="24140BB3">
                  <wp:extent cx="1904365" cy="1682750"/>
                  <wp:effectExtent l="0" t="0" r="63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18157" b="7949"/>
                          <a:stretch/>
                        </pic:blipFill>
                        <pic:spPr bwMode="auto">
                          <a:xfrm>
                            <a:off x="0" y="0"/>
                            <a:ext cx="1905121" cy="16834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3B4D" w:rsidRPr="00993CFC" w:rsidTr="00415447">
        <w:tc>
          <w:tcPr>
            <w:tcW w:w="9017" w:type="dxa"/>
            <w:gridSpan w:val="4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i/>
                <w:iCs/>
                <w:sz w:val="24"/>
              </w:rPr>
            </w:pPr>
            <w:r w:rsidRPr="00993CFC">
              <w:rPr>
                <w:rFonts w:ascii="Times New Roman" w:hAnsi="Times New Roman" w:cs="Arial"/>
                <w:i/>
                <w:iCs/>
                <w:sz w:val="24"/>
              </w:rPr>
              <w:t>W</w:t>
            </w:r>
            <w:r w:rsidRPr="00993CFC">
              <w:rPr>
                <w:rFonts w:ascii="Times New Roman" w:hAnsi="Times New Roman" w:cs="Arial"/>
                <w:sz w:val="24"/>
              </w:rPr>
              <w:t xml:space="preserve"> = 8mm</w:t>
            </w:r>
          </w:p>
        </w:tc>
      </w:tr>
      <w:tr w:rsidR="00B83B4D" w:rsidRPr="00993CFC" w:rsidTr="00415447">
        <w:tc>
          <w:tcPr>
            <w:tcW w:w="300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30118940" wp14:editId="2BCB3112">
                  <wp:extent cx="1876425" cy="167640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19347" b="8285"/>
                          <a:stretch/>
                        </pic:blipFill>
                        <pic:spPr bwMode="auto">
                          <a:xfrm>
                            <a:off x="0" y="0"/>
                            <a:ext cx="1877406" cy="16772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2D264AB2" wp14:editId="310C4942">
                  <wp:extent cx="1904365" cy="1655618"/>
                  <wp:effectExtent l="0" t="0" r="635" b="190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18157" b="9433"/>
                          <a:stretch/>
                        </pic:blipFill>
                        <pic:spPr bwMode="auto">
                          <a:xfrm>
                            <a:off x="0" y="0"/>
                            <a:ext cx="1905120" cy="16562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8" w:type="dxa"/>
            <w:gridSpan w:val="2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3F634477" wp14:editId="5E465AC0">
                  <wp:extent cx="1904365" cy="1690255"/>
                  <wp:effectExtent l="0" t="0" r="635" b="571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18157" b="7539"/>
                          <a:stretch/>
                        </pic:blipFill>
                        <pic:spPr bwMode="auto">
                          <a:xfrm>
                            <a:off x="0" y="0"/>
                            <a:ext cx="1905120" cy="1690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3B4D" w:rsidRPr="00993CFC" w:rsidTr="00415447">
        <w:tc>
          <w:tcPr>
            <w:tcW w:w="9017" w:type="dxa"/>
            <w:gridSpan w:val="4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b/>
                <w:sz w:val="24"/>
              </w:rPr>
            </w:pPr>
            <w:r w:rsidRPr="00993CFC">
              <w:rPr>
                <w:rFonts w:ascii="Times New Roman" w:hAnsi="Times New Roman" w:cs="Arial"/>
                <w:i/>
                <w:iCs/>
                <w:sz w:val="24"/>
              </w:rPr>
              <w:t>W</w:t>
            </w:r>
            <w:r w:rsidRPr="00993CFC">
              <w:rPr>
                <w:rFonts w:ascii="Times New Roman" w:hAnsi="Times New Roman" w:cs="Arial"/>
                <w:sz w:val="24"/>
              </w:rPr>
              <w:t xml:space="preserve"> = 20mm</w:t>
            </w:r>
          </w:p>
        </w:tc>
      </w:tr>
      <w:tr w:rsidR="00B83B4D" w:rsidRPr="00993CFC" w:rsidTr="00415447">
        <w:tc>
          <w:tcPr>
            <w:tcW w:w="9017" w:type="dxa"/>
            <w:gridSpan w:val="4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bCs/>
              </w:rPr>
            </w:pPr>
            <w:r w:rsidRPr="00993CFC">
              <w:rPr>
                <w:rFonts w:ascii="Times New Roman" w:hAnsi="Times New Roman" w:cs="Arial"/>
                <w:b/>
              </w:rPr>
              <w:t xml:space="preserve">Fig. S1: </w:t>
            </w:r>
            <w:r w:rsidRPr="00993CFC">
              <w:rPr>
                <w:rFonts w:ascii="Times New Roman" w:hAnsi="Times New Roman" w:cs="Arial"/>
                <w:bCs/>
              </w:rPr>
              <w:t>Consensus clustering for different number of clusters (K = 2, 3, 4) for finding the best optimal cluster for patients with I130f kernel.</w:t>
            </w:r>
          </w:p>
        </w:tc>
      </w:tr>
    </w:tbl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tabs>
          <w:tab w:val="left" w:pos="1724"/>
        </w:tabs>
        <w:spacing w:line="480" w:lineRule="auto"/>
        <w:rPr>
          <w:rFonts w:ascii="Times New Roman" w:eastAsia="Malgun Gothic" w:hAnsi="Times New Roman" w:cs="Arial"/>
          <w:sz w:val="24"/>
          <w:lang w:eastAsia="ko-KR"/>
        </w:rPr>
        <w:sectPr w:rsidR="00B83B4D" w:rsidRPr="00993CFC" w:rsidSect="00DA411D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B83B4D" w:rsidRPr="00993CFC" w:rsidRDefault="00B83B4D" w:rsidP="00B83B4D">
      <w:pPr>
        <w:keepNext/>
        <w:keepLines/>
        <w:spacing w:before="40" w:after="0" w:line="480" w:lineRule="auto"/>
        <w:outlineLvl w:val="1"/>
        <w:rPr>
          <w:rFonts w:ascii="Times New Roman" w:eastAsia="Malgun Gothic" w:hAnsi="Times New Roman" w:cs="Arial"/>
          <w:sz w:val="24"/>
          <w:lang w:eastAsia="ko-KR"/>
        </w:rPr>
      </w:pPr>
      <w:r w:rsidRPr="00993CFC"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  <w:lastRenderedPageBreak/>
        <w:t xml:space="preserve">Entanglement 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6"/>
        <w:gridCol w:w="4476"/>
        <w:gridCol w:w="4476"/>
      </w:tblGrid>
      <w:tr w:rsidR="00B83B4D" w:rsidRPr="00993CFC" w:rsidTr="00415447">
        <w:tc>
          <w:tcPr>
            <w:tcW w:w="300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4C146991" wp14:editId="4622B625">
                  <wp:extent cx="2703134" cy="2286000"/>
                  <wp:effectExtent l="0" t="0" r="254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34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9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3CB27472" wp14:editId="252A0C70">
                  <wp:extent cx="2703134" cy="2286000"/>
                  <wp:effectExtent l="0" t="0" r="254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34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noProof/>
                <w:sz w:val="24"/>
              </w:rPr>
              <w:drawing>
                <wp:inline distT="0" distB="0" distL="0" distR="0" wp14:anchorId="592BE20D" wp14:editId="038C03DD">
                  <wp:extent cx="2703134" cy="2286000"/>
                  <wp:effectExtent l="0" t="0" r="254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34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3B4D" w:rsidRPr="00993CFC" w:rsidTr="00415447">
        <w:tc>
          <w:tcPr>
            <w:tcW w:w="300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i/>
                <w:iCs/>
                <w:sz w:val="24"/>
              </w:rPr>
              <w:t>W</w:t>
            </w:r>
            <w:r w:rsidRPr="00993CFC">
              <w:rPr>
                <w:rFonts w:ascii="Times New Roman" w:hAnsi="Times New Roman" w:cs="Arial"/>
                <w:sz w:val="24"/>
              </w:rPr>
              <w:t xml:space="preserve"> = 4mm</w:t>
            </w:r>
          </w:p>
        </w:tc>
        <w:tc>
          <w:tcPr>
            <w:tcW w:w="3019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i/>
                <w:iCs/>
                <w:sz w:val="24"/>
              </w:rPr>
              <w:t>W</w:t>
            </w:r>
            <w:r w:rsidRPr="00993CFC">
              <w:rPr>
                <w:rFonts w:ascii="Times New Roman" w:hAnsi="Times New Roman" w:cs="Arial"/>
                <w:sz w:val="24"/>
              </w:rPr>
              <w:t xml:space="preserve"> = 8mm</w:t>
            </w:r>
          </w:p>
        </w:tc>
        <w:tc>
          <w:tcPr>
            <w:tcW w:w="2994" w:type="dxa"/>
            <w:vAlign w:val="center"/>
          </w:tcPr>
          <w:p w:rsidR="00B83B4D" w:rsidRPr="00993CFC" w:rsidRDefault="00B83B4D" w:rsidP="00415447">
            <w:pPr>
              <w:jc w:val="center"/>
              <w:rPr>
                <w:rFonts w:ascii="Times New Roman" w:hAnsi="Times New Roman" w:cs="Arial"/>
                <w:sz w:val="24"/>
              </w:rPr>
            </w:pPr>
            <w:r w:rsidRPr="00993CFC">
              <w:rPr>
                <w:rFonts w:ascii="Times New Roman" w:hAnsi="Times New Roman" w:cs="Arial"/>
                <w:i/>
                <w:iCs/>
                <w:sz w:val="24"/>
              </w:rPr>
              <w:t>W</w:t>
            </w:r>
            <w:r w:rsidRPr="00993CFC">
              <w:rPr>
                <w:rFonts w:ascii="Times New Roman" w:hAnsi="Times New Roman" w:cs="Arial"/>
                <w:sz w:val="24"/>
              </w:rPr>
              <w:t xml:space="preserve"> = 20mm</w:t>
            </w:r>
          </w:p>
        </w:tc>
      </w:tr>
      <w:tr w:rsidR="00B83B4D" w:rsidRPr="00993CFC" w:rsidTr="00415447">
        <w:tc>
          <w:tcPr>
            <w:tcW w:w="9017" w:type="dxa"/>
            <w:gridSpan w:val="3"/>
            <w:vAlign w:val="center"/>
          </w:tcPr>
          <w:p w:rsidR="00B83B4D" w:rsidRPr="00993CFC" w:rsidRDefault="00B83B4D" w:rsidP="00415447">
            <w:pPr>
              <w:rPr>
                <w:rFonts w:ascii="Times New Roman" w:hAnsi="Times New Roman" w:cs="Times New Roman"/>
                <w:bCs/>
              </w:rPr>
            </w:pPr>
            <w:r w:rsidRPr="00993CFC">
              <w:rPr>
                <w:rFonts w:ascii="Times New Roman" w:hAnsi="Times New Roman" w:cs="Times New Roman"/>
                <w:b/>
              </w:rPr>
              <w:t xml:space="preserve">Fig. S2: </w:t>
            </w:r>
            <w:r w:rsidRPr="00993CFC">
              <w:rPr>
                <w:rFonts w:ascii="Times New Roman" w:hAnsi="Times New Roman" w:cs="Times New Roman"/>
                <w:bCs/>
              </w:rPr>
              <w:t>Entanglement after applying feature harmonization comparing the two clusters between reconstruction kernels.</w:t>
            </w:r>
          </w:p>
        </w:tc>
      </w:tr>
    </w:tbl>
    <w:p w:rsidR="00B83B4D" w:rsidRPr="00993CFC" w:rsidRDefault="00B83B4D" w:rsidP="00B83B4D">
      <w:pPr>
        <w:tabs>
          <w:tab w:val="left" w:pos="1724"/>
        </w:tabs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tabs>
          <w:tab w:val="left" w:pos="1724"/>
        </w:tabs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tabs>
          <w:tab w:val="left" w:pos="1724"/>
        </w:tabs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</w:p>
    <w:p w:rsidR="00B83B4D" w:rsidRPr="00993CFC" w:rsidRDefault="00B83B4D" w:rsidP="00B83B4D">
      <w:pPr>
        <w:tabs>
          <w:tab w:val="left" w:pos="1724"/>
        </w:tabs>
        <w:spacing w:line="480" w:lineRule="auto"/>
        <w:rPr>
          <w:rFonts w:ascii="Times New Roman" w:eastAsia="Malgun Gothic" w:hAnsi="Times New Roman" w:cs="Arial"/>
          <w:sz w:val="24"/>
          <w:lang w:eastAsia="ko-KR"/>
        </w:rPr>
        <w:sectPr w:rsidR="00B83B4D" w:rsidRPr="00993CFC" w:rsidSect="00BD1D26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B83B4D" w:rsidRPr="00993CFC" w:rsidRDefault="00B83B4D" w:rsidP="00B83B4D">
      <w:pPr>
        <w:keepNext/>
        <w:keepLines/>
        <w:spacing w:before="40" w:after="0" w:line="480" w:lineRule="auto"/>
        <w:outlineLvl w:val="1"/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</w:pPr>
      <w:r w:rsidRPr="00993CFC">
        <w:rPr>
          <w:rFonts w:ascii="Times New Roman" w:eastAsia="Malgun Gothic" w:hAnsi="Times New Roman" w:cs="Times New Roman"/>
          <w:b/>
          <w:sz w:val="24"/>
          <w:szCs w:val="26"/>
          <w:lang w:eastAsia="ko-KR"/>
        </w:rPr>
        <w:lastRenderedPageBreak/>
        <w:t xml:space="preserve">Feature Harmonization </w:t>
      </w:r>
    </w:p>
    <w:p w:rsidR="00B83B4D" w:rsidRPr="00993CFC" w:rsidRDefault="00B83B4D" w:rsidP="00B83B4D">
      <w:pPr>
        <w:spacing w:line="480" w:lineRule="auto"/>
        <w:rPr>
          <w:rFonts w:ascii="Times New Roman" w:eastAsia="Malgun Gothic" w:hAnsi="Times New Roman" w:cs="Arial"/>
          <w:sz w:val="24"/>
          <w:lang w:eastAsia="ko-KR"/>
        </w:rPr>
      </w:pPr>
      <w:r w:rsidRPr="00993CFC">
        <w:rPr>
          <w:rFonts w:ascii="Times New Roman" w:eastAsia="Malgun Gothic" w:hAnsi="Times New Roman" w:cs="Arial"/>
          <w:sz w:val="24"/>
          <w:lang w:eastAsia="ko-KR"/>
        </w:rPr>
        <w:t xml:space="preserve">Outlier detection in the harmonization process resulted in 8 patients (images) being classified as outliers from the </w:t>
      </w:r>
      <w:r w:rsidRPr="00993CFC">
        <w:rPr>
          <w:rFonts w:ascii="Times New Roman" w:eastAsia="Malgun Gothic" w:hAnsi="Times New Roman" w:cs="Arial"/>
          <w:i/>
          <w:sz w:val="24"/>
          <w:lang w:eastAsia="ko-KR"/>
        </w:rPr>
        <w:t>W</w:t>
      </w:r>
      <w:r w:rsidRPr="00993CFC">
        <w:rPr>
          <w:rFonts w:ascii="Times New Roman" w:eastAsia="Malgun Gothic" w:hAnsi="Times New Roman" w:cs="Arial"/>
          <w:sz w:val="24"/>
          <w:lang w:eastAsia="ko-KR"/>
        </w:rPr>
        <w:t xml:space="preserve"> = 4mm, 8mm, and 20mm window sizes in the two-reconstruction kernel dataset. Similarly, 12, 15, and 36 patients were detected as outliers from the </w:t>
      </w:r>
      <w:r w:rsidRPr="00993CFC">
        <w:rPr>
          <w:rFonts w:ascii="Times New Roman" w:eastAsia="Malgun Gothic" w:hAnsi="Times New Roman" w:cs="Arial"/>
          <w:i/>
          <w:sz w:val="24"/>
          <w:lang w:eastAsia="ko-KR"/>
        </w:rPr>
        <w:t>W</w:t>
      </w:r>
      <w:r w:rsidRPr="00993CFC">
        <w:rPr>
          <w:rFonts w:ascii="Times New Roman" w:eastAsia="Malgun Gothic" w:hAnsi="Times New Roman" w:cs="Arial"/>
          <w:sz w:val="24"/>
          <w:lang w:eastAsia="ko-KR"/>
        </w:rPr>
        <w:t xml:space="preserve"> = 4mm, 8mm, and 20mm in the PFT dataset. The effects of dropping scans with residuals classified as outliers are shown for a sample representative feature (grey entropy) and covariate (BMI) from the two-reconstruction kernel dataset in Figure S3. The outliers removal resulted in a more even distribution of imaging features.</w:t>
      </w:r>
    </w:p>
    <w:p w:rsidR="00B83B4D" w:rsidRPr="00993CFC" w:rsidRDefault="00B83B4D" w:rsidP="00B83B4D">
      <w:pPr>
        <w:spacing w:line="240" w:lineRule="auto"/>
        <w:rPr>
          <w:rFonts w:ascii="Times New Roman" w:eastAsia="Malgun Gothic" w:hAnsi="Times New Roman" w:cs="Arial"/>
          <w:lang w:eastAsia="ko-KR"/>
        </w:rPr>
      </w:pPr>
      <w:r w:rsidRPr="00993CFC">
        <w:rPr>
          <w:rFonts w:ascii="Times New Roman" w:eastAsia="Malgun Gothic" w:hAnsi="Times New Roman" w:cs="Arial"/>
          <w:b/>
          <w:bCs/>
          <w:lang w:eastAsia="ko-KR"/>
        </w:rPr>
        <w:t>Figure S3</w:t>
      </w:r>
      <w:r w:rsidRPr="00993CFC">
        <w:rPr>
          <w:rFonts w:ascii="Times New Roman" w:eastAsia="Malgun Gothic" w:hAnsi="Times New Roman" w:cs="Arial"/>
          <w:lang w:eastAsia="ko-KR"/>
        </w:rPr>
        <w:t xml:space="preserve">. Residual plots for grey entropy versus BMI for the raw features (left) and the ComBat-harmonized features with the outliers dropped (right) for the two-reconstruction kernel dataset with window size 4mm. </w:t>
      </w:r>
    </w:p>
    <w:p w:rsidR="00B83B4D" w:rsidRPr="00993CFC" w:rsidRDefault="00B83B4D" w:rsidP="00B83B4D">
      <w:pPr>
        <w:spacing w:line="480" w:lineRule="auto"/>
        <w:jc w:val="center"/>
        <w:rPr>
          <w:rFonts w:ascii="Times New Roman" w:eastAsia="Malgun Gothic" w:hAnsi="Times New Roman" w:cs="Arial"/>
          <w:sz w:val="24"/>
          <w:lang w:eastAsia="ko-KR"/>
        </w:rPr>
      </w:pPr>
      <w:r w:rsidRPr="00993CFC">
        <w:rPr>
          <w:rFonts w:ascii="Times New Roman" w:eastAsia="Malgun Gothic" w:hAnsi="Times New Roman" w:cs="Arial"/>
          <w:noProof/>
          <w:sz w:val="24"/>
        </w:rPr>
        <w:drawing>
          <wp:inline distT="0" distB="0" distL="0" distR="0" wp14:anchorId="2D7CE16B" wp14:editId="2AE09F30">
            <wp:extent cx="4343400" cy="173736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43628" cy="173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B4D" w:rsidRPr="00993CFC" w:rsidRDefault="00B83B4D" w:rsidP="00B83B4D">
      <w:pPr>
        <w:spacing w:line="240" w:lineRule="auto"/>
        <w:rPr>
          <w:rFonts w:ascii="Times New Roman" w:eastAsia="Malgun Gothic" w:hAnsi="Times New Roman" w:cs="Arial"/>
          <w:lang w:eastAsia="ko-KR"/>
        </w:rPr>
      </w:pPr>
      <w:r w:rsidRPr="00993CFC">
        <w:rPr>
          <w:rFonts w:ascii="Times New Roman" w:eastAsia="Malgun Gothic" w:hAnsi="Times New Roman" w:cs="Arial"/>
          <w:b/>
          <w:bCs/>
          <w:lang w:eastAsia="ko-KR"/>
        </w:rPr>
        <w:t xml:space="preserve">Table S1. </w:t>
      </w:r>
      <w:r w:rsidRPr="00993CFC">
        <w:rPr>
          <w:rFonts w:ascii="Times New Roman" w:eastAsia="Malgun Gothic" w:hAnsi="Times New Roman" w:cs="Arial"/>
          <w:lang w:eastAsia="ko-KR"/>
        </w:rPr>
        <w:t>Number of features with statistically significant differences in distribution due to reconstruction kernel as detected with the KS test (</w:t>
      </w:r>
      <w:r w:rsidRPr="00993CFC">
        <w:rPr>
          <w:rFonts w:ascii="Times New Roman" w:eastAsia="Malgun Gothic" w:hAnsi="Times New Roman" w:cs="Arial"/>
          <w:i/>
          <w:iCs/>
          <w:lang w:eastAsia="ko-KR"/>
        </w:rPr>
        <w:t>p</w:t>
      </w:r>
      <w:r w:rsidRPr="00993CFC">
        <w:rPr>
          <w:rFonts w:ascii="Times New Roman" w:eastAsia="Malgun Gothic" w:hAnsi="Times New Roman" w:cs="Arial"/>
          <w:lang w:eastAsia="ko-KR"/>
        </w:rPr>
        <w:t xml:space="preserve"> &lt; 0.05) for the two-reconstruction kernel dataset.  </w:t>
      </w:r>
    </w:p>
    <w:p w:rsidR="00B83B4D" w:rsidRPr="00993CFC" w:rsidRDefault="00B83B4D" w:rsidP="00B83B4D">
      <w:pPr>
        <w:spacing w:line="480" w:lineRule="auto"/>
        <w:jc w:val="center"/>
        <w:rPr>
          <w:rFonts w:ascii="Times New Roman" w:eastAsia="Malgun Gothic" w:hAnsi="Times New Roman" w:cs="Arial"/>
          <w:sz w:val="24"/>
          <w:lang w:eastAsia="ko-KR"/>
        </w:rPr>
      </w:pPr>
      <w:r w:rsidRPr="00993CFC">
        <w:rPr>
          <w:rFonts w:ascii="Times New Roman" w:eastAsia="Malgun Gothic" w:hAnsi="Times New Roman" w:cs="Arial"/>
          <w:noProof/>
          <w:sz w:val="24"/>
        </w:rPr>
        <w:drawing>
          <wp:inline distT="0" distB="0" distL="0" distR="0" wp14:anchorId="0647BBB3" wp14:editId="08F86B8B">
            <wp:extent cx="4493260" cy="172529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260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83B4D" w:rsidRPr="00993CFC" w:rsidRDefault="00B83B4D" w:rsidP="00B83B4D">
      <w:pPr>
        <w:spacing w:line="240" w:lineRule="auto"/>
        <w:rPr>
          <w:rFonts w:ascii="Times New Roman" w:eastAsia="Malgun Gothic" w:hAnsi="Times New Roman" w:cs="Arial"/>
          <w:b/>
          <w:bCs/>
          <w:lang w:eastAsia="ko-KR"/>
        </w:rPr>
      </w:pPr>
    </w:p>
    <w:p w:rsidR="00B83B4D" w:rsidRPr="00993CFC" w:rsidRDefault="00B83B4D" w:rsidP="00B83B4D">
      <w:pPr>
        <w:spacing w:line="240" w:lineRule="auto"/>
        <w:rPr>
          <w:rFonts w:ascii="Times New Roman" w:eastAsia="Malgun Gothic" w:hAnsi="Times New Roman" w:cs="Arial"/>
          <w:b/>
          <w:bCs/>
          <w:lang w:eastAsia="ko-KR"/>
        </w:rPr>
      </w:pPr>
    </w:p>
    <w:p w:rsidR="00B83B4D" w:rsidRPr="00993CFC" w:rsidRDefault="00B83B4D" w:rsidP="00B83B4D">
      <w:pPr>
        <w:spacing w:line="240" w:lineRule="auto"/>
        <w:rPr>
          <w:rFonts w:ascii="Times New Roman" w:eastAsia="Malgun Gothic" w:hAnsi="Times New Roman" w:cs="Arial"/>
          <w:b/>
          <w:bCs/>
          <w:lang w:eastAsia="ko-KR"/>
        </w:rPr>
      </w:pPr>
    </w:p>
    <w:p w:rsidR="00B83B4D" w:rsidRPr="00993CFC" w:rsidRDefault="00B83B4D" w:rsidP="00B83B4D">
      <w:pPr>
        <w:spacing w:line="240" w:lineRule="auto"/>
        <w:rPr>
          <w:rFonts w:ascii="Times New Roman" w:eastAsia="Malgun Gothic" w:hAnsi="Times New Roman" w:cs="Arial"/>
          <w:lang w:eastAsia="ko-KR"/>
        </w:rPr>
      </w:pPr>
      <w:r w:rsidRPr="00993CFC">
        <w:rPr>
          <w:rFonts w:ascii="Times New Roman" w:eastAsia="Malgun Gothic" w:hAnsi="Times New Roman" w:cs="Arial"/>
          <w:b/>
          <w:bCs/>
          <w:lang w:eastAsia="ko-KR"/>
        </w:rPr>
        <w:lastRenderedPageBreak/>
        <w:t xml:space="preserve">Table S2. </w:t>
      </w:r>
      <w:r w:rsidRPr="00993CFC">
        <w:rPr>
          <w:rFonts w:ascii="Times New Roman" w:eastAsia="Malgun Gothic" w:hAnsi="Times New Roman" w:cs="Arial"/>
          <w:lang w:eastAsia="ko-KR"/>
        </w:rPr>
        <w:t>Number of features with statistically significant differences in distribution due to reconstruction kernel as detected with the KS test (</w:t>
      </w:r>
      <w:r w:rsidRPr="00993CFC">
        <w:rPr>
          <w:rFonts w:ascii="Times New Roman" w:eastAsia="Malgun Gothic" w:hAnsi="Times New Roman" w:cs="Arial"/>
          <w:i/>
          <w:iCs/>
          <w:lang w:eastAsia="ko-KR"/>
        </w:rPr>
        <w:t>p</w:t>
      </w:r>
      <w:r w:rsidRPr="00993CFC">
        <w:rPr>
          <w:rFonts w:ascii="Times New Roman" w:eastAsia="Malgun Gothic" w:hAnsi="Times New Roman" w:cs="Arial"/>
          <w:lang w:eastAsia="ko-KR"/>
        </w:rPr>
        <w:t xml:space="preserve"> &lt; 0.05) for the PFT dataset.  </w:t>
      </w:r>
    </w:p>
    <w:p w:rsidR="00B83B4D" w:rsidRPr="00993CFC" w:rsidRDefault="00B83B4D" w:rsidP="00B83B4D">
      <w:pPr>
        <w:spacing w:line="480" w:lineRule="auto"/>
        <w:jc w:val="center"/>
      </w:pPr>
      <w:r w:rsidRPr="00993CFC">
        <w:rPr>
          <w:rFonts w:ascii="Times New Roman" w:eastAsia="Malgun Gothic" w:hAnsi="Times New Roman" w:cs="Arial"/>
          <w:noProof/>
          <w:sz w:val="24"/>
        </w:rPr>
        <w:drawing>
          <wp:inline distT="0" distB="0" distL="0" distR="0" wp14:anchorId="3D4258BC" wp14:editId="355308B4">
            <wp:extent cx="4493260" cy="1725295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260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1F6C" w:rsidRDefault="00B83B4D"/>
    <w:sectPr w:rsidR="006A1F6C" w:rsidSect="003936D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B4D"/>
    <w:rsid w:val="00B36AF1"/>
    <w:rsid w:val="00B83B4D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9B869A-F24F-4C18-B1DF-9BC2A961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3B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B83B4D"/>
    <w:pPr>
      <w:spacing w:after="0" w:line="240" w:lineRule="auto"/>
    </w:pPr>
    <w:rPr>
      <w:rFonts w:eastAsia="Malgun Gothic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83B4D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83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885</Words>
  <Characters>5047</Characters>
  <Application>Microsoft Office Word</Application>
  <DocSecurity>0</DocSecurity>
  <Lines>42</Lines>
  <Paragraphs>11</Paragraphs>
  <ScaleCrop>false</ScaleCrop>
  <Company>Springer Nature IT</Company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2021-11-25T06:22:00Z</dcterms:created>
  <dcterms:modified xsi:type="dcterms:W3CDTF">2021-11-25T06:26:00Z</dcterms:modified>
</cp:coreProperties>
</file>