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Supplementary Material</w:t>
      </w:r>
    </w:p>
    <w:p>
      <w:pPr>
        <w:jc w:val="center"/>
      </w:pPr>
      <w:r>
        <w:rPr>
          <w:b/>
          <w:sz w:val="26"/>
        </w:rPr>
        <w:t>Age-dependent association between early inpatient motor activity and subsequent length of stay in depressive disorders: a retrospective cohort study</w:t>
      </w:r>
    </w:p>
    <w:p>
      <w:pPr>
        <w:jc w:val="center"/>
      </w:pPr>
      <w:r>
        <w:t>Xianmei Luo, Mingjun Duan, Gang Yao, Sisi Jiang, Yu Wang, Jorge Iglesias Fuster, Chao Mu, Zhihuan Yang, Jing Xie, Yajun Zhang, Cheng Luo</w:t>
      </w:r>
    </w:p>
    <w:p>
      <w:pPr>
        <w:pStyle w:val="Heading1"/>
      </w:pPr>
      <w:r>
        <w:t>Supplementary Information</w:t>
      </w:r>
    </w:p>
    <w:p>
      <w:r>
        <w:t>Detailed actigraphy processing, activity-measure selection, medication-administration coding, spline and effect estimation, and robustness analyses, with Supplementary Tables S1–S8.</w:t>
      </w:r>
    </w:p>
    <w:p>
      <w:r>
        <w:t>Reference numbers correspond to the main manuscript.</w:t>
      </w:r>
    </w:p>
    <w:p>
      <w:pPr>
        <w:pStyle w:val="Heading1"/>
      </w:pPr>
      <w:r>
        <w:t>Supplementary Methods</w:t>
      </w:r>
    </w:p>
    <w:p>
      <w:pPr>
        <w:pStyle w:val="Heading2"/>
      </w:pPr>
      <w:r>
        <w:t>Actigraphy processing</w:t>
      </w:r>
    </w:p>
    <w:p>
      <w:r>
        <w:t>Actigraphy was recorded using ActiGraph wGT3X-BT triaxial accelerometers (ActiGraph, LLC, Pensacola, FL, USA) worn on the non-dominant wrist. Daily clinical summary reports were generated using ActiLife 6. Wear-time classification in the source reports used the Troiano algorithm [14], and report-derived moderate-activity and sedentary percentages used the Freedson Adult classification [15]. The retrospective analysis used daily report-level summaries rather than epoch-level raw accelerometer files. Clinical summary reports were linked to admission records before de-identification. Valid-day status was determined from report-derived wear duration. The earliest three days meeting the 600-minute threshold within inpatient days 1-7 were selected without reference to activity values or LOS. Daily values were normalized for wear duration where appropriate before averaging at the admission level. Sleep-classified periods were not removed from the report-derived sedentary percentage; this variable was therefore treated as a device-derived low-activity classification rather than waking sedentary behavior.</w:t>
      </w:r>
    </w:p>
    <w:p>
      <w:pPr>
        <w:pStyle w:val="Heading2"/>
      </w:pPr>
      <w:r>
        <w:t>Selection of activity measures</w:t>
      </w:r>
    </w:p>
    <w:p>
      <w:r>
        <w:t>Candidate device outputs were grouped into overall movement, ambulation, report-derived intensity classification, and estimated energy-expenditure domains. The final set was reduced on the basis of conceptual distinctiveness, dependence on device algorithms, clinical interpretability, and redundancy rather than statistical significance. Axis-specific counts were not analyzed in parallel with VM/min because they provided little additional information beyond overall triaxial movement. MET and energy-expenditure outputs were not prioritized because they were derived from overlapping adult calibration equations. Intensity percentages were not entered together in a single model because they are compositionally dependent. Each retained activity measure was fitted in a separate model. Because the Freedson Adult classifications [15] were generated from wrist-worn recordings, moderate-activity and sedentary percentages were interpreted as device-derived activity dimensions rather than precise estimates of physiological intensity.</w:t>
      </w:r>
    </w:p>
    <w:p>
      <w:pPr>
        <w:pStyle w:val="Heading2"/>
      </w:pPr>
      <w:r>
        <w:t>Medication-administration coding</w:t>
      </w:r>
    </w:p>
    <w:p>
      <w:r>
        <w:t>Medication exposure was derived from electronic medication administration records and summarized over the exposure window from admission through 24:00 on the third valid day. Sedative-related medications comprised benzodiazepines, Z-drugs and other hypnotics, sedating antidepressants, antipsychotics with moderate or high sedation potential, gabapentinoids, sedating antihistamines, muscle relaxants, and procedural sedatives. The primary continuous covariate counted distinct generic medications administered at least once during the exposure window, avoiding inflation from repeated administrations of the same drug. A separate binary variable identified any temporary sedative or antipsychotic injection administered before the landmark. Alternative medication models used class-based indicators and a benzodiazepine-intensity coding derived from administration records.</w:t>
      </w:r>
    </w:p>
    <w:p>
      <w:pPr>
        <w:pStyle w:val="Heading2"/>
      </w:pPr>
      <w:r>
        <w:t>Spline and effect estimation</w:t>
      </w:r>
    </w:p>
    <w:p>
      <w:r>
        <w:t>The primary restricted cubic spline used 3 degrees of freedom, with boundary knots at ages 18 and 80 years and internal knots at ages 36 and 54 years. Global effect modification was tested jointly across the three activity-by-spline interaction terms using a 3-df Wald test with HC0 robust covariance. Estimates at ages 20, 40, and 60 years were obtained as linear contrasts of the fitted interaction terms and were selected for clinical interpretation because each had local sample support. These ages were representative points on the continuous curve and did not define thresholds or discrete age groups.</w:t>
      </w:r>
    </w:p>
    <w:p>
      <w:pPr>
        <w:pStyle w:val="Heading2"/>
      </w:pPr>
      <w:r>
        <w:t>Robustness analyses</w:t>
      </w:r>
    </w:p>
    <w:p>
      <w:r>
        <w:t>Robustness analyses addressed the principal assumptions of the VM/min-by-age model. Alternative outcome models were an NB2 negative-binomial generalized linear model with a log link (alpha = 0.2567) and an ordinary least-squares model for log-transformed post-landmark LOS with HC3 robust covariance. Alternative age functions used restricted cubic splines with 4 or 5 degrees of freedom and percentile-based knot placements. Older-age support was examined by restricting the cohort to age 65 years or younger. Influence was assessed using DFBETAs, Cook's distance, deletion of the most influential participant, and leave-one-out refitting. Patient-level bootstrap percentile intervals were based on 1000 resamples using a fixed random seed of 2026. Additional analyses adjusted for mean sleep duration and sleep efficiency, analyzed all eligible admissions using patient-clustered robust covariance, separately excluded the highest 1% of post-landmark LOS values or the lowest and highest 1% of VM/min values, winsorized the upper LOS tail and both VM/min tails, and used alternative medication-administration coding.</w:t>
      </w:r>
    </w:p>
    <w:p>
      <w:pPr>
        <w:pStyle w:val="Heading1"/>
      </w:pPr>
      <w:r>
        <w:t>Supplementary Tables</w:t>
      </w:r>
    </w:p>
    <w:p>
      <w:r>
        <w:t>For readability, P and FDR q values below 0.001 are reported as &lt; 0.001.</w:t>
      </w:r>
    </w:p>
    <w:p>
      <w:r>
        <w:rPr>
          <w:b/>
          <w:sz w:val="21"/>
        </w:rPr>
        <w:t>Supplementary Table S1. Comparison of landmark-eligible and excluded adult depressive-disorder admissions</w:t>
      </w:r>
    </w:p>
    <w:tbl>
      <w:tblPr>
        <w:tblStyle w:val="TableGrid"/>
        <w:tblW w:type="auto" w:w="0"/>
        <w:jc w:val="center"/>
        <w:tblLook w:firstColumn="1" w:firstRow="1" w:lastColumn="0" w:lastRow="0" w:noHBand="0" w:noVBand="1" w:val="04A0"/>
      </w:tblPr>
      <w:tblGrid>
        <w:gridCol w:w="1987"/>
        <w:gridCol w:w="1987"/>
        <w:gridCol w:w="1987"/>
        <w:gridCol w:w="1987"/>
        <w:gridCol w:w="1987"/>
      </w:tblGrid>
      <w:tr>
        <w:trPr>
          <w:tblHeader w:val="true"/>
        </w:trPr>
        <w:tc>
          <w:tcPr>
            <w:tcW w:type="dxa" w:w="1987"/>
            <w:vAlign w:val="center"/>
            <w:tcMar>
              <w:top w:w="40" w:type="dxa"/>
              <w:start w:w="50" w:type="dxa"/>
              <w:bottom w:w="40" w:type="dxa"/>
              <w:end w:w="50" w:type="dxa"/>
            </w:tcMar>
          </w:tcPr>
          <w:p>
            <w:pPr>
              <w:spacing w:line="240" w:lineRule="auto" w:after="0"/>
              <w:jc w:val="center"/>
            </w:pPr>
            <w:r>
              <w:rPr>
                <w:rFonts w:ascii="Arial" w:hAnsi="Arial"/>
                <w:b/>
                <w:sz w:val="17"/>
              </w:rPr>
              <w:t>Variable</w:t>
            </w:r>
          </w:p>
        </w:tc>
        <w:tc>
          <w:tcPr>
            <w:tcW w:type="dxa" w:w="1987"/>
            <w:vAlign w:val="center"/>
            <w:tcMar>
              <w:top w:w="40" w:type="dxa"/>
              <w:start w:w="50" w:type="dxa"/>
              <w:bottom w:w="40" w:type="dxa"/>
              <w:end w:w="50" w:type="dxa"/>
            </w:tcMar>
          </w:tcPr>
          <w:p>
            <w:pPr>
              <w:spacing w:line="240" w:lineRule="auto" w:after="0"/>
              <w:jc w:val="center"/>
            </w:pPr>
            <w:r>
              <w:rPr>
                <w:rFonts w:ascii="Arial" w:hAnsi="Arial"/>
                <w:b/>
                <w:sz w:val="17"/>
              </w:rPr>
              <w:t>Landmark-eligible admissions (n=260)</w:t>
            </w:r>
          </w:p>
        </w:tc>
        <w:tc>
          <w:tcPr>
            <w:tcW w:type="dxa" w:w="1987"/>
            <w:vAlign w:val="center"/>
            <w:tcMar>
              <w:top w:w="40" w:type="dxa"/>
              <w:start w:w="50" w:type="dxa"/>
              <w:bottom w:w="40" w:type="dxa"/>
              <w:end w:w="50" w:type="dxa"/>
            </w:tcMar>
          </w:tcPr>
          <w:p>
            <w:pPr>
              <w:spacing w:line="240" w:lineRule="auto" w:after="0"/>
              <w:jc w:val="center"/>
            </w:pPr>
            <w:r>
              <w:rPr>
                <w:rFonts w:ascii="Arial" w:hAnsi="Arial"/>
                <w:b/>
                <w:sz w:val="17"/>
              </w:rPr>
              <w:t>&lt;3 valid days (n=39)</w:t>
            </w:r>
          </w:p>
        </w:tc>
        <w:tc>
          <w:tcPr>
            <w:tcW w:type="dxa" w:w="1987"/>
            <w:vAlign w:val="center"/>
            <w:tcMar>
              <w:top w:w="40" w:type="dxa"/>
              <w:start w:w="50" w:type="dxa"/>
              <w:bottom w:w="40" w:type="dxa"/>
              <w:end w:w="50" w:type="dxa"/>
            </w:tcMar>
          </w:tcPr>
          <w:p>
            <w:pPr>
              <w:spacing w:line="240" w:lineRule="auto" w:after="0"/>
              <w:jc w:val="center"/>
            </w:pPr>
            <w:r>
              <w:rPr>
                <w:rFonts w:ascii="Arial" w:hAnsi="Arial"/>
                <w:b/>
                <w:sz w:val="17"/>
              </w:rPr>
              <w:t>SMD</w:t>
            </w:r>
          </w:p>
        </w:tc>
        <w:tc>
          <w:tcPr>
            <w:tcW w:type="dxa" w:w="1987"/>
            <w:vAlign w:val="center"/>
            <w:tcMar>
              <w:top w:w="40" w:type="dxa"/>
              <w:start w:w="50" w:type="dxa"/>
              <w:bottom w:w="40" w:type="dxa"/>
              <w:end w:w="50" w:type="dxa"/>
            </w:tcMar>
          </w:tcPr>
          <w:p>
            <w:pPr>
              <w:spacing w:line="240" w:lineRule="auto" w:after="0"/>
              <w:jc w:val="center"/>
            </w:pPr>
            <w:r>
              <w:rPr>
                <w:rFonts w:ascii="Arial" w:hAnsi="Arial"/>
                <w:b/>
                <w:sz w:val="17"/>
              </w:rPr>
              <w:t>P value</w:t>
            </w:r>
          </w:p>
        </w:tc>
      </w:tr>
      <w:tr>
        <w:tc>
          <w:tcPr>
            <w:tcW w:type="dxa" w:w="1987"/>
            <w:vAlign w:val="center"/>
            <w:tcMar>
              <w:top w:w="40" w:type="dxa"/>
              <w:start w:w="50" w:type="dxa"/>
              <w:bottom w:w="40" w:type="dxa"/>
              <w:end w:w="50" w:type="dxa"/>
            </w:tcMar>
          </w:tcPr>
          <w:p>
            <w:pPr>
              <w:spacing w:line="240" w:lineRule="auto" w:after="0"/>
            </w:pPr>
            <w:r>
              <w:rPr>
                <w:rFonts w:ascii="Arial" w:hAnsi="Arial"/>
                <w:sz w:val="17"/>
              </w:rPr>
              <w:t>Age, years</w:t>
            </w:r>
          </w:p>
        </w:tc>
        <w:tc>
          <w:tcPr>
            <w:tcW w:type="dxa" w:w="1987"/>
            <w:vAlign w:val="center"/>
            <w:tcMar>
              <w:top w:w="40" w:type="dxa"/>
              <w:start w:w="50" w:type="dxa"/>
              <w:bottom w:w="40" w:type="dxa"/>
              <w:end w:w="50" w:type="dxa"/>
            </w:tcMar>
          </w:tcPr>
          <w:p>
            <w:pPr>
              <w:spacing w:line="240" w:lineRule="auto" w:after="0"/>
            </w:pPr>
            <w:r>
              <w:rPr>
                <w:rFonts w:ascii="Arial" w:hAnsi="Arial"/>
                <w:sz w:val="17"/>
              </w:rPr>
              <w:t>38.7 (15.7); 36.0 [25.0-51.2]</w:t>
            </w:r>
          </w:p>
        </w:tc>
        <w:tc>
          <w:tcPr>
            <w:tcW w:type="dxa" w:w="1987"/>
            <w:vAlign w:val="center"/>
            <w:tcMar>
              <w:top w:w="40" w:type="dxa"/>
              <w:start w:w="50" w:type="dxa"/>
              <w:bottom w:w="40" w:type="dxa"/>
              <w:end w:w="50" w:type="dxa"/>
            </w:tcMar>
          </w:tcPr>
          <w:p>
            <w:pPr>
              <w:spacing w:line="240" w:lineRule="auto" w:after="0"/>
            </w:pPr>
            <w:r>
              <w:rPr>
                <w:rFonts w:ascii="Arial" w:hAnsi="Arial"/>
                <w:sz w:val="17"/>
              </w:rPr>
              <w:t>40.1 (18.8); 34.0 [24.0-53.0]</w:t>
            </w:r>
          </w:p>
        </w:tc>
        <w:tc>
          <w:tcPr>
            <w:tcW w:type="dxa" w:w="1987"/>
            <w:vAlign w:val="center"/>
            <w:tcMar>
              <w:top w:w="40" w:type="dxa"/>
              <w:start w:w="50" w:type="dxa"/>
              <w:bottom w:w="40" w:type="dxa"/>
              <w:end w:w="50" w:type="dxa"/>
            </w:tcMar>
          </w:tcPr>
          <w:p>
            <w:pPr>
              <w:spacing w:line="240" w:lineRule="auto" w:after="0"/>
            </w:pPr>
            <w:r>
              <w:rPr>
                <w:rFonts w:ascii="Arial" w:hAnsi="Arial"/>
                <w:sz w:val="17"/>
              </w:rPr>
              <w:t>-0.09</w:t>
            </w:r>
          </w:p>
        </w:tc>
        <w:tc>
          <w:tcPr>
            <w:tcW w:type="dxa" w:w="1987"/>
            <w:vAlign w:val="center"/>
            <w:tcMar>
              <w:top w:w="40" w:type="dxa"/>
              <w:start w:w="50" w:type="dxa"/>
              <w:bottom w:w="40" w:type="dxa"/>
              <w:end w:w="50" w:type="dxa"/>
            </w:tcMar>
          </w:tcPr>
          <w:p>
            <w:pPr>
              <w:spacing w:line="240" w:lineRule="auto" w:after="0"/>
            </w:pPr>
            <w:r>
              <w:rPr>
                <w:rFonts w:ascii="Arial" w:hAnsi="Arial"/>
                <w:sz w:val="17"/>
              </w:rPr>
              <w:t>0.853</w:t>
            </w:r>
          </w:p>
        </w:tc>
      </w:tr>
      <w:tr>
        <w:tc>
          <w:tcPr>
            <w:tcW w:type="dxa" w:w="1987"/>
            <w:vAlign w:val="center"/>
            <w:tcMar>
              <w:top w:w="40" w:type="dxa"/>
              <w:start w:w="50" w:type="dxa"/>
              <w:bottom w:w="40" w:type="dxa"/>
              <w:end w:w="50" w:type="dxa"/>
            </w:tcMar>
          </w:tcPr>
          <w:p>
            <w:pPr>
              <w:spacing w:line="240" w:lineRule="auto" w:after="0"/>
            </w:pPr>
            <w:r>
              <w:rPr>
                <w:rFonts w:ascii="Arial" w:hAnsi="Arial"/>
                <w:sz w:val="17"/>
              </w:rPr>
              <w:t>Total LOS, days</w:t>
            </w:r>
          </w:p>
        </w:tc>
        <w:tc>
          <w:tcPr>
            <w:tcW w:type="dxa" w:w="1987"/>
            <w:vAlign w:val="center"/>
            <w:tcMar>
              <w:top w:w="40" w:type="dxa"/>
              <w:start w:w="50" w:type="dxa"/>
              <w:bottom w:w="40" w:type="dxa"/>
              <w:end w:w="50" w:type="dxa"/>
            </w:tcMar>
          </w:tcPr>
          <w:p>
            <w:pPr>
              <w:spacing w:line="240" w:lineRule="auto" w:after="0"/>
            </w:pPr>
            <w:r>
              <w:rPr>
                <w:rFonts w:ascii="Arial" w:hAnsi="Arial"/>
                <w:sz w:val="17"/>
              </w:rPr>
              <w:t>24.2 (12.0); 22.0 [15.0-30.0]</w:t>
            </w:r>
          </w:p>
        </w:tc>
        <w:tc>
          <w:tcPr>
            <w:tcW w:type="dxa" w:w="1987"/>
            <w:vAlign w:val="center"/>
            <w:tcMar>
              <w:top w:w="40" w:type="dxa"/>
              <w:start w:w="50" w:type="dxa"/>
              <w:bottom w:w="40" w:type="dxa"/>
              <w:end w:w="50" w:type="dxa"/>
            </w:tcMar>
          </w:tcPr>
          <w:p>
            <w:pPr>
              <w:spacing w:line="240" w:lineRule="auto" w:after="0"/>
            </w:pPr>
            <w:r>
              <w:rPr>
                <w:rFonts w:ascii="Arial" w:hAnsi="Arial"/>
                <w:sz w:val="17"/>
              </w:rPr>
              <w:t>24.3 (10.5); 22.0 [18.5-29.0]</w:t>
            </w:r>
          </w:p>
        </w:tc>
        <w:tc>
          <w:tcPr>
            <w:tcW w:type="dxa" w:w="1987"/>
            <w:vAlign w:val="center"/>
            <w:tcMar>
              <w:top w:w="40" w:type="dxa"/>
              <w:start w:w="50" w:type="dxa"/>
              <w:bottom w:w="40" w:type="dxa"/>
              <w:end w:w="50" w:type="dxa"/>
            </w:tcMar>
          </w:tcPr>
          <w:p>
            <w:pPr>
              <w:spacing w:line="240" w:lineRule="auto" w:after="0"/>
            </w:pPr>
            <w:r>
              <w:rPr>
                <w:rFonts w:ascii="Arial" w:hAnsi="Arial"/>
                <w:sz w:val="17"/>
              </w:rPr>
              <w:t>-0.01</w:t>
            </w:r>
          </w:p>
        </w:tc>
        <w:tc>
          <w:tcPr>
            <w:tcW w:type="dxa" w:w="1987"/>
            <w:vAlign w:val="center"/>
            <w:tcMar>
              <w:top w:w="40" w:type="dxa"/>
              <w:start w:w="50" w:type="dxa"/>
              <w:bottom w:w="40" w:type="dxa"/>
              <w:end w:w="50" w:type="dxa"/>
            </w:tcMar>
          </w:tcPr>
          <w:p>
            <w:pPr>
              <w:spacing w:line="240" w:lineRule="auto" w:after="0"/>
            </w:pPr>
            <w:r>
              <w:rPr>
                <w:rFonts w:ascii="Arial" w:hAnsi="Arial"/>
                <w:sz w:val="17"/>
              </w:rPr>
              <w:t>0.533</w:t>
            </w:r>
          </w:p>
        </w:tc>
      </w:tr>
      <w:tr>
        <w:tc>
          <w:tcPr>
            <w:tcW w:type="dxa" w:w="1987"/>
            <w:vAlign w:val="center"/>
            <w:tcMar>
              <w:top w:w="40" w:type="dxa"/>
              <w:start w:w="50" w:type="dxa"/>
              <w:bottom w:w="40" w:type="dxa"/>
              <w:end w:w="50" w:type="dxa"/>
            </w:tcMar>
          </w:tcPr>
          <w:p>
            <w:pPr>
              <w:spacing w:line="240" w:lineRule="auto" w:after="0"/>
            </w:pPr>
            <w:r>
              <w:rPr>
                <w:rFonts w:ascii="Arial" w:hAnsi="Arial"/>
                <w:sz w:val="17"/>
              </w:rPr>
              <w:t>Female sex</w:t>
            </w:r>
          </w:p>
        </w:tc>
        <w:tc>
          <w:tcPr>
            <w:tcW w:type="dxa" w:w="1987"/>
            <w:vAlign w:val="center"/>
            <w:tcMar>
              <w:top w:w="40" w:type="dxa"/>
              <w:start w:w="50" w:type="dxa"/>
              <w:bottom w:w="40" w:type="dxa"/>
              <w:end w:w="50" w:type="dxa"/>
            </w:tcMar>
          </w:tcPr>
          <w:p>
            <w:pPr>
              <w:spacing w:line="240" w:lineRule="auto" w:after="0"/>
            </w:pPr>
            <w:r>
              <w:rPr>
                <w:rFonts w:ascii="Arial" w:hAnsi="Arial"/>
                <w:sz w:val="17"/>
              </w:rPr>
              <w:t>194 (74.6%)</w:t>
            </w:r>
          </w:p>
        </w:tc>
        <w:tc>
          <w:tcPr>
            <w:tcW w:type="dxa" w:w="1987"/>
            <w:vAlign w:val="center"/>
            <w:tcMar>
              <w:top w:w="40" w:type="dxa"/>
              <w:start w:w="50" w:type="dxa"/>
              <w:bottom w:w="40" w:type="dxa"/>
              <w:end w:w="50" w:type="dxa"/>
            </w:tcMar>
          </w:tcPr>
          <w:p>
            <w:pPr>
              <w:spacing w:line="240" w:lineRule="auto" w:after="0"/>
            </w:pPr>
            <w:r>
              <w:rPr>
                <w:rFonts w:ascii="Arial" w:hAnsi="Arial"/>
                <w:sz w:val="17"/>
              </w:rPr>
              <w:t>33 (84.6%)</w:t>
            </w:r>
          </w:p>
        </w:tc>
        <w:tc>
          <w:tcPr>
            <w:tcW w:type="dxa" w:w="1987"/>
            <w:vAlign w:val="center"/>
            <w:tcMar>
              <w:top w:w="40" w:type="dxa"/>
              <w:start w:w="50" w:type="dxa"/>
              <w:bottom w:w="40" w:type="dxa"/>
              <w:end w:w="50" w:type="dxa"/>
            </w:tcMar>
          </w:tcPr>
          <w:p>
            <w:pPr>
              <w:spacing w:line="240" w:lineRule="auto" w:after="0"/>
            </w:pPr>
            <w:r>
              <w:rPr>
                <w:rFonts w:ascii="Arial" w:hAnsi="Arial"/>
                <w:sz w:val="17"/>
              </w:rPr>
              <w:t>-0.25</w:t>
            </w:r>
          </w:p>
        </w:tc>
        <w:tc>
          <w:tcPr>
            <w:tcW w:type="dxa" w:w="1987"/>
            <w:vAlign w:val="center"/>
            <w:tcMar>
              <w:top w:w="40" w:type="dxa"/>
              <w:start w:w="50" w:type="dxa"/>
              <w:bottom w:w="40" w:type="dxa"/>
              <w:end w:w="50" w:type="dxa"/>
            </w:tcMar>
          </w:tcPr>
          <w:p>
            <w:pPr>
              <w:spacing w:line="240" w:lineRule="auto" w:after="0"/>
            </w:pPr>
            <w:r>
              <w:rPr>
                <w:rFonts w:ascii="Arial" w:hAnsi="Arial"/>
                <w:sz w:val="17"/>
              </w:rPr>
              <w:t>0.228</w:t>
            </w:r>
          </w:p>
        </w:tc>
      </w:tr>
      <w:tr>
        <w:tc>
          <w:tcPr>
            <w:tcW w:type="dxa" w:w="1987"/>
            <w:vAlign w:val="center"/>
            <w:tcMar>
              <w:top w:w="40" w:type="dxa"/>
              <w:start w:w="50" w:type="dxa"/>
              <w:bottom w:w="40" w:type="dxa"/>
              <w:end w:w="50" w:type="dxa"/>
            </w:tcMar>
          </w:tcPr>
          <w:p>
            <w:pPr>
              <w:spacing w:line="240" w:lineRule="auto" w:after="0"/>
            </w:pPr>
            <w:r>
              <w:rPr>
                <w:rFonts w:ascii="Arial" w:hAnsi="Arial"/>
                <w:sz w:val="17"/>
              </w:rPr>
              <w:t>Episode severity</w:t>
            </w:r>
          </w:p>
        </w:tc>
        <w:tc>
          <w:tcPr>
            <w:tcW w:type="dxa" w:w="1987"/>
            <w:vAlign w:val="center"/>
            <w:tcMar>
              <w:top w:w="40" w:type="dxa"/>
              <w:start w:w="50" w:type="dxa"/>
              <w:bottom w:w="40" w:type="dxa"/>
              <w:end w:w="50" w:type="dxa"/>
            </w:tcMar>
          </w:tcPr>
          <w:p>
            <w:pPr>
              <w:spacing w:line="240" w:lineRule="auto" w:after="0"/>
            </w:pPr>
            <w:r>
              <w:rPr>
                <w:rFonts w:ascii="Arial" w:hAnsi="Arial"/>
                <w:sz w:val="17"/>
              </w:rPr>
              <w:t>Mild 25 (9.6%); moderate 182 (70.0%); severe 53 (20.4%)</w:t>
            </w:r>
          </w:p>
        </w:tc>
        <w:tc>
          <w:tcPr>
            <w:tcW w:type="dxa" w:w="1987"/>
            <w:vAlign w:val="center"/>
            <w:tcMar>
              <w:top w:w="40" w:type="dxa"/>
              <w:start w:w="50" w:type="dxa"/>
              <w:bottom w:w="40" w:type="dxa"/>
              <w:end w:w="50" w:type="dxa"/>
            </w:tcMar>
          </w:tcPr>
          <w:p>
            <w:pPr>
              <w:spacing w:line="240" w:lineRule="auto" w:after="0"/>
            </w:pPr>
            <w:r>
              <w:rPr>
                <w:rFonts w:ascii="Arial" w:hAnsi="Arial"/>
                <w:sz w:val="17"/>
              </w:rPr>
              <w:t>Mild 2 (5.1%); moderate 29 (74.4%); severe 8 (20.5%)</w:t>
            </w:r>
          </w:p>
        </w:tc>
        <w:tc>
          <w:tcPr>
            <w:tcW w:type="dxa" w:w="1987"/>
            <w:vAlign w:val="center"/>
            <w:tcMar>
              <w:top w:w="40" w:type="dxa"/>
              <w:start w:w="50" w:type="dxa"/>
              <w:bottom w:w="40" w:type="dxa"/>
              <w:end w:w="50" w:type="dxa"/>
            </w:tcMar>
          </w:tcPr>
          <w:p>
            <w:pPr>
              <w:spacing w:line="240" w:lineRule="auto" w:after="0"/>
            </w:pPr>
            <w:r>
              <w:rPr>
                <w:rFonts w:ascii="Arial" w:hAnsi="Arial"/>
                <w:sz w:val="17"/>
              </w:rPr>
              <w:t>-</w:t>
            </w:r>
          </w:p>
        </w:tc>
        <w:tc>
          <w:tcPr>
            <w:tcW w:type="dxa" w:w="1987"/>
            <w:vAlign w:val="center"/>
            <w:tcMar>
              <w:top w:w="40" w:type="dxa"/>
              <w:start w:w="50" w:type="dxa"/>
              <w:bottom w:w="40" w:type="dxa"/>
              <w:end w:w="50" w:type="dxa"/>
            </w:tcMar>
          </w:tcPr>
          <w:p>
            <w:pPr>
              <w:spacing w:line="240" w:lineRule="auto" w:after="0"/>
            </w:pPr>
            <w:r>
              <w:rPr>
                <w:rFonts w:ascii="Arial" w:hAnsi="Arial"/>
                <w:sz w:val="17"/>
              </w:rPr>
              <w:t>0.655</w:t>
            </w:r>
          </w:p>
        </w:tc>
      </w:tr>
    </w:tbl>
    <w:p>
      <w:r>
        <w:rPr>
          <w:i/>
          <w:sz w:val="17"/>
        </w:rPr>
        <w:t>Note. Values are mean (SD); median [IQR], or n (%). LOS, length of stay; SMD, standardized mean difference. Landmark-eligible admissions had at least three valid actigraphy days within inpatient days 1-7. Five patients contributed a later eligible admission; the independent-patient primary cohort retained the earliest eligible admission and comprised 255 unique patients. P values are unadjusted two-sided descriptive comparisons and were not used to determine eligibility.</w:t>
      </w:r>
    </w:p>
    <w:p>
      <w:r>
        <w:rPr>
          <w:b/>
          <w:sz w:val="21"/>
        </w:rPr>
        <w:t>Supplementary Table S2. Activity-measure selection framework</w:t>
      </w:r>
    </w:p>
    <w:tbl>
      <w:tblPr>
        <w:tblStyle w:val="TableGrid"/>
        <w:tblW w:type="auto" w:w="0"/>
        <w:jc w:val="center"/>
        <w:tblLook w:firstColumn="1" w:firstRow="1" w:lastColumn="0" w:lastRow="0" w:noHBand="0" w:noVBand="1" w:val="04A0"/>
      </w:tblPr>
      <w:tblGrid>
        <w:gridCol w:w="2484"/>
        <w:gridCol w:w="2484"/>
        <w:gridCol w:w="2484"/>
        <w:gridCol w:w="2484"/>
      </w:tblGrid>
      <w:tr>
        <w:trPr>
          <w:tblHeader w:val="true"/>
        </w:trPr>
        <w:tc>
          <w:tcPr>
            <w:tcW w:type="dxa" w:w="2484"/>
            <w:vAlign w:val="center"/>
            <w:tcMar>
              <w:top w:w="40" w:type="dxa"/>
              <w:start w:w="50" w:type="dxa"/>
              <w:bottom w:w="40" w:type="dxa"/>
              <w:end w:w="50" w:type="dxa"/>
            </w:tcMar>
          </w:tcPr>
          <w:p>
            <w:pPr>
              <w:spacing w:line="240" w:lineRule="auto" w:after="0"/>
              <w:jc w:val="center"/>
            </w:pPr>
            <w:r>
              <w:rPr>
                <w:rFonts w:ascii="Arial" w:hAnsi="Arial"/>
                <w:b/>
                <w:sz w:val="17"/>
              </w:rPr>
              <w:t>Device output</w:t>
            </w:r>
          </w:p>
        </w:tc>
        <w:tc>
          <w:tcPr>
            <w:tcW w:type="dxa" w:w="2484"/>
            <w:vAlign w:val="center"/>
            <w:tcMar>
              <w:top w:w="40" w:type="dxa"/>
              <w:start w:w="50" w:type="dxa"/>
              <w:bottom w:w="40" w:type="dxa"/>
              <w:end w:w="50" w:type="dxa"/>
            </w:tcMar>
          </w:tcPr>
          <w:p>
            <w:pPr>
              <w:spacing w:line="240" w:lineRule="auto" w:after="0"/>
              <w:jc w:val="center"/>
            </w:pPr>
            <w:r>
              <w:rPr>
                <w:rFonts w:ascii="Arial" w:hAnsi="Arial"/>
                <w:b/>
                <w:sz w:val="17"/>
              </w:rPr>
              <w:t>Measurement domain</w:t>
            </w:r>
          </w:p>
        </w:tc>
        <w:tc>
          <w:tcPr>
            <w:tcW w:type="dxa" w:w="2484"/>
            <w:vAlign w:val="center"/>
            <w:tcMar>
              <w:top w:w="40" w:type="dxa"/>
              <w:start w:w="50" w:type="dxa"/>
              <w:bottom w:w="40" w:type="dxa"/>
              <w:end w:w="50" w:type="dxa"/>
            </w:tcMar>
          </w:tcPr>
          <w:p>
            <w:pPr>
              <w:spacing w:line="240" w:lineRule="auto" w:after="0"/>
              <w:jc w:val="center"/>
            </w:pPr>
            <w:r>
              <w:rPr>
                <w:rFonts w:ascii="Arial" w:hAnsi="Arial"/>
                <w:b/>
                <w:sz w:val="17"/>
              </w:rPr>
              <w:t>Final role</w:t>
            </w:r>
          </w:p>
        </w:tc>
        <w:tc>
          <w:tcPr>
            <w:tcW w:type="dxa" w:w="2484"/>
            <w:vAlign w:val="center"/>
            <w:tcMar>
              <w:top w:w="40" w:type="dxa"/>
              <w:start w:w="50" w:type="dxa"/>
              <w:bottom w:w="40" w:type="dxa"/>
              <w:end w:w="50" w:type="dxa"/>
            </w:tcMar>
          </w:tcPr>
          <w:p>
            <w:pPr>
              <w:spacing w:line="240" w:lineRule="auto" w:after="0"/>
              <w:jc w:val="center"/>
            </w:pPr>
            <w:r>
              <w:rPr>
                <w:rFonts w:ascii="Arial" w:hAnsi="Arial"/>
                <w:b/>
                <w:sz w:val="17"/>
              </w:rPr>
              <w:t>Rationale</w:t>
            </w:r>
          </w:p>
        </w:tc>
      </w:tr>
      <w:tr>
        <w:tc>
          <w:tcPr>
            <w:tcW w:type="dxa" w:w="2484"/>
            <w:vAlign w:val="center"/>
            <w:tcMar>
              <w:top w:w="40" w:type="dxa"/>
              <w:start w:w="50" w:type="dxa"/>
              <w:bottom w:w="40" w:type="dxa"/>
              <w:end w:w="50" w:type="dxa"/>
            </w:tcMar>
          </w:tcPr>
          <w:p>
            <w:pPr>
              <w:spacing w:line="240" w:lineRule="auto" w:after="0"/>
            </w:pPr>
            <w:r>
              <w:rPr>
                <w:rFonts w:ascii="Arial" w:hAnsi="Arial"/>
                <w:sz w:val="17"/>
              </w:rPr>
              <w:t>VM/min</w:t>
            </w:r>
          </w:p>
        </w:tc>
        <w:tc>
          <w:tcPr>
            <w:tcW w:type="dxa" w:w="2484"/>
            <w:vAlign w:val="center"/>
            <w:tcMar>
              <w:top w:w="40" w:type="dxa"/>
              <w:start w:w="50" w:type="dxa"/>
              <w:bottom w:w="40" w:type="dxa"/>
              <w:end w:w="50" w:type="dxa"/>
            </w:tcMar>
          </w:tcPr>
          <w:p>
            <w:pPr>
              <w:spacing w:line="240" w:lineRule="auto" w:after="0"/>
            </w:pPr>
            <w:r>
              <w:rPr>
                <w:rFonts w:ascii="Arial" w:hAnsi="Arial"/>
                <w:sz w:val="17"/>
              </w:rPr>
              <w:t>Overall triaxial movement</w:t>
            </w:r>
          </w:p>
        </w:tc>
        <w:tc>
          <w:tcPr>
            <w:tcW w:type="dxa" w:w="2484"/>
            <w:vAlign w:val="center"/>
            <w:tcMar>
              <w:top w:w="40" w:type="dxa"/>
              <w:start w:w="50" w:type="dxa"/>
              <w:bottom w:w="40" w:type="dxa"/>
              <w:end w:w="50" w:type="dxa"/>
            </w:tcMar>
          </w:tcPr>
          <w:p>
            <w:pPr>
              <w:spacing w:line="240" w:lineRule="auto" w:after="0"/>
            </w:pPr>
            <w:r>
              <w:rPr>
                <w:rFonts w:ascii="Arial" w:hAnsi="Arial"/>
                <w:sz w:val="17"/>
              </w:rPr>
              <w:t>Principal</w:t>
            </w:r>
          </w:p>
        </w:tc>
        <w:tc>
          <w:tcPr>
            <w:tcW w:type="dxa" w:w="2484"/>
            <w:vAlign w:val="center"/>
            <w:tcMar>
              <w:top w:w="40" w:type="dxa"/>
              <w:start w:w="50" w:type="dxa"/>
              <w:bottom w:w="40" w:type="dxa"/>
              <w:end w:w="50" w:type="dxa"/>
            </w:tcMar>
          </w:tcPr>
          <w:p>
            <w:pPr>
              <w:spacing w:line="240" w:lineRule="auto" w:after="0"/>
            </w:pPr>
            <w:r>
              <w:rPr>
                <w:rFonts w:ascii="Arial" w:hAnsi="Arial"/>
                <w:sz w:val="17"/>
              </w:rPr>
              <w:t>Uses the full triaxial count signal and does not depend on adult intensity cut-point classification.</w:t>
            </w:r>
          </w:p>
        </w:tc>
      </w:tr>
      <w:tr>
        <w:tc>
          <w:tcPr>
            <w:tcW w:type="dxa" w:w="2484"/>
            <w:vAlign w:val="center"/>
            <w:tcMar>
              <w:top w:w="40" w:type="dxa"/>
              <w:start w:w="50" w:type="dxa"/>
              <w:bottom w:w="40" w:type="dxa"/>
              <w:end w:w="50" w:type="dxa"/>
            </w:tcMar>
          </w:tcPr>
          <w:p>
            <w:pPr>
              <w:spacing w:line="240" w:lineRule="auto" w:after="0"/>
            </w:pPr>
            <w:r>
              <w:rPr>
                <w:rFonts w:ascii="Arial" w:hAnsi="Arial"/>
                <w:sz w:val="17"/>
              </w:rPr>
              <w:t>Steps/hour</w:t>
            </w:r>
          </w:p>
        </w:tc>
        <w:tc>
          <w:tcPr>
            <w:tcW w:type="dxa" w:w="2484"/>
            <w:vAlign w:val="center"/>
            <w:tcMar>
              <w:top w:w="40" w:type="dxa"/>
              <w:start w:w="50" w:type="dxa"/>
              <w:bottom w:w="40" w:type="dxa"/>
              <w:end w:w="50" w:type="dxa"/>
            </w:tcMar>
          </w:tcPr>
          <w:p>
            <w:pPr>
              <w:spacing w:line="240" w:lineRule="auto" w:after="0"/>
            </w:pPr>
            <w:r>
              <w:rPr>
                <w:rFonts w:ascii="Arial" w:hAnsi="Arial"/>
                <w:sz w:val="17"/>
              </w:rPr>
              <w:t>Ambulatory activity</w:t>
            </w:r>
          </w:p>
        </w:tc>
        <w:tc>
          <w:tcPr>
            <w:tcW w:type="dxa" w:w="2484"/>
            <w:vAlign w:val="center"/>
            <w:tcMar>
              <w:top w:w="40" w:type="dxa"/>
              <w:start w:w="50" w:type="dxa"/>
              <w:bottom w:w="40" w:type="dxa"/>
              <w:end w:w="50" w:type="dxa"/>
            </w:tcMar>
          </w:tcPr>
          <w:p>
            <w:pPr>
              <w:spacing w:line="240" w:lineRule="auto" w:after="0"/>
            </w:pPr>
            <w:r>
              <w:rPr>
                <w:rFonts w:ascii="Arial" w:hAnsi="Arial"/>
                <w:sz w:val="17"/>
              </w:rPr>
              <w:t>Supporting</w:t>
            </w:r>
          </w:p>
        </w:tc>
        <w:tc>
          <w:tcPr>
            <w:tcW w:type="dxa" w:w="2484"/>
            <w:vAlign w:val="center"/>
            <w:tcMar>
              <w:top w:w="40" w:type="dxa"/>
              <w:start w:w="50" w:type="dxa"/>
              <w:bottom w:w="40" w:type="dxa"/>
              <w:end w:w="50" w:type="dxa"/>
            </w:tcMar>
          </w:tcPr>
          <w:p>
            <w:pPr>
              <w:spacing w:line="240" w:lineRule="auto" w:after="0"/>
            </w:pPr>
            <w:r>
              <w:rPr>
                <w:rFonts w:ascii="Arial" w:hAnsi="Arial"/>
                <w:sz w:val="17"/>
              </w:rPr>
              <w:t>Clinically interpretable measure of walking and ward mobility, normalized for wear duration.</w:t>
            </w:r>
          </w:p>
        </w:tc>
      </w:tr>
      <w:tr>
        <w:tc>
          <w:tcPr>
            <w:tcW w:type="dxa" w:w="2484"/>
            <w:vAlign w:val="center"/>
            <w:tcMar>
              <w:top w:w="40" w:type="dxa"/>
              <w:start w:w="50" w:type="dxa"/>
              <w:bottom w:w="40" w:type="dxa"/>
              <w:end w:w="50" w:type="dxa"/>
            </w:tcMar>
          </w:tcPr>
          <w:p>
            <w:pPr>
              <w:spacing w:line="240" w:lineRule="auto" w:after="0"/>
            </w:pPr>
            <w:r>
              <w:rPr>
                <w:rFonts w:ascii="Arial" w:hAnsi="Arial"/>
                <w:sz w:val="17"/>
              </w:rPr>
              <w:t>Moderate activity, %</w:t>
            </w:r>
          </w:p>
        </w:tc>
        <w:tc>
          <w:tcPr>
            <w:tcW w:type="dxa" w:w="2484"/>
            <w:vAlign w:val="center"/>
            <w:tcMar>
              <w:top w:w="40" w:type="dxa"/>
              <w:start w:w="50" w:type="dxa"/>
              <w:bottom w:w="40" w:type="dxa"/>
              <w:end w:w="50" w:type="dxa"/>
            </w:tcMar>
          </w:tcPr>
          <w:p>
            <w:pPr>
              <w:spacing w:line="240" w:lineRule="auto" w:after="0"/>
            </w:pPr>
            <w:r>
              <w:rPr>
                <w:rFonts w:ascii="Arial" w:hAnsi="Arial"/>
                <w:sz w:val="17"/>
              </w:rPr>
              <w:t>Report-derived activity-intensity classification</w:t>
            </w:r>
          </w:p>
        </w:tc>
        <w:tc>
          <w:tcPr>
            <w:tcW w:type="dxa" w:w="2484"/>
            <w:vAlign w:val="center"/>
            <w:tcMar>
              <w:top w:w="40" w:type="dxa"/>
              <w:start w:w="50" w:type="dxa"/>
              <w:bottom w:w="40" w:type="dxa"/>
              <w:end w:w="50" w:type="dxa"/>
            </w:tcMar>
          </w:tcPr>
          <w:p>
            <w:pPr>
              <w:spacing w:line="240" w:lineRule="auto" w:after="0"/>
            </w:pPr>
            <w:r>
              <w:rPr>
                <w:rFonts w:ascii="Arial" w:hAnsi="Arial"/>
                <w:sz w:val="17"/>
              </w:rPr>
              <w:t>Supporting</w:t>
            </w:r>
          </w:p>
        </w:tc>
        <w:tc>
          <w:tcPr>
            <w:tcW w:type="dxa" w:w="2484"/>
            <w:vAlign w:val="center"/>
            <w:tcMar>
              <w:top w:w="40" w:type="dxa"/>
              <w:start w:w="50" w:type="dxa"/>
              <w:bottom w:w="40" w:type="dxa"/>
              <w:end w:w="50" w:type="dxa"/>
            </w:tcMar>
          </w:tcPr>
          <w:p>
            <w:pPr>
              <w:spacing w:line="240" w:lineRule="auto" w:after="0"/>
            </w:pPr>
            <w:r>
              <w:rPr>
                <w:rFonts w:ascii="Arial" w:hAnsi="Arial"/>
                <w:sz w:val="17"/>
              </w:rPr>
              <w:t>Provides an algorithm-derived higher-intensity activity dimension; interpreted as device-derived rather than a precise physiological intensity estimate.</w:t>
            </w:r>
          </w:p>
        </w:tc>
      </w:tr>
      <w:tr>
        <w:tc>
          <w:tcPr>
            <w:tcW w:type="dxa" w:w="2484"/>
            <w:vAlign w:val="center"/>
            <w:tcMar>
              <w:top w:w="40" w:type="dxa"/>
              <w:start w:w="50" w:type="dxa"/>
              <w:bottom w:w="40" w:type="dxa"/>
              <w:end w:w="50" w:type="dxa"/>
            </w:tcMar>
          </w:tcPr>
          <w:p>
            <w:pPr>
              <w:spacing w:line="240" w:lineRule="auto" w:after="0"/>
            </w:pPr>
            <w:r>
              <w:rPr>
                <w:rFonts w:ascii="Arial" w:hAnsi="Arial"/>
                <w:sz w:val="17"/>
              </w:rPr>
              <w:t>Sedentary, %</w:t>
            </w:r>
          </w:p>
        </w:tc>
        <w:tc>
          <w:tcPr>
            <w:tcW w:type="dxa" w:w="2484"/>
            <w:vAlign w:val="center"/>
            <w:tcMar>
              <w:top w:w="40" w:type="dxa"/>
              <w:start w:w="50" w:type="dxa"/>
              <w:bottom w:w="40" w:type="dxa"/>
              <w:end w:w="50" w:type="dxa"/>
            </w:tcMar>
          </w:tcPr>
          <w:p>
            <w:pPr>
              <w:spacing w:line="240" w:lineRule="auto" w:after="0"/>
            </w:pPr>
            <w:r>
              <w:rPr>
                <w:rFonts w:ascii="Arial" w:hAnsi="Arial"/>
                <w:sz w:val="17"/>
              </w:rPr>
              <w:t>Report-derived low-activity classification</w:t>
            </w:r>
          </w:p>
        </w:tc>
        <w:tc>
          <w:tcPr>
            <w:tcW w:type="dxa" w:w="2484"/>
            <w:vAlign w:val="center"/>
            <w:tcMar>
              <w:top w:w="40" w:type="dxa"/>
              <w:start w:w="50" w:type="dxa"/>
              <w:bottom w:w="40" w:type="dxa"/>
              <w:end w:w="50" w:type="dxa"/>
            </w:tcMar>
          </w:tcPr>
          <w:p>
            <w:pPr>
              <w:spacing w:line="240" w:lineRule="auto" w:after="0"/>
            </w:pPr>
            <w:r>
              <w:rPr>
                <w:rFonts w:ascii="Arial" w:hAnsi="Arial"/>
                <w:sz w:val="17"/>
              </w:rPr>
              <w:t>Secondary</w:t>
            </w:r>
          </w:p>
        </w:tc>
        <w:tc>
          <w:tcPr>
            <w:tcW w:type="dxa" w:w="2484"/>
            <w:vAlign w:val="center"/>
            <w:tcMar>
              <w:top w:w="40" w:type="dxa"/>
              <w:start w:w="50" w:type="dxa"/>
              <w:bottom w:w="40" w:type="dxa"/>
              <w:end w:w="50" w:type="dxa"/>
            </w:tcMar>
          </w:tcPr>
          <w:p>
            <w:pPr>
              <w:spacing w:line="240" w:lineRule="auto" w:after="0"/>
            </w:pPr>
            <w:r>
              <w:rPr>
                <w:rFonts w:ascii="Arial" w:hAnsi="Arial"/>
                <w:sz w:val="17"/>
              </w:rPr>
              <w:t>Provides a low-activity contrast; sleep-classified periods were not removed and the measure was not interpreted as waking sedentary behavior.</w:t>
            </w:r>
          </w:p>
        </w:tc>
      </w:tr>
      <w:tr>
        <w:tc>
          <w:tcPr>
            <w:tcW w:type="dxa" w:w="2484"/>
            <w:vAlign w:val="center"/>
            <w:tcMar>
              <w:top w:w="40" w:type="dxa"/>
              <w:start w:w="50" w:type="dxa"/>
              <w:bottom w:w="40" w:type="dxa"/>
              <w:end w:w="50" w:type="dxa"/>
            </w:tcMar>
          </w:tcPr>
          <w:p>
            <w:pPr>
              <w:spacing w:line="240" w:lineRule="auto" w:after="0"/>
            </w:pPr>
            <w:r>
              <w:rPr>
                <w:rFonts w:ascii="Arial" w:hAnsi="Arial"/>
                <w:sz w:val="17"/>
              </w:rPr>
              <w:t>Axis 1 counts/min</w:t>
            </w:r>
          </w:p>
        </w:tc>
        <w:tc>
          <w:tcPr>
            <w:tcW w:type="dxa" w:w="2484"/>
            <w:vAlign w:val="center"/>
            <w:tcMar>
              <w:top w:w="40" w:type="dxa"/>
              <w:start w:w="50" w:type="dxa"/>
              <w:bottom w:w="40" w:type="dxa"/>
              <w:end w:w="50" w:type="dxa"/>
            </w:tcMar>
          </w:tcPr>
          <w:p>
            <w:pPr>
              <w:spacing w:line="240" w:lineRule="auto" w:after="0"/>
            </w:pPr>
            <w:r>
              <w:rPr>
                <w:rFonts w:ascii="Arial" w:hAnsi="Arial"/>
                <w:sz w:val="17"/>
              </w:rPr>
              <w:t>Uniaxial movement</w:t>
            </w:r>
          </w:p>
        </w:tc>
        <w:tc>
          <w:tcPr>
            <w:tcW w:type="dxa" w:w="2484"/>
            <w:vAlign w:val="center"/>
            <w:tcMar>
              <w:top w:w="40" w:type="dxa"/>
              <w:start w:w="50" w:type="dxa"/>
              <w:bottom w:w="40" w:type="dxa"/>
              <w:end w:w="50" w:type="dxa"/>
            </w:tcMar>
          </w:tcPr>
          <w:p>
            <w:pPr>
              <w:spacing w:line="240" w:lineRule="auto" w:after="0"/>
            </w:pPr>
            <w:r>
              <w:rPr>
                <w:rFonts w:ascii="Arial" w:hAnsi="Arial"/>
                <w:sz w:val="17"/>
              </w:rPr>
              <w:t>Not modeled</w:t>
            </w:r>
          </w:p>
        </w:tc>
        <w:tc>
          <w:tcPr>
            <w:tcW w:type="dxa" w:w="2484"/>
            <w:vAlign w:val="center"/>
            <w:tcMar>
              <w:top w:w="40" w:type="dxa"/>
              <w:start w:w="50" w:type="dxa"/>
              <w:bottom w:w="40" w:type="dxa"/>
              <w:end w:w="50" w:type="dxa"/>
            </w:tcMar>
          </w:tcPr>
          <w:p>
            <w:pPr>
              <w:spacing w:line="240" w:lineRule="auto" w:after="0"/>
            </w:pPr>
            <w:r>
              <w:rPr>
                <w:rFonts w:ascii="Arial" w:hAnsi="Arial"/>
                <w:sz w:val="17"/>
              </w:rPr>
              <w:t>Near-perfect overlap with VM/min and little independent information.</w:t>
            </w:r>
          </w:p>
        </w:tc>
      </w:tr>
      <w:tr>
        <w:tc>
          <w:tcPr>
            <w:tcW w:type="dxa" w:w="2484"/>
            <w:vAlign w:val="center"/>
            <w:tcMar>
              <w:top w:w="40" w:type="dxa"/>
              <w:start w:w="50" w:type="dxa"/>
              <w:bottom w:w="40" w:type="dxa"/>
              <w:end w:w="50" w:type="dxa"/>
            </w:tcMar>
          </w:tcPr>
          <w:p>
            <w:pPr>
              <w:spacing w:line="240" w:lineRule="auto" w:after="0"/>
            </w:pPr>
            <w:r>
              <w:rPr>
                <w:rFonts w:ascii="Arial" w:hAnsi="Arial"/>
                <w:sz w:val="17"/>
              </w:rPr>
              <w:t>METs</w:t>
            </w:r>
          </w:p>
        </w:tc>
        <w:tc>
          <w:tcPr>
            <w:tcW w:type="dxa" w:w="2484"/>
            <w:vAlign w:val="center"/>
            <w:tcMar>
              <w:top w:w="40" w:type="dxa"/>
              <w:start w:w="50" w:type="dxa"/>
              <w:bottom w:w="40" w:type="dxa"/>
              <w:end w:w="50" w:type="dxa"/>
            </w:tcMar>
          </w:tcPr>
          <w:p>
            <w:pPr>
              <w:spacing w:line="240" w:lineRule="auto" w:after="0"/>
            </w:pPr>
            <w:r>
              <w:rPr>
                <w:rFonts w:ascii="Arial" w:hAnsi="Arial"/>
                <w:sz w:val="17"/>
              </w:rPr>
              <w:t>Estimated intensity</w:t>
            </w:r>
          </w:p>
        </w:tc>
        <w:tc>
          <w:tcPr>
            <w:tcW w:type="dxa" w:w="2484"/>
            <w:vAlign w:val="center"/>
            <w:tcMar>
              <w:top w:w="40" w:type="dxa"/>
              <w:start w:w="50" w:type="dxa"/>
              <w:bottom w:w="40" w:type="dxa"/>
              <w:end w:w="50" w:type="dxa"/>
            </w:tcMar>
          </w:tcPr>
          <w:p>
            <w:pPr>
              <w:spacing w:line="240" w:lineRule="auto" w:after="0"/>
            </w:pPr>
            <w:r>
              <w:rPr>
                <w:rFonts w:ascii="Arial" w:hAnsi="Arial"/>
                <w:sz w:val="17"/>
              </w:rPr>
              <w:t>Not prioritized</w:t>
            </w:r>
          </w:p>
        </w:tc>
        <w:tc>
          <w:tcPr>
            <w:tcW w:type="dxa" w:w="2484"/>
            <w:vAlign w:val="center"/>
            <w:tcMar>
              <w:top w:w="40" w:type="dxa"/>
              <w:start w:w="50" w:type="dxa"/>
              <w:bottom w:w="40" w:type="dxa"/>
              <w:end w:w="50" w:type="dxa"/>
            </w:tcMar>
          </w:tcPr>
          <w:p>
            <w:pPr>
              <w:spacing w:line="240" w:lineRule="auto" w:after="0"/>
            </w:pPr>
            <w:r>
              <w:rPr>
                <w:rFonts w:ascii="Arial" w:hAnsi="Arial"/>
                <w:sz w:val="17"/>
              </w:rPr>
              <w:t>Derived from adult calibration algorithms and overlaps with the intensity classifications.</w:t>
            </w:r>
          </w:p>
        </w:tc>
      </w:tr>
      <w:tr>
        <w:tc>
          <w:tcPr>
            <w:tcW w:type="dxa" w:w="2484"/>
            <w:vAlign w:val="center"/>
            <w:tcMar>
              <w:top w:w="40" w:type="dxa"/>
              <w:start w:w="50" w:type="dxa"/>
              <w:bottom w:w="40" w:type="dxa"/>
              <w:end w:w="50" w:type="dxa"/>
            </w:tcMar>
          </w:tcPr>
          <w:p>
            <w:pPr>
              <w:spacing w:line="240" w:lineRule="auto" w:after="0"/>
            </w:pPr>
            <w:r>
              <w:rPr>
                <w:rFonts w:ascii="Arial" w:hAnsi="Arial"/>
                <w:sz w:val="17"/>
              </w:rPr>
              <w:t>Activity kcal outputs</w:t>
            </w:r>
          </w:p>
        </w:tc>
        <w:tc>
          <w:tcPr>
            <w:tcW w:type="dxa" w:w="2484"/>
            <w:vAlign w:val="center"/>
            <w:tcMar>
              <w:top w:w="40" w:type="dxa"/>
              <w:start w:w="50" w:type="dxa"/>
              <w:bottom w:w="40" w:type="dxa"/>
              <w:end w:w="50" w:type="dxa"/>
            </w:tcMar>
          </w:tcPr>
          <w:p>
            <w:pPr>
              <w:spacing w:line="240" w:lineRule="auto" w:after="0"/>
            </w:pPr>
            <w:r>
              <w:rPr>
                <w:rFonts w:ascii="Arial" w:hAnsi="Arial"/>
                <w:sz w:val="17"/>
              </w:rPr>
              <w:t>Estimated energy expenditure</w:t>
            </w:r>
          </w:p>
        </w:tc>
        <w:tc>
          <w:tcPr>
            <w:tcW w:type="dxa" w:w="2484"/>
            <w:vAlign w:val="center"/>
            <w:tcMar>
              <w:top w:w="40" w:type="dxa"/>
              <w:start w:w="50" w:type="dxa"/>
              <w:bottom w:w="40" w:type="dxa"/>
              <w:end w:w="50" w:type="dxa"/>
            </w:tcMar>
          </w:tcPr>
          <w:p>
            <w:pPr>
              <w:spacing w:line="240" w:lineRule="auto" w:after="0"/>
            </w:pPr>
            <w:r>
              <w:rPr>
                <w:rFonts w:ascii="Arial" w:hAnsi="Arial"/>
                <w:sz w:val="17"/>
              </w:rPr>
              <w:t>Not prioritized</w:t>
            </w:r>
          </w:p>
        </w:tc>
        <w:tc>
          <w:tcPr>
            <w:tcW w:type="dxa" w:w="2484"/>
            <w:vAlign w:val="center"/>
            <w:tcMar>
              <w:top w:w="40" w:type="dxa"/>
              <w:start w:w="50" w:type="dxa"/>
              <w:bottom w:w="40" w:type="dxa"/>
              <w:end w:w="50" w:type="dxa"/>
            </w:tcMar>
          </w:tcPr>
          <w:p>
            <w:pPr>
              <w:spacing w:line="240" w:lineRule="auto" w:after="0"/>
            </w:pPr>
            <w:r>
              <w:rPr>
                <w:rFonts w:ascii="Arial" w:hAnsi="Arial"/>
                <w:sz w:val="17"/>
              </w:rPr>
              <w:t>Multiple outputs were transformations of the same estimated energy-expenditure signal.</w:t>
            </w:r>
          </w:p>
        </w:tc>
      </w:tr>
      <w:tr>
        <w:tc>
          <w:tcPr>
            <w:tcW w:type="dxa" w:w="2484"/>
            <w:vAlign w:val="center"/>
            <w:tcMar>
              <w:top w:w="40" w:type="dxa"/>
              <w:start w:w="50" w:type="dxa"/>
              <w:bottom w:w="40" w:type="dxa"/>
              <w:end w:w="50" w:type="dxa"/>
            </w:tcMar>
          </w:tcPr>
          <w:p>
            <w:pPr>
              <w:spacing w:line="240" w:lineRule="auto" w:after="0"/>
            </w:pPr>
            <w:r>
              <w:rPr>
                <w:rFonts w:ascii="Arial" w:hAnsi="Arial"/>
                <w:sz w:val="17"/>
              </w:rPr>
              <w:t>Light/vigorous activity, %</w:t>
            </w:r>
          </w:p>
        </w:tc>
        <w:tc>
          <w:tcPr>
            <w:tcW w:type="dxa" w:w="2484"/>
            <w:vAlign w:val="center"/>
            <w:tcMar>
              <w:top w:w="40" w:type="dxa"/>
              <w:start w:w="50" w:type="dxa"/>
              <w:bottom w:w="40" w:type="dxa"/>
              <w:end w:w="50" w:type="dxa"/>
            </w:tcMar>
          </w:tcPr>
          <w:p>
            <w:pPr>
              <w:spacing w:line="240" w:lineRule="auto" w:after="0"/>
            </w:pPr>
            <w:r>
              <w:rPr>
                <w:rFonts w:ascii="Arial" w:hAnsi="Arial"/>
                <w:sz w:val="17"/>
              </w:rPr>
              <w:t>Intensity composition</w:t>
            </w:r>
          </w:p>
        </w:tc>
        <w:tc>
          <w:tcPr>
            <w:tcW w:type="dxa" w:w="2484"/>
            <w:vAlign w:val="center"/>
            <w:tcMar>
              <w:top w:w="40" w:type="dxa"/>
              <w:start w:w="50" w:type="dxa"/>
              <w:bottom w:w="40" w:type="dxa"/>
              <w:end w:w="50" w:type="dxa"/>
            </w:tcMar>
          </w:tcPr>
          <w:p>
            <w:pPr>
              <w:spacing w:line="240" w:lineRule="auto" w:after="0"/>
            </w:pPr>
            <w:r>
              <w:rPr>
                <w:rFonts w:ascii="Arial" w:hAnsi="Arial"/>
                <w:sz w:val="17"/>
              </w:rPr>
              <w:t>Not prioritized</w:t>
            </w:r>
          </w:p>
        </w:tc>
        <w:tc>
          <w:tcPr>
            <w:tcW w:type="dxa" w:w="2484"/>
            <w:vAlign w:val="center"/>
            <w:tcMar>
              <w:top w:w="40" w:type="dxa"/>
              <w:start w:w="50" w:type="dxa"/>
              <w:bottom w:w="40" w:type="dxa"/>
              <w:end w:w="50" w:type="dxa"/>
            </w:tcMar>
          </w:tcPr>
          <w:p>
            <w:pPr>
              <w:spacing w:line="240" w:lineRule="auto" w:after="0"/>
            </w:pPr>
            <w:r>
              <w:rPr>
                <w:rFonts w:ascii="Arial" w:hAnsi="Arial"/>
                <w:sz w:val="17"/>
              </w:rPr>
              <w:t>Compositionally dependent on other intensity percentages; vigorous activity was sparse.</w:t>
            </w:r>
          </w:p>
        </w:tc>
      </w:tr>
    </w:tbl>
    <w:p>
      <w:r>
        <w:rPr>
          <w:i/>
          <w:sz w:val="17"/>
        </w:rPr>
        <w:t xml:space="preserve">Note. VM, Vector Magnitude; MET, metabolic equivalent. Moderate-activity and sedentary percentages were report-derived Freedson Adult classifications from non-dominant-wrist recordings. </w:t>
      </w:r>
    </w:p>
    <w:p>
      <w:r>
        <w:rPr>
          <w:b/>
          <w:sz w:val="21"/>
        </w:rPr>
        <w:t>Supplementary Table S3. Spearman correlations among retained activity measures</w:t>
      </w:r>
    </w:p>
    <w:tbl>
      <w:tblPr>
        <w:tblStyle w:val="TableGrid"/>
        <w:tblW w:type="auto" w:w="0"/>
        <w:jc w:val="center"/>
        <w:tblLook w:firstColumn="1" w:firstRow="1" w:lastColumn="0" w:lastRow="0" w:noHBand="0" w:noVBand="1" w:val="04A0"/>
      </w:tblPr>
      <w:tblGrid>
        <w:gridCol w:w="1987"/>
        <w:gridCol w:w="1987"/>
        <w:gridCol w:w="1987"/>
        <w:gridCol w:w="1987"/>
        <w:gridCol w:w="1987"/>
      </w:tblGrid>
      <w:tr>
        <w:trPr>
          <w:tblHeader w:val="true"/>
        </w:trPr>
        <w:tc>
          <w:tcPr>
            <w:tcW w:type="dxa" w:w="1987"/>
            <w:vAlign w:val="center"/>
            <w:tcMar>
              <w:top w:w="40" w:type="dxa"/>
              <w:start w:w="50" w:type="dxa"/>
              <w:bottom w:w="40" w:type="dxa"/>
              <w:end w:w="50" w:type="dxa"/>
            </w:tcMar>
          </w:tcPr>
          <w:p>
            <w:pPr>
              <w:spacing w:line="240" w:lineRule="auto" w:after="0"/>
              <w:jc w:val="center"/>
            </w:pPr>
            <w:r>
              <w:rPr>
                <w:rFonts w:ascii="Arial" w:hAnsi="Arial"/>
                <w:b/>
                <w:sz w:val="17"/>
              </w:rPr>
              <w:t>Measure</w:t>
            </w:r>
          </w:p>
        </w:tc>
        <w:tc>
          <w:tcPr>
            <w:tcW w:type="dxa" w:w="1987"/>
            <w:vAlign w:val="center"/>
            <w:tcMar>
              <w:top w:w="40" w:type="dxa"/>
              <w:start w:w="50" w:type="dxa"/>
              <w:bottom w:w="40" w:type="dxa"/>
              <w:end w:w="50" w:type="dxa"/>
            </w:tcMar>
          </w:tcPr>
          <w:p>
            <w:pPr>
              <w:spacing w:line="240" w:lineRule="auto" w:after="0"/>
              <w:jc w:val="center"/>
            </w:pPr>
            <w:r>
              <w:rPr>
                <w:rFonts w:ascii="Arial" w:hAnsi="Arial"/>
                <w:b/>
                <w:sz w:val="17"/>
              </w:rPr>
              <w:t>VM/min</w:t>
            </w:r>
          </w:p>
        </w:tc>
        <w:tc>
          <w:tcPr>
            <w:tcW w:type="dxa" w:w="1987"/>
            <w:vAlign w:val="center"/>
            <w:tcMar>
              <w:top w:w="40" w:type="dxa"/>
              <w:start w:w="50" w:type="dxa"/>
              <w:bottom w:w="40" w:type="dxa"/>
              <w:end w:w="50" w:type="dxa"/>
            </w:tcMar>
          </w:tcPr>
          <w:p>
            <w:pPr>
              <w:spacing w:line="240" w:lineRule="auto" w:after="0"/>
              <w:jc w:val="center"/>
            </w:pPr>
            <w:r>
              <w:rPr>
                <w:rFonts w:ascii="Arial" w:hAnsi="Arial"/>
                <w:b/>
                <w:sz w:val="17"/>
              </w:rPr>
              <w:t>Steps/hour</w:t>
            </w:r>
          </w:p>
        </w:tc>
        <w:tc>
          <w:tcPr>
            <w:tcW w:type="dxa" w:w="1987"/>
            <w:vAlign w:val="center"/>
            <w:tcMar>
              <w:top w:w="40" w:type="dxa"/>
              <w:start w:w="50" w:type="dxa"/>
              <w:bottom w:w="40" w:type="dxa"/>
              <w:end w:w="50" w:type="dxa"/>
            </w:tcMar>
          </w:tcPr>
          <w:p>
            <w:pPr>
              <w:spacing w:line="240" w:lineRule="auto" w:after="0"/>
              <w:jc w:val="center"/>
            </w:pPr>
            <w:r>
              <w:rPr>
                <w:rFonts w:ascii="Arial" w:hAnsi="Arial"/>
                <w:b/>
                <w:sz w:val="17"/>
              </w:rPr>
              <w:t>Moderate activity, %</w:t>
            </w:r>
          </w:p>
        </w:tc>
        <w:tc>
          <w:tcPr>
            <w:tcW w:type="dxa" w:w="1987"/>
            <w:vAlign w:val="center"/>
            <w:tcMar>
              <w:top w:w="40" w:type="dxa"/>
              <w:start w:w="50" w:type="dxa"/>
              <w:bottom w:w="40" w:type="dxa"/>
              <w:end w:w="50" w:type="dxa"/>
            </w:tcMar>
          </w:tcPr>
          <w:p>
            <w:pPr>
              <w:spacing w:line="240" w:lineRule="auto" w:after="0"/>
              <w:jc w:val="center"/>
            </w:pPr>
            <w:r>
              <w:rPr>
                <w:rFonts w:ascii="Arial" w:hAnsi="Arial"/>
                <w:b/>
                <w:sz w:val="17"/>
              </w:rPr>
              <w:t>Sedentary, %</w:t>
            </w:r>
          </w:p>
        </w:tc>
      </w:tr>
      <w:tr>
        <w:tc>
          <w:tcPr>
            <w:tcW w:type="dxa" w:w="1987"/>
            <w:vAlign w:val="center"/>
            <w:tcMar>
              <w:top w:w="40" w:type="dxa"/>
              <w:start w:w="50" w:type="dxa"/>
              <w:bottom w:w="40" w:type="dxa"/>
              <w:end w:w="50" w:type="dxa"/>
            </w:tcMar>
          </w:tcPr>
          <w:p>
            <w:pPr>
              <w:spacing w:line="240" w:lineRule="auto" w:after="0"/>
            </w:pPr>
            <w:r>
              <w:rPr>
                <w:rFonts w:ascii="Arial" w:hAnsi="Arial"/>
                <w:sz w:val="17"/>
              </w:rPr>
              <w:t>VM/min</w:t>
            </w:r>
          </w:p>
        </w:tc>
        <w:tc>
          <w:tcPr>
            <w:tcW w:type="dxa" w:w="1987"/>
            <w:vAlign w:val="center"/>
            <w:tcMar>
              <w:top w:w="40" w:type="dxa"/>
              <w:start w:w="50" w:type="dxa"/>
              <w:bottom w:w="40" w:type="dxa"/>
              <w:end w:w="50" w:type="dxa"/>
            </w:tcMar>
          </w:tcPr>
          <w:p>
            <w:pPr>
              <w:spacing w:line="240" w:lineRule="auto" w:after="0"/>
            </w:pPr>
            <w:r>
              <w:rPr>
                <w:rFonts w:ascii="Arial" w:hAnsi="Arial"/>
                <w:sz w:val="17"/>
              </w:rPr>
              <w:t>1.000</w:t>
            </w:r>
          </w:p>
        </w:tc>
        <w:tc>
          <w:tcPr>
            <w:tcW w:type="dxa" w:w="1987"/>
            <w:vAlign w:val="center"/>
            <w:tcMar>
              <w:top w:w="40" w:type="dxa"/>
              <w:start w:w="50" w:type="dxa"/>
              <w:bottom w:w="40" w:type="dxa"/>
              <w:end w:w="50" w:type="dxa"/>
            </w:tcMar>
          </w:tcPr>
          <w:p>
            <w:pPr>
              <w:spacing w:line="240" w:lineRule="auto" w:after="0"/>
            </w:pPr>
            <w:r>
              <w:rPr>
                <w:rFonts w:ascii="Arial" w:hAnsi="Arial"/>
                <w:sz w:val="17"/>
              </w:rPr>
              <w:t>0.777</w:t>
            </w:r>
          </w:p>
        </w:tc>
        <w:tc>
          <w:tcPr>
            <w:tcW w:type="dxa" w:w="1987"/>
            <w:vAlign w:val="center"/>
            <w:tcMar>
              <w:top w:w="40" w:type="dxa"/>
              <w:start w:w="50" w:type="dxa"/>
              <w:bottom w:w="40" w:type="dxa"/>
              <w:end w:w="50" w:type="dxa"/>
            </w:tcMar>
          </w:tcPr>
          <w:p>
            <w:pPr>
              <w:spacing w:line="240" w:lineRule="auto" w:after="0"/>
            </w:pPr>
            <w:r>
              <w:rPr>
                <w:rFonts w:ascii="Arial" w:hAnsi="Arial"/>
                <w:sz w:val="17"/>
              </w:rPr>
              <w:t>0.888</w:t>
            </w:r>
          </w:p>
        </w:tc>
        <w:tc>
          <w:tcPr>
            <w:tcW w:type="dxa" w:w="1987"/>
            <w:vAlign w:val="center"/>
            <w:tcMar>
              <w:top w:w="40" w:type="dxa"/>
              <w:start w:w="50" w:type="dxa"/>
              <w:bottom w:w="40" w:type="dxa"/>
              <w:end w:w="50" w:type="dxa"/>
            </w:tcMar>
          </w:tcPr>
          <w:p>
            <w:pPr>
              <w:spacing w:line="240" w:lineRule="auto" w:after="0"/>
            </w:pPr>
            <w:r>
              <w:rPr>
                <w:rFonts w:ascii="Arial" w:hAnsi="Arial"/>
                <w:sz w:val="17"/>
              </w:rPr>
              <w:t>-0.819</w:t>
            </w:r>
          </w:p>
        </w:tc>
      </w:tr>
      <w:tr>
        <w:tc>
          <w:tcPr>
            <w:tcW w:type="dxa" w:w="1987"/>
            <w:vAlign w:val="center"/>
            <w:tcMar>
              <w:top w:w="40" w:type="dxa"/>
              <w:start w:w="50" w:type="dxa"/>
              <w:bottom w:w="40" w:type="dxa"/>
              <w:end w:w="50" w:type="dxa"/>
            </w:tcMar>
          </w:tcPr>
          <w:p>
            <w:pPr>
              <w:spacing w:line="240" w:lineRule="auto" w:after="0"/>
            </w:pPr>
            <w:r>
              <w:rPr>
                <w:rFonts w:ascii="Arial" w:hAnsi="Arial"/>
                <w:sz w:val="17"/>
              </w:rPr>
              <w:t>Steps/hour</w:t>
            </w:r>
          </w:p>
        </w:tc>
        <w:tc>
          <w:tcPr>
            <w:tcW w:type="dxa" w:w="1987"/>
            <w:vAlign w:val="center"/>
            <w:tcMar>
              <w:top w:w="40" w:type="dxa"/>
              <w:start w:w="50" w:type="dxa"/>
              <w:bottom w:w="40" w:type="dxa"/>
              <w:end w:w="50" w:type="dxa"/>
            </w:tcMar>
          </w:tcPr>
          <w:p>
            <w:pPr>
              <w:spacing w:line="240" w:lineRule="auto" w:after="0"/>
            </w:pPr>
            <w:r>
              <w:rPr>
                <w:rFonts w:ascii="Arial" w:hAnsi="Arial"/>
                <w:sz w:val="17"/>
              </w:rPr>
              <w:t>0.777</w:t>
            </w:r>
          </w:p>
        </w:tc>
        <w:tc>
          <w:tcPr>
            <w:tcW w:type="dxa" w:w="1987"/>
            <w:vAlign w:val="center"/>
            <w:tcMar>
              <w:top w:w="40" w:type="dxa"/>
              <w:start w:w="50" w:type="dxa"/>
              <w:bottom w:w="40" w:type="dxa"/>
              <w:end w:w="50" w:type="dxa"/>
            </w:tcMar>
          </w:tcPr>
          <w:p>
            <w:pPr>
              <w:spacing w:line="240" w:lineRule="auto" w:after="0"/>
            </w:pPr>
            <w:r>
              <w:rPr>
                <w:rFonts w:ascii="Arial" w:hAnsi="Arial"/>
                <w:sz w:val="17"/>
              </w:rPr>
              <w:t>1.000</w:t>
            </w:r>
          </w:p>
        </w:tc>
        <w:tc>
          <w:tcPr>
            <w:tcW w:type="dxa" w:w="1987"/>
            <w:vAlign w:val="center"/>
            <w:tcMar>
              <w:top w:w="40" w:type="dxa"/>
              <w:start w:w="50" w:type="dxa"/>
              <w:bottom w:w="40" w:type="dxa"/>
              <w:end w:w="50" w:type="dxa"/>
            </w:tcMar>
          </w:tcPr>
          <w:p>
            <w:pPr>
              <w:spacing w:line="240" w:lineRule="auto" w:after="0"/>
            </w:pPr>
            <w:r>
              <w:rPr>
                <w:rFonts w:ascii="Arial" w:hAnsi="Arial"/>
                <w:sz w:val="17"/>
              </w:rPr>
              <w:t>0.632</w:t>
            </w:r>
          </w:p>
        </w:tc>
        <w:tc>
          <w:tcPr>
            <w:tcW w:type="dxa" w:w="1987"/>
            <w:vAlign w:val="center"/>
            <w:tcMar>
              <w:top w:w="40" w:type="dxa"/>
              <w:start w:w="50" w:type="dxa"/>
              <w:bottom w:w="40" w:type="dxa"/>
              <w:end w:w="50" w:type="dxa"/>
            </w:tcMar>
          </w:tcPr>
          <w:p>
            <w:pPr>
              <w:spacing w:line="240" w:lineRule="auto" w:after="0"/>
            </w:pPr>
            <w:r>
              <w:rPr>
                <w:rFonts w:ascii="Arial" w:hAnsi="Arial"/>
                <w:sz w:val="17"/>
              </w:rPr>
              <w:t>-0.729</w:t>
            </w:r>
          </w:p>
        </w:tc>
      </w:tr>
      <w:tr>
        <w:tc>
          <w:tcPr>
            <w:tcW w:type="dxa" w:w="1987"/>
            <w:vAlign w:val="center"/>
            <w:tcMar>
              <w:top w:w="40" w:type="dxa"/>
              <w:start w:w="50" w:type="dxa"/>
              <w:bottom w:w="40" w:type="dxa"/>
              <w:end w:w="50" w:type="dxa"/>
            </w:tcMar>
          </w:tcPr>
          <w:p>
            <w:pPr>
              <w:spacing w:line="240" w:lineRule="auto" w:after="0"/>
            </w:pPr>
            <w:r>
              <w:rPr>
                <w:rFonts w:ascii="Arial" w:hAnsi="Arial"/>
                <w:sz w:val="17"/>
              </w:rPr>
              <w:t>Moderate activity, %</w:t>
            </w:r>
          </w:p>
        </w:tc>
        <w:tc>
          <w:tcPr>
            <w:tcW w:type="dxa" w:w="1987"/>
            <w:vAlign w:val="center"/>
            <w:tcMar>
              <w:top w:w="40" w:type="dxa"/>
              <w:start w:w="50" w:type="dxa"/>
              <w:bottom w:w="40" w:type="dxa"/>
              <w:end w:w="50" w:type="dxa"/>
            </w:tcMar>
          </w:tcPr>
          <w:p>
            <w:pPr>
              <w:spacing w:line="240" w:lineRule="auto" w:after="0"/>
            </w:pPr>
            <w:r>
              <w:rPr>
                <w:rFonts w:ascii="Arial" w:hAnsi="Arial"/>
                <w:sz w:val="17"/>
              </w:rPr>
              <w:t>0.888</w:t>
            </w:r>
          </w:p>
        </w:tc>
        <w:tc>
          <w:tcPr>
            <w:tcW w:type="dxa" w:w="1987"/>
            <w:vAlign w:val="center"/>
            <w:tcMar>
              <w:top w:w="40" w:type="dxa"/>
              <w:start w:w="50" w:type="dxa"/>
              <w:bottom w:w="40" w:type="dxa"/>
              <w:end w:w="50" w:type="dxa"/>
            </w:tcMar>
          </w:tcPr>
          <w:p>
            <w:pPr>
              <w:spacing w:line="240" w:lineRule="auto" w:after="0"/>
            </w:pPr>
            <w:r>
              <w:rPr>
                <w:rFonts w:ascii="Arial" w:hAnsi="Arial"/>
                <w:sz w:val="17"/>
              </w:rPr>
              <w:t>0.632</w:t>
            </w:r>
          </w:p>
        </w:tc>
        <w:tc>
          <w:tcPr>
            <w:tcW w:type="dxa" w:w="1987"/>
            <w:vAlign w:val="center"/>
            <w:tcMar>
              <w:top w:w="40" w:type="dxa"/>
              <w:start w:w="50" w:type="dxa"/>
              <w:bottom w:w="40" w:type="dxa"/>
              <w:end w:w="50" w:type="dxa"/>
            </w:tcMar>
          </w:tcPr>
          <w:p>
            <w:pPr>
              <w:spacing w:line="240" w:lineRule="auto" w:after="0"/>
            </w:pPr>
            <w:r>
              <w:rPr>
                <w:rFonts w:ascii="Arial" w:hAnsi="Arial"/>
                <w:sz w:val="17"/>
              </w:rPr>
              <w:t>1.000</w:t>
            </w:r>
          </w:p>
        </w:tc>
        <w:tc>
          <w:tcPr>
            <w:tcW w:type="dxa" w:w="1987"/>
            <w:vAlign w:val="center"/>
            <w:tcMar>
              <w:top w:w="40" w:type="dxa"/>
              <w:start w:w="50" w:type="dxa"/>
              <w:bottom w:w="40" w:type="dxa"/>
              <w:end w:w="50" w:type="dxa"/>
            </w:tcMar>
          </w:tcPr>
          <w:p>
            <w:pPr>
              <w:spacing w:line="240" w:lineRule="auto" w:after="0"/>
            </w:pPr>
            <w:r>
              <w:rPr>
                <w:rFonts w:ascii="Arial" w:hAnsi="Arial"/>
                <w:sz w:val="17"/>
              </w:rPr>
              <w:t>-0.579</w:t>
            </w:r>
          </w:p>
        </w:tc>
      </w:tr>
      <w:tr>
        <w:tc>
          <w:tcPr>
            <w:tcW w:type="dxa" w:w="1987"/>
            <w:vAlign w:val="center"/>
            <w:tcMar>
              <w:top w:w="40" w:type="dxa"/>
              <w:start w:w="50" w:type="dxa"/>
              <w:bottom w:w="40" w:type="dxa"/>
              <w:end w:w="50" w:type="dxa"/>
            </w:tcMar>
          </w:tcPr>
          <w:p>
            <w:pPr>
              <w:spacing w:line="240" w:lineRule="auto" w:after="0"/>
            </w:pPr>
            <w:r>
              <w:rPr>
                <w:rFonts w:ascii="Arial" w:hAnsi="Arial"/>
                <w:sz w:val="17"/>
              </w:rPr>
              <w:t>Sedentary, %</w:t>
            </w:r>
          </w:p>
        </w:tc>
        <w:tc>
          <w:tcPr>
            <w:tcW w:type="dxa" w:w="1987"/>
            <w:vAlign w:val="center"/>
            <w:tcMar>
              <w:top w:w="40" w:type="dxa"/>
              <w:start w:w="50" w:type="dxa"/>
              <w:bottom w:w="40" w:type="dxa"/>
              <w:end w:w="50" w:type="dxa"/>
            </w:tcMar>
          </w:tcPr>
          <w:p>
            <w:pPr>
              <w:spacing w:line="240" w:lineRule="auto" w:after="0"/>
            </w:pPr>
            <w:r>
              <w:rPr>
                <w:rFonts w:ascii="Arial" w:hAnsi="Arial"/>
                <w:sz w:val="17"/>
              </w:rPr>
              <w:t>-0.819</w:t>
            </w:r>
          </w:p>
        </w:tc>
        <w:tc>
          <w:tcPr>
            <w:tcW w:type="dxa" w:w="1987"/>
            <w:vAlign w:val="center"/>
            <w:tcMar>
              <w:top w:w="40" w:type="dxa"/>
              <w:start w:w="50" w:type="dxa"/>
              <w:bottom w:w="40" w:type="dxa"/>
              <w:end w:w="50" w:type="dxa"/>
            </w:tcMar>
          </w:tcPr>
          <w:p>
            <w:pPr>
              <w:spacing w:line="240" w:lineRule="auto" w:after="0"/>
            </w:pPr>
            <w:r>
              <w:rPr>
                <w:rFonts w:ascii="Arial" w:hAnsi="Arial"/>
                <w:sz w:val="17"/>
              </w:rPr>
              <w:t>-0.729</w:t>
            </w:r>
          </w:p>
        </w:tc>
        <w:tc>
          <w:tcPr>
            <w:tcW w:type="dxa" w:w="1987"/>
            <w:vAlign w:val="center"/>
            <w:tcMar>
              <w:top w:w="40" w:type="dxa"/>
              <w:start w:w="50" w:type="dxa"/>
              <w:bottom w:w="40" w:type="dxa"/>
              <w:end w:w="50" w:type="dxa"/>
            </w:tcMar>
          </w:tcPr>
          <w:p>
            <w:pPr>
              <w:spacing w:line="240" w:lineRule="auto" w:after="0"/>
            </w:pPr>
            <w:r>
              <w:rPr>
                <w:rFonts w:ascii="Arial" w:hAnsi="Arial"/>
                <w:sz w:val="17"/>
              </w:rPr>
              <w:t>-0.579</w:t>
            </w:r>
          </w:p>
        </w:tc>
        <w:tc>
          <w:tcPr>
            <w:tcW w:type="dxa" w:w="1987"/>
            <w:vAlign w:val="center"/>
            <w:tcMar>
              <w:top w:w="40" w:type="dxa"/>
              <w:start w:w="50" w:type="dxa"/>
              <w:bottom w:w="40" w:type="dxa"/>
              <w:end w:w="50" w:type="dxa"/>
            </w:tcMar>
          </w:tcPr>
          <w:p>
            <w:pPr>
              <w:spacing w:line="240" w:lineRule="auto" w:after="0"/>
            </w:pPr>
            <w:r>
              <w:rPr>
                <w:rFonts w:ascii="Arial" w:hAnsi="Arial"/>
                <w:sz w:val="17"/>
              </w:rPr>
              <w:t>1.000</w:t>
            </w:r>
          </w:p>
        </w:tc>
      </w:tr>
    </w:tbl>
    <w:p>
      <w:r>
        <w:rPr>
          <w:i/>
          <w:sz w:val="17"/>
        </w:rPr>
        <w:t>Note. Entries are Spearman rank-correlation coefficients (rho) in the 255-patient primary cohort. Measures were fitted in separate outcome models; the correlations describe overlap among activity dimensions rather than coefficients from a multivariable activity model. The moderate-to-high correlations were expected because all measures were derived from the same underlying movement signal. They were retained because they represent different report-level operationalizations of motor behavior and were analyzed in separate models rather than simultaneously as independent predictors.</w:t>
      </w:r>
    </w:p>
    <w:p>
      <w:r>
        <w:rPr>
          <w:b/>
          <w:sz w:val="21"/>
        </w:rPr>
        <w:t>Supplementary Table S4. Alternative medication-administration adjustment strategies</w:t>
      </w:r>
    </w:p>
    <w:tbl>
      <w:tblPr>
        <w:tblStyle w:val="TableGrid"/>
        <w:tblW w:type="auto" w:w="0"/>
        <w:jc w:val="center"/>
        <w:tblLook w:firstColumn="1" w:firstRow="1" w:lastColumn="0" w:lastRow="0" w:noHBand="0" w:noVBand="1" w:val="04A0"/>
      </w:tblPr>
      <w:tblGrid>
        <w:gridCol w:w="1656"/>
        <w:gridCol w:w="1656"/>
        <w:gridCol w:w="1656"/>
        <w:gridCol w:w="1656"/>
        <w:gridCol w:w="1656"/>
        <w:gridCol w:w="1656"/>
      </w:tblGrid>
      <w:tr>
        <w:trPr>
          <w:tblHeader w:val="true"/>
        </w:trPr>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Medication model</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Activity measure</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N</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Wald chi-square</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Raw P</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FDR q</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No medication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VM/min</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32.20</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No medication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Steps/hour</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13.69</w:t>
            </w:r>
          </w:p>
        </w:tc>
        <w:tc>
          <w:tcPr>
            <w:tcW w:type="dxa" w:w="1656"/>
            <w:vAlign w:val="center"/>
            <w:tcMar>
              <w:top w:w="40" w:type="dxa"/>
              <w:start w:w="50" w:type="dxa"/>
              <w:bottom w:w="40" w:type="dxa"/>
              <w:end w:w="50" w:type="dxa"/>
            </w:tcMar>
          </w:tcPr>
          <w:p>
            <w:pPr>
              <w:spacing w:line="240" w:lineRule="auto" w:after="0"/>
            </w:pPr>
            <w:r>
              <w:rPr>
                <w:rFonts w:ascii="Arial" w:hAnsi="Arial"/>
                <w:sz w:val="17"/>
              </w:rPr>
              <w:t>0.00335</w:t>
            </w:r>
          </w:p>
        </w:tc>
        <w:tc>
          <w:tcPr>
            <w:tcW w:type="dxa" w:w="1656"/>
            <w:vAlign w:val="center"/>
            <w:tcMar>
              <w:top w:w="40" w:type="dxa"/>
              <w:start w:w="50" w:type="dxa"/>
              <w:bottom w:w="40" w:type="dxa"/>
              <w:end w:w="50" w:type="dxa"/>
            </w:tcMar>
          </w:tcPr>
          <w:p>
            <w:pPr>
              <w:spacing w:line="240" w:lineRule="auto" w:after="0"/>
            </w:pPr>
            <w:r>
              <w:rPr>
                <w:rFonts w:ascii="Arial" w:hAnsi="Arial"/>
                <w:sz w:val="17"/>
              </w:rPr>
              <w:t>0.00447</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No medication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Moderate activity, %</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26.79</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No medication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Sedentary, %</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6.42</w:t>
            </w:r>
          </w:p>
        </w:tc>
        <w:tc>
          <w:tcPr>
            <w:tcW w:type="dxa" w:w="1656"/>
            <w:vAlign w:val="center"/>
            <w:tcMar>
              <w:top w:w="40" w:type="dxa"/>
              <w:start w:w="50" w:type="dxa"/>
              <w:bottom w:w="40" w:type="dxa"/>
              <w:end w:w="50" w:type="dxa"/>
            </w:tcMar>
          </w:tcPr>
          <w:p>
            <w:pPr>
              <w:spacing w:line="240" w:lineRule="auto" w:after="0"/>
            </w:pPr>
            <w:r>
              <w:rPr>
                <w:rFonts w:ascii="Arial" w:hAnsi="Arial"/>
                <w:sz w:val="17"/>
              </w:rPr>
              <w:t>0.0930</w:t>
            </w:r>
          </w:p>
        </w:tc>
        <w:tc>
          <w:tcPr>
            <w:tcW w:type="dxa" w:w="1656"/>
            <w:vAlign w:val="center"/>
            <w:tcMar>
              <w:top w:w="40" w:type="dxa"/>
              <w:start w:w="50" w:type="dxa"/>
              <w:bottom w:w="40" w:type="dxa"/>
              <w:end w:w="50" w:type="dxa"/>
            </w:tcMar>
          </w:tcPr>
          <w:p>
            <w:pPr>
              <w:spacing w:line="240" w:lineRule="auto" w:after="0"/>
            </w:pPr>
            <w:r>
              <w:rPr>
                <w:rFonts w:ascii="Arial" w:hAnsi="Arial"/>
                <w:sz w:val="17"/>
              </w:rPr>
              <w:t>0.0930</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Primary sedative-burden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VM/min</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35.72</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Primary sedative-burden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Steps/hour</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13.45</w:t>
            </w:r>
          </w:p>
        </w:tc>
        <w:tc>
          <w:tcPr>
            <w:tcW w:type="dxa" w:w="1656"/>
            <w:vAlign w:val="center"/>
            <w:tcMar>
              <w:top w:w="40" w:type="dxa"/>
              <w:start w:w="50" w:type="dxa"/>
              <w:bottom w:w="40" w:type="dxa"/>
              <w:end w:w="50" w:type="dxa"/>
            </w:tcMar>
          </w:tcPr>
          <w:p>
            <w:pPr>
              <w:spacing w:line="240" w:lineRule="auto" w:after="0"/>
            </w:pPr>
            <w:r>
              <w:rPr>
                <w:rFonts w:ascii="Arial" w:hAnsi="Arial"/>
                <w:sz w:val="17"/>
              </w:rPr>
              <w:t>0.00376</w:t>
            </w:r>
          </w:p>
        </w:tc>
        <w:tc>
          <w:tcPr>
            <w:tcW w:type="dxa" w:w="1656"/>
            <w:vAlign w:val="center"/>
            <w:tcMar>
              <w:top w:w="40" w:type="dxa"/>
              <w:start w:w="50" w:type="dxa"/>
              <w:bottom w:w="40" w:type="dxa"/>
              <w:end w:w="50" w:type="dxa"/>
            </w:tcMar>
          </w:tcPr>
          <w:p>
            <w:pPr>
              <w:spacing w:line="240" w:lineRule="auto" w:after="0"/>
            </w:pPr>
            <w:r>
              <w:rPr>
                <w:rFonts w:ascii="Arial" w:hAnsi="Arial"/>
                <w:sz w:val="17"/>
              </w:rPr>
              <w:t>0.00502</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Primary sedative-burden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Moderate activity, %</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30.10</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Primary sedative-burden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Sedentary, %</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6.50</w:t>
            </w:r>
          </w:p>
        </w:tc>
        <w:tc>
          <w:tcPr>
            <w:tcW w:type="dxa" w:w="1656"/>
            <w:vAlign w:val="center"/>
            <w:tcMar>
              <w:top w:w="40" w:type="dxa"/>
              <w:start w:w="50" w:type="dxa"/>
              <w:bottom w:w="40" w:type="dxa"/>
              <w:end w:w="50" w:type="dxa"/>
            </w:tcMar>
          </w:tcPr>
          <w:p>
            <w:pPr>
              <w:spacing w:line="240" w:lineRule="auto" w:after="0"/>
            </w:pPr>
            <w:r>
              <w:rPr>
                <w:rFonts w:ascii="Arial" w:hAnsi="Arial"/>
                <w:sz w:val="17"/>
              </w:rPr>
              <w:t>0.0897</w:t>
            </w:r>
          </w:p>
        </w:tc>
        <w:tc>
          <w:tcPr>
            <w:tcW w:type="dxa" w:w="1656"/>
            <w:vAlign w:val="center"/>
            <w:tcMar>
              <w:top w:w="40" w:type="dxa"/>
              <w:start w:w="50" w:type="dxa"/>
              <w:bottom w:w="40" w:type="dxa"/>
              <w:end w:w="50" w:type="dxa"/>
            </w:tcMar>
          </w:tcPr>
          <w:p>
            <w:pPr>
              <w:spacing w:line="240" w:lineRule="auto" w:after="0"/>
            </w:pPr>
            <w:r>
              <w:rPr>
                <w:rFonts w:ascii="Arial" w:hAnsi="Arial"/>
                <w:sz w:val="17"/>
              </w:rPr>
              <w:t>0.0897</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Class-based medication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VM/min</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38.28</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Class-based medication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Steps/hour</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13.69</w:t>
            </w:r>
          </w:p>
        </w:tc>
        <w:tc>
          <w:tcPr>
            <w:tcW w:type="dxa" w:w="1656"/>
            <w:vAlign w:val="center"/>
            <w:tcMar>
              <w:top w:w="40" w:type="dxa"/>
              <w:start w:w="50" w:type="dxa"/>
              <w:bottom w:w="40" w:type="dxa"/>
              <w:end w:w="50" w:type="dxa"/>
            </w:tcMar>
          </w:tcPr>
          <w:p>
            <w:pPr>
              <w:spacing w:line="240" w:lineRule="auto" w:after="0"/>
            </w:pPr>
            <w:r>
              <w:rPr>
                <w:rFonts w:ascii="Arial" w:hAnsi="Arial"/>
                <w:sz w:val="17"/>
              </w:rPr>
              <w:t>0.00336</w:t>
            </w:r>
          </w:p>
        </w:tc>
        <w:tc>
          <w:tcPr>
            <w:tcW w:type="dxa" w:w="1656"/>
            <w:vAlign w:val="center"/>
            <w:tcMar>
              <w:top w:w="40" w:type="dxa"/>
              <w:start w:w="50" w:type="dxa"/>
              <w:bottom w:w="40" w:type="dxa"/>
              <w:end w:w="50" w:type="dxa"/>
            </w:tcMar>
          </w:tcPr>
          <w:p>
            <w:pPr>
              <w:spacing w:line="240" w:lineRule="auto" w:after="0"/>
            </w:pPr>
            <w:r>
              <w:rPr>
                <w:rFonts w:ascii="Arial" w:hAnsi="Arial"/>
                <w:sz w:val="17"/>
              </w:rPr>
              <w:t>0.00449</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Class-based medication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Moderate activity, %</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35.38</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Class-based medication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Sedentary, %</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6.52</w:t>
            </w:r>
          </w:p>
        </w:tc>
        <w:tc>
          <w:tcPr>
            <w:tcW w:type="dxa" w:w="1656"/>
            <w:vAlign w:val="center"/>
            <w:tcMar>
              <w:top w:w="40" w:type="dxa"/>
              <w:start w:w="50" w:type="dxa"/>
              <w:bottom w:w="40" w:type="dxa"/>
              <w:end w:w="50" w:type="dxa"/>
            </w:tcMar>
          </w:tcPr>
          <w:p>
            <w:pPr>
              <w:spacing w:line="240" w:lineRule="auto" w:after="0"/>
            </w:pPr>
            <w:r>
              <w:rPr>
                <w:rFonts w:ascii="Arial" w:hAnsi="Arial"/>
                <w:sz w:val="17"/>
              </w:rPr>
              <w:t>0.0890</w:t>
            </w:r>
          </w:p>
        </w:tc>
        <w:tc>
          <w:tcPr>
            <w:tcW w:type="dxa" w:w="1656"/>
            <w:vAlign w:val="center"/>
            <w:tcMar>
              <w:top w:w="40" w:type="dxa"/>
              <w:start w:w="50" w:type="dxa"/>
              <w:bottom w:w="40" w:type="dxa"/>
              <w:end w:w="50" w:type="dxa"/>
            </w:tcMar>
          </w:tcPr>
          <w:p>
            <w:pPr>
              <w:spacing w:line="240" w:lineRule="auto" w:after="0"/>
            </w:pPr>
            <w:r>
              <w:rPr>
                <w:rFonts w:ascii="Arial" w:hAnsi="Arial"/>
                <w:sz w:val="17"/>
              </w:rPr>
              <w:t>0.0890</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Benzodiazepine-intensity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VM/min</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38.05</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Benzodiazepine-intensity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Steps/hour</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13.56</w:t>
            </w:r>
          </w:p>
        </w:tc>
        <w:tc>
          <w:tcPr>
            <w:tcW w:type="dxa" w:w="1656"/>
            <w:vAlign w:val="center"/>
            <w:tcMar>
              <w:top w:w="40" w:type="dxa"/>
              <w:start w:w="50" w:type="dxa"/>
              <w:bottom w:w="40" w:type="dxa"/>
              <w:end w:w="50" w:type="dxa"/>
            </w:tcMar>
          </w:tcPr>
          <w:p>
            <w:pPr>
              <w:spacing w:line="240" w:lineRule="auto" w:after="0"/>
            </w:pPr>
            <w:r>
              <w:rPr>
                <w:rFonts w:ascii="Arial" w:hAnsi="Arial"/>
                <w:sz w:val="17"/>
              </w:rPr>
              <w:t>0.00357</w:t>
            </w:r>
          </w:p>
        </w:tc>
        <w:tc>
          <w:tcPr>
            <w:tcW w:type="dxa" w:w="1656"/>
            <w:vAlign w:val="center"/>
            <w:tcMar>
              <w:top w:w="40" w:type="dxa"/>
              <w:start w:w="50" w:type="dxa"/>
              <w:bottom w:w="40" w:type="dxa"/>
              <w:end w:w="50" w:type="dxa"/>
            </w:tcMar>
          </w:tcPr>
          <w:p>
            <w:pPr>
              <w:spacing w:line="240" w:lineRule="auto" w:after="0"/>
            </w:pPr>
            <w:r>
              <w:rPr>
                <w:rFonts w:ascii="Arial" w:hAnsi="Arial"/>
                <w:sz w:val="17"/>
              </w:rPr>
              <w:t>0.00476</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Benzodiazepine-intensity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Moderate activity, %</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34.48</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Benzodiazepine-intensity adjustment</w:t>
            </w:r>
          </w:p>
        </w:tc>
        <w:tc>
          <w:tcPr>
            <w:tcW w:type="dxa" w:w="1656"/>
            <w:vAlign w:val="center"/>
            <w:tcMar>
              <w:top w:w="40" w:type="dxa"/>
              <w:start w:w="50" w:type="dxa"/>
              <w:bottom w:w="40" w:type="dxa"/>
              <w:end w:w="50" w:type="dxa"/>
            </w:tcMar>
          </w:tcPr>
          <w:p>
            <w:pPr>
              <w:spacing w:line="240" w:lineRule="auto" w:after="0"/>
            </w:pPr>
            <w:r>
              <w:rPr>
                <w:rFonts w:ascii="Arial" w:hAnsi="Arial"/>
                <w:sz w:val="17"/>
              </w:rPr>
              <w:t>Sedentary, %</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6.44</w:t>
            </w:r>
          </w:p>
        </w:tc>
        <w:tc>
          <w:tcPr>
            <w:tcW w:type="dxa" w:w="1656"/>
            <w:vAlign w:val="center"/>
            <w:tcMar>
              <w:top w:w="40" w:type="dxa"/>
              <w:start w:w="50" w:type="dxa"/>
              <w:bottom w:w="40" w:type="dxa"/>
              <w:end w:w="50" w:type="dxa"/>
            </w:tcMar>
          </w:tcPr>
          <w:p>
            <w:pPr>
              <w:spacing w:line="240" w:lineRule="auto" w:after="0"/>
            </w:pPr>
            <w:r>
              <w:rPr>
                <w:rFonts w:ascii="Arial" w:hAnsi="Arial"/>
                <w:sz w:val="17"/>
              </w:rPr>
              <w:t>0.0919</w:t>
            </w:r>
          </w:p>
        </w:tc>
        <w:tc>
          <w:tcPr>
            <w:tcW w:type="dxa" w:w="1656"/>
            <w:vAlign w:val="center"/>
            <w:tcMar>
              <w:top w:w="40" w:type="dxa"/>
              <w:start w:w="50" w:type="dxa"/>
              <w:bottom w:w="40" w:type="dxa"/>
              <w:end w:w="50" w:type="dxa"/>
            </w:tcMar>
          </w:tcPr>
          <w:p>
            <w:pPr>
              <w:spacing w:line="240" w:lineRule="auto" w:after="0"/>
            </w:pPr>
            <w:r>
              <w:rPr>
                <w:rFonts w:ascii="Arial" w:hAnsi="Arial"/>
                <w:sz w:val="17"/>
              </w:rPr>
              <w:t>0.0919</w:t>
            </w:r>
          </w:p>
        </w:tc>
      </w:tr>
    </w:tbl>
    <w:p>
      <w:r>
        <w:rPr>
          <w:i/>
          <w:sz w:val="17"/>
        </w:rPr>
        <w:t>Note. Each row reports the joint 3-df activity-by-age interaction from a separate Gamma-log model. The primary sedative-burden model included sex, depressive-episode severity, landmark day, mean wear time, weekend proportion, the standardized number of distinct sedative-related generic medications administered before landmark, and any temporary sedative/antipsychotic injection. Alternative administration-based medication codings replaced the primary medication terms. Within each medication specification, the four raw P values were adjusted using the Benjamini-Hochberg false-discovery-rate procedure. FDR, false discovery rate.</w:t>
      </w:r>
    </w:p>
    <w:p>
      <w:r>
        <w:rPr>
          <w:b/>
          <w:sz w:val="21"/>
        </w:rPr>
        <w:t>Supplementary Table S5. Alternative outcome-distribution models for the VM/min-by-age interaction</w:t>
      </w:r>
    </w:p>
    <w:tbl>
      <w:tblPr>
        <w:tblStyle w:val="TableGrid"/>
        <w:tblW w:type="auto" w:w="0"/>
        <w:jc w:val="center"/>
        <w:tblLook w:firstColumn="1" w:firstRow="1" w:lastColumn="0" w:lastRow="0" w:noHBand="0" w:noVBand="1" w:val="04A0"/>
      </w:tblPr>
      <w:tblGrid>
        <w:gridCol w:w="1656"/>
        <w:gridCol w:w="1656"/>
        <w:gridCol w:w="1656"/>
        <w:gridCol w:w="1656"/>
        <w:gridCol w:w="1656"/>
        <w:gridCol w:w="1656"/>
      </w:tblGrid>
      <w:tr>
        <w:trPr>
          <w:tblHeader w:val="true"/>
        </w:trPr>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Model</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N</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Interaction chi-square</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df</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P value</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AIC</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Gamma GLM with log link</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35.72</w:t>
            </w:r>
          </w:p>
        </w:tc>
        <w:tc>
          <w:tcPr>
            <w:tcW w:type="dxa" w:w="1656"/>
            <w:vAlign w:val="center"/>
            <w:tcMar>
              <w:top w:w="40" w:type="dxa"/>
              <w:start w:w="50" w:type="dxa"/>
              <w:bottom w:w="40" w:type="dxa"/>
              <w:end w:w="50" w:type="dxa"/>
            </w:tcMar>
          </w:tcPr>
          <w:p>
            <w:pPr>
              <w:spacing w:line="240" w:lineRule="auto" w:after="0"/>
            </w:pPr>
            <w:r>
              <w:rPr>
                <w:rFonts w:ascii="Arial" w:hAnsi="Arial"/>
                <w:sz w:val="17"/>
              </w:rPr>
              <w:t>3</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1916.7</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Negative-binomial GLM with log link</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34.95</w:t>
            </w:r>
          </w:p>
        </w:tc>
        <w:tc>
          <w:tcPr>
            <w:tcW w:type="dxa" w:w="1656"/>
            <w:vAlign w:val="center"/>
            <w:tcMar>
              <w:top w:w="40" w:type="dxa"/>
              <w:start w:w="50" w:type="dxa"/>
              <w:bottom w:w="40" w:type="dxa"/>
              <w:end w:w="50" w:type="dxa"/>
            </w:tcMar>
          </w:tcPr>
          <w:p>
            <w:pPr>
              <w:spacing w:line="240" w:lineRule="auto" w:after="0"/>
            </w:pPr>
            <w:r>
              <w:rPr>
                <w:rFonts w:ascii="Arial" w:hAnsi="Arial"/>
                <w:sz w:val="17"/>
              </w:rPr>
              <w:t>3</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1919.2</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Log-normal linear model</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14.56</w:t>
            </w:r>
          </w:p>
        </w:tc>
        <w:tc>
          <w:tcPr>
            <w:tcW w:type="dxa" w:w="1656"/>
            <w:vAlign w:val="center"/>
            <w:tcMar>
              <w:top w:w="40" w:type="dxa"/>
              <w:start w:w="50" w:type="dxa"/>
              <w:bottom w:w="40" w:type="dxa"/>
              <w:end w:w="50" w:type="dxa"/>
            </w:tcMar>
          </w:tcPr>
          <w:p>
            <w:pPr>
              <w:spacing w:line="240" w:lineRule="auto" w:after="0"/>
            </w:pPr>
            <w:r>
              <w:rPr>
                <w:rFonts w:ascii="Arial" w:hAnsi="Arial"/>
                <w:sz w:val="17"/>
              </w:rPr>
              <w:t>3</w:t>
            </w:r>
          </w:p>
        </w:tc>
        <w:tc>
          <w:tcPr>
            <w:tcW w:type="dxa" w:w="1656"/>
            <w:vAlign w:val="center"/>
            <w:tcMar>
              <w:top w:w="40" w:type="dxa"/>
              <w:start w:w="50" w:type="dxa"/>
              <w:bottom w:w="40" w:type="dxa"/>
              <w:end w:w="50" w:type="dxa"/>
            </w:tcMar>
          </w:tcPr>
          <w:p>
            <w:pPr>
              <w:spacing w:line="240" w:lineRule="auto" w:after="0"/>
            </w:pPr>
            <w:r>
              <w:rPr>
                <w:rFonts w:ascii="Arial" w:hAnsi="Arial"/>
                <w:sz w:val="17"/>
              </w:rPr>
              <w:t>0.0022</w:t>
            </w:r>
          </w:p>
        </w:tc>
        <w:tc>
          <w:tcPr>
            <w:tcW w:type="dxa" w:w="1656"/>
            <w:vAlign w:val="center"/>
            <w:tcMar>
              <w:top w:w="40" w:type="dxa"/>
              <w:start w:w="50" w:type="dxa"/>
              <w:bottom w:w="40" w:type="dxa"/>
              <w:end w:w="50" w:type="dxa"/>
            </w:tcMar>
          </w:tcPr>
          <w:p>
            <w:pPr>
              <w:spacing w:line="240" w:lineRule="auto" w:after="0"/>
            </w:pPr>
            <w:r>
              <w:rPr>
                <w:rFonts w:ascii="Arial" w:hAnsi="Arial"/>
                <w:sz w:val="17"/>
              </w:rPr>
              <w:t>476.7</w:t>
            </w:r>
          </w:p>
        </w:tc>
      </w:tr>
    </w:tbl>
    <w:p>
      <w:r>
        <w:rPr>
          <w:i/>
          <w:sz w:val="17"/>
        </w:rPr>
        <w:t>Note. Interaction statistics are joint tests of the three VM/min-by-age spline terms. AIC, Akaike information criterion; GLM, generalized linear model. AIC values are directly comparable for the Gamma and negative-binomial models fitted to the same outcome scale. The log-normal AIC is shown for completeness but should not be compared directly with the other two because the response scale differs. The log-normal sensitivity model used HC3 robust covariance; the negative-binomial sensitivity used an NB2 parameterization with alpha = 0.2567.</w:t>
      </w:r>
    </w:p>
    <w:p>
      <w:r>
        <w:rPr>
          <w:b/>
          <w:sz w:val="21"/>
        </w:rPr>
        <w:t>Supplementary Table S6. Alternative age-spline specifications for VM/min</w:t>
      </w:r>
    </w:p>
    <w:tbl>
      <w:tblPr>
        <w:tblStyle w:val="TableGrid"/>
        <w:tblW w:type="auto" w:w="0"/>
        <w:jc w:val="center"/>
        <w:tblLook w:firstColumn="1" w:firstRow="1" w:lastColumn="0" w:lastRow="0" w:noHBand="0" w:noVBand="1" w:val="04A0"/>
      </w:tblPr>
      <w:tblGrid>
        <w:gridCol w:w="1656"/>
        <w:gridCol w:w="1656"/>
        <w:gridCol w:w="1656"/>
        <w:gridCol w:w="1656"/>
        <w:gridCol w:w="1656"/>
        <w:gridCol w:w="1656"/>
      </w:tblGrid>
      <w:tr>
        <w:trPr>
          <w:tblHeader w:val="true"/>
        </w:trPr>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Specification</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Interaction df</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Chi-square</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P value</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Age-20 effect, %</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Age-60 effect, %</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Restricted cubic spline, df=3</w:t>
            </w:r>
          </w:p>
        </w:tc>
        <w:tc>
          <w:tcPr>
            <w:tcW w:type="dxa" w:w="1656"/>
            <w:vAlign w:val="center"/>
            <w:tcMar>
              <w:top w:w="40" w:type="dxa"/>
              <w:start w:w="50" w:type="dxa"/>
              <w:bottom w:w="40" w:type="dxa"/>
              <w:end w:w="50" w:type="dxa"/>
            </w:tcMar>
          </w:tcPr>
          <w:p>
            <w:pPr>
              <w:spacing w:line="240" w:lineRule="auto" w:after="0"/>
            </w:pPr>
            <w:r>
              <w:rPr>
                <w:rFonts w:ascii="Arial" w:hAnsi="Arial"/>
                <w:sz w:val="17"/>
              </w:rPr>
              <w:t>3</w:t>
            </w:r>
          </w:p>
        </w:tc>
        <w:tc>
          <w:tcPr>
            <w:tcW w:type="dxa" w:w="1656"/>
            <w:vAlign w:val="center"/>
            <w:tcMar>
              <w:top w:w="40" w:type="dxa"/>
              <w:start w:w="50" w:type="dxa"/>
              <w:bottom w:w="40" w:type="dxa"/>
              <w:end w:w="50" w:type="dxa"/>
            </w:tcMar>
          </w:tcPr>
          <w:p>
            <w:pPr>
              <w:spacing w:line="240" w:lineRule="auto" w:after="0"/>
            </w:pPr>
            <w:r>
              <w:rPr>
                <w:rFonts w:ascii="Arial" w:hAnsi="Arial"/>
                <w:sz w:val="17"/>
              </w:rPr>
              <w:t>35.72</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-14.3</w:t>
            </w:r>
          </w:p>
        </w:tc>
        <w:tc>
          <w:tcPr>
            <w:tcW w:type="dxa" w:w="1656"/>
            <w:vAlign w:val="center"/>
            <w:tcMar>
              <w:top w:w="40" w:type="dxa"/>
              <w:start w:w="50" w:type="dxa"/>
              <w:bottom w:w="40" w:type="dxa"/>
              <w:end w:w="50" w:type="dxa"/>
            </w:tcMar>
          </w:tcPr>
          <w:p>
            <w:pPr>
              <w:spacing w:line="240" w:lineRule="auto" w:after="0"/>
            </w:pPr>
            <w:r>
              <w:rPr>
                <w:rFonts w:ascii="Arial" w:hAnsi="Arial"/>
                <w:sz w:val="17"/>
              </w:rPr>
              <w:t>18.6</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Restricted cubic spline, df=4</w:t>
            </w:r>
          </w:p>
        </w:tc>
        <w:tc>
          <w:tcPr>
            <w:tcW w:type="dxa" w:w="1656"/>
            <w:vAlign w:val="center"/>
            <w:tcMar>
              <w:top w:w="40" w:type="dxa"/>
              <w:start w:w="50" w:type="dxa"/>
              <w:bottom w:w="40" w:type="dxa"/>
              <w:end w:w="50" w:type="dxa"/>
            </w:tcMar>
          </w:tcPr>
          <w:p>
            <w:pPr>
              <w:spacing w:line="240" w:lineRule="auto" w:after="0"/>
            </w:pPr>
            <w:r>
              <w:rPr>
                <w:rFonts w:ascii="Arial" w:hAnsi="Arial"/>
                <w:sz w:val="17"/>
              </w:rPr>
              <w:t>4</w:t>
            </w:r>
          </w:p>
        </w:tc>
        <w:tc>
          <w:tcPr>
            <w:tcW w:type="dxa" w:w="1656"/>
            <w:vAlign w:val="center"/>
            <w:tcMar>
              <w:top w:w="40" w:type="dxa"/>
              <w:start w:w="50" w:type="dxa"/>
              <w:bottom w:w="40" w:type="dxa"/>
              <w:end w:w="50" w:type="dxa"/>
            </w:tcMar>
          </w:tcPr>
          <w:p>
            <w:pPr>
              <w:spacing w:line="240" w:lineRule="auto" w:after="0"/>
            </w:pPr>
            <w:r>
              <w:rPr>
                <w:rFonts w:ascii="Arial" w:hAnsi="Arial"/>
                <w:sz w:val="17"/>
              </w:rPr>
              <w:t>40.79</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-13.7</w:t>
            </w:r>
          </w:p>
        </w:tc>
        <w:tc>
          <w:tcPr>
            <w:tcW w:type="dxa" w:w="1656"/>
            <w:vAlign w:val="center"/>
            <w:tcMar>
              <w:top w:w="40" w:type="dxa"/>
              <w:start w:w="50" w:type="dxa"/>
              <w:bottom w:w="40" w:type="dxa"/>
              <w:end w:w="50" w:type="dxa"/>
            </w:tcMar>
          </w:tcPr>
          <w:p>
            <w:pPr>
              <w:spacing w:line="240" w:lineRule="auto" w:after="0"/>
            </w:pPr>
            <w:r>
              <w:rPr>
                <w:rFonts w:ascii="Arial" w:hAnsi="Arial"/>
                <w:sz w:val="17"/>
              </w:rPr>
              <w:t>14.2</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Restricted cubic spline, df=5</w:t>
            </w:r>
          </w:p>
        </w:tc>
        <w:tc>
          <w:tcPr>
            <w:tcW w:type="dxa" w:w="1656"/>
            <w:vAlign w:val="center"/>
            <w:tcMar>
              <w:top w:w="40" w:type="dxa"/>
              <w:start w:w="50" w:type="dxa"/>
              <w:bottom w:w="40" w:type="dxa"/>
              <w:end w:w="50" w:type="dxa"/>
            </w:tcMar>
          </w:tcPr>
          <w:p>
            <w:pPr>
              <w:spacing w:line="240" w:lineRule="auto" w:after="0"/>
            </w:pPr>
            <w:r>
              <w:rPr>
                <w:rFonts w:ascii="Arial" w:hAnsi="Arial"/>
                <w:sz w:val="17"/>
              </w:rPr>
              <w:t>5</w:t>
            </w:r>
          </w:p>
        </w:tc>
        <w:tc>
          <w:tcPr>
            <w:tcW w:type="dxa" w:w="1656"/>
            <w:vAlign w:val="center"/>
            <w:tcMar>
              <w:top w:w="40" w:type="dxa"/>
              <w:start w:w="50" w:type="dxa"/>
              <w:bottom w:w="40" w:type="dxa"/>
              <w:end w:w="50" w:type="dxa"/>
            </w:tcMar>
          </w:tcPr>
          <w:p>
            <w:pPr>
              <w:spacing w:line="240" w:lineRule="auto" w:after="0"/>
            </w:pPr>
            <w:r>
              <w:rPr>
                <w:rFonts w:ascii="Arial" w:hAnsi="Arial"/>
                <w:sz w:val="17"/>
              </w:rPr>
              <w:t>50.70</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-14.2</w:t>
            </w:r>
          </w:p>
        </w:tc>
        <w:tc>
          <w:tcPr>
            <w:tcW w:type="dxa" w:w="1656"/>
            <w:vAlign w:val="center"/>
            <w:tcMar>
              <w:top w:w="40" w:type="dxa"/>
              <w:start w:w="50" w:type="dxa"/>
              <w:bottom w:w="40" w:type="dxa"/>
              <w:end w:w="50" w:type="dxa"/>
            </w:tcMar>
          </w:tcPr>
          <w:p>
            <w:pPr>
              <w:spacing w:line="240" w:lineRule="auto" w:after="0"/>
            </w:pPr>
            <w:r>
              <w:rPr>
                <w:rFonts w:ascii="Arial" w:hAnsi="Arial"/>
                <w:sz w:val="17"/>
              </w:rPr>
              <w:t>10.2</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Knots at 25th, 50th, and 75th percentiles</w:t>
            </w:r>
          </w:p>
        </w:tc>
        <w:tc>
          <w:tcPr>
            <w:tcW w:type="dxa" w:w="1656"/>
            <w:vAlign w:val="center"/>
            <w:tcMar>
              <w:top w:w="40" w:type="dxa"/>
              <w:start w:w="50" w:type="dxa"/>
              <w:bottom w:w="40" w:type="dxa"/>
              <w:end w:w="50" w:type="dxa"/>
            </w:tcMar>
          </w:tcPr>
          <w:p>
            <w:pPr>
              <w:spacing w:line="240" w:lineRule="auto" w:after="0"/>
            </w:pPr>
            <w:r>
              <w:rPr>
                <w:rFonts w:ascii="Arial" w:hAnsi="Arial"/>
                <w:sz w:val="17"/>
              </w:rPr>
              <w:t>4</w:t>
            </w:r>
          </w:p>
        </w:tc>
        <w:tc>
          <w:tcPr>
            <w:tcW w:type="dxa" w:w="1656"/>
            <w:vAlign w:val="center"/>
            <w:tcMar>
              <w:top w:w="40" w:type="dxa"/>
              <w:start w:w="50" w:type="dxa"/>
              <w:bottom w:w="40" w:type="dxa"/>
              <w:end w:w="50" w:type="dxa"/>
            </w:tcMar>
          </w:tcPr>
          <w:p>
            <w:pPr>
              <w:spacing w:line="240" w:lineRule="auto" w:after="0"/>
            </w:pPr>
            <w:r>
              <w:rPr>
                <w:rFonts w:ascii="Arial" w:hAnsi="Arial"/>
                <w:sz w:val="17"/>
              </w:rPr>
              <w:t>34.98</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-14.2</w:t>
            </w:r>
          </w:p>
        </w:tc>
        <w:tc>
          <w:tcPr>
            <w:tcW w:type="dxa" w:w="1656"/>
            <w:vAlign w:val="center"/>
            <w:tcMar>
              <w:top w:w="40" w:type="dxa"/>
              <w:start w:w="50" w:type="dxa"/>
              <w:bottom w:w="40" w:type="dxa"/>
              <w:end w:w="50" w:type="dxa"/>
            </w:tcMar>
          </w:tcPr>
          <w:p>
            <w:pPr>
              <w:spacing w:line="240" w:lineRule="auto" w:after="0"/>
            </w:pPr>
            <w:r>
              <w:rPr>
                <w:rFonts w:ascii="Arial" w:hAnsi="Arial"/>
                <w:sz w:val="17"/>
              </w:rPr>
              <w:t>19.3</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Knots at 10th, 50th, and 90th percentiles</w:t>
            </w:r>
          </w:p>
        </w:tc>
        <w:tc>
          <w:tcPr>
            <w:tcW w:type="dxa" w:w="1656"/>
            <w:vAlign w:val="center"/>
            <w:tcMar>
              <w:top w:w="40" w:type="dxa"/>
              <w:start w:w="50" w:type="dxa"/>
              <w:bottom w:w="40" w:type="dxa"/>
              <w:end w:w="50" w:type="dxa"/>
            </w:tcMar>
          </w:tcPr>
          <w:p>
            <w:pPr>
              <w:spacing w:line="240" w:lineRule="auto" w:after="0"/>
            </w:pPr>
            <w:r>
              <w:rPr>
                <w:rFonts w:ascii="Arial" w:hAnsi="Arial"/>
                <w:sz w:val="17"/>
              </w:rPr>
              <w:t>4</w:t>
            </w:r>
          </w:p>
        </w:tc>
        <w:tc>
          <w:tcPr>
            <w:tcW w:type="dxa" w:w="1656"/>
            <w:vAlign w:val="center"/>
            <w:tcMar>
              <w:top w:w="40" w:type="dxa"/>
              <w:start w:w="50" w:type="dxa"/>
              <w:bottom w:w="40" w:type="dxa"/>
              <w:end w:w="50" w:type="dxa"/>
            </w:tcMar>
          </w:tcPr>
          <w:p>
            <w:pPr>
              <w:spacing w:line="240" w:lineRule="auto" w:after="0"/>
            </w:pPr>
            <w:r>
              <w:rPr>
                <w:rFonts w:ascii="Arial" w:hAnsi="Arial"/>
                <w:sz w:val="17"/>
              </w:rPr>
              <w:t>38.79</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-14.1</w:t>
            </w:r>
          </w:p>
        </w:tc>
        <w:tc>
          <w:tcPr>
            <w:tcW w:type="dxa" w:w="1656"/>
            <w:vAlign w:val="center"/>
            <w:tcMar>
              <w:top w:w="40" w:type="dxa"/>
              <w:start w:w="50" w:type="dxa"/>
              <w:bottom w:w="40" w:type="dxa"/>
              <w:end w:w="50" w:type="dxa"/>
            </w:tcMar>
          </w:tcPr>
          <w:p>
            <w:pPr>
              <w:spacing w:line="240" w:lineRule="auto" w:after="0"/>
            </w:pPr>
            <w:r>
              <w:rPr>
                <w:rFonts w:ascii="Arial" w:hAnsi="Arial"/>
                <w:sz w:val="17"/>
              </w:rPr>
              <w:t>16.4</w:t>
            </w:r>
          </w:p>
        </w:tc>
      </w:tr>
    </w:tbl>
    <w:p>
      <w:r>
        <w:rPr>
          <w:i/>
          <w:sz w:val="17"/>
        </w:rPr>
        <w:t>Note. Effects are adjusted percentage changes in expected post-landmark LOS per 1-SD higher VM/min at representative ages. All specifications used the primary covariate set and robust covariance. Ages 20 and 60 are points on the continuous fitted curve and are not age-group boundaries or clinical thresholds. LOS, length of stay.</w:t>
      </w:r>
    </w:p>
    <w:p>
      <w:r>
        <w:rPr>
          <w:b/>
          <w:sz w:val="21"/>
        </w:rPr>
        <w:t>Supplementary Table S7. Robustness analyses for the VM/min-by-age interaction</w:t>
      </w:r>
    </w:p>
    <w:tbl>
      <w:tblPr>
        <w:tblStyle w:val="TableGrid"/>
        <w:tblW w:type="auto" w:w="0"/>
        <w:jc w:val="center"/>
        <w:tblLook w:firstColumn="1" w:firstRow="1" w:lastColumn="0" w:lastRow="0" w:noHBand="0" w:noVBand="1" w:val="04A0"/>
      </w:tblPr>
      <w:tblGrid>
        <w:gridCol w:w="1656"/>
        <w:gridCol w:w="1656"/>
        <w:gridCol w:w="1656"/>
        <w:gridCol w:w="1656"/>
        <w:gridCol w:w="1656"/>
        <w:gridCol w:w="1656"/>
      </w:tblGrid>
      <w:tr>
        <w:trPr>
          <w:tblHeader w:val="true"/>
        </w:trPr>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Analysis</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N</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Interaction statistic</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P value</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Age-20 effect, %</w:t>
            </w:r>
          </w:p>
        </w:tc>
        <w:tc>
          <w:tcPr>
            <w:tcW w:type="dxa" w:w="1656"/>
            <w:vAlign w:val="center"/>
            <w:tcMar>
              <w:top w:w="40" w:type="dxa"/>
              <w:start w:w="50" w:type="dxa"/>
              <w:bottom w:w="40" w:type="dxa"/>
              <w:end w:w="50" w:type="dxa"/>
            </w:tcMar>
          </w:tcPr>
          <w:p>
            <w:pPr>
              <w:spacing w:line="240" w:lineRule="auto" w:after="0"/>
              <w:jc w:val="center"/>
            </w:pPr>
            <w:r>
              <w:rPr>
                <w:rFonts w:ascii="Arial" w:hAnsi="Arial"/>
                <w:b/>
                <w:sz w:val="17"/>
              </w:rPr>
              <w:t>Age-60 effect, %</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Primary analysis</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35.72</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-14.3</w:t>
            </w:r>
          </w:p>
        </w:tc>
        <w:tc>
          <w:tcPr>
            <w:tcW w:type="dxa" w:w="1656"/>
            <w:vAlign w:val="center"/>
            <w:tcMar>
              <w:top w:w="40" w:type="dxa"/>
              <w:start w:w="50" w:type="dxa"/>
              <w:bottom w:w="40" w:type="dxa"/>
              <w:end w:w="50" w:type="dxa"/>
            </w:tcMar>
          </w:tcPr>
          <w:p>
            <w:pPr>
              <w:spacing w:line="240" w:lineRule="auto" w:after="0"/>
            </w:pPr>
            <w:r>
              <w:rPr>
                <w:rFonts w:ascii="Arial" w:hAnsi="Arial"/>
                <w:sz w:val="17"/>
              </w:rPr>
              <w:t>18.6</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Negative-binomial outcome model</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34.95</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w:t>
            </w:r>
          </w:p>
        </w:tc>
        <w:tc>
          <w:tcPr>
            <w:tcW w:type="dxa" w:w="1656"/>
            <w:vAlign w:val="center"/>
            <w:tcMar>
              <w:top w:w="40" w:type="dxa"/>
              <w:start w:w="50" w:type="dxa"/>
              <w:bottom w:w="40" w:type="dxa"/>
              <w:end w:w="50" w:type="dxa"/>
            </w:tcMar>
          </w:tcPr>
          <w:p>
            <w:pPr>
              <w:spacing w:line="240" w:lineRule="auto" w:after="0"/>
            </w:pPr>
            <w:r>
              <w:rPr>
                <w:rFonts w:ascii="Arial" w:hAnsi="Arial"/>
                <w:sz w:val="17"/>
              </w:rPr>
              <w:t>-</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Log-normal outcome model</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14.56</w:t>
            </w:r>
          </w:p>
        </w:tc>
        <w:tc>
          <w:tcPr>
            <w:tcW w:type="dxa" w:w="1656"/>
            <w:vAlign w:val="center"/>
            <w:tcMar>
              <w:top w:w="40" w:type="dxa"/>
              <w:start w:w="50" w:type="dxa"/>
              <w:bottom w:w="40" w:type="dxa"/>
              <w:end w:w="50" w:type="dxa"/>
            </w:tcMar>
          </w:tcPr>
          <w:p>
            <w:pPr>
              <w:spacing w:line="240" w:lineRule="auto" w:after="0"/>
            </w:pPr>
            <w:r>
              <w:rPr>
                <w:rFonts w:ascii="Arial" w:hAnsi="Arial"/>
                <w:sz w:val="17"/>
              </w:rPr>
              <w:t>0.0022</w:t>
            </w:r>
          </w:p>
        </w:tc>
        <w:tc>
          <w:tcPr>
            <w:tcW w:type="dxa" w:w="1656"/>
            <w:vAlign w:val="center"/>
            <w:tcMar>
              <w:top w:w="40" w:type="dxa"/>
              <w:start w:w="50" w:type="dxa"/>
              <w:bottom w:w="40" w:type="dxa"/>
              <w:end w:w="50" w:type="dxa"/>
            </w:tcMar>
          </w:tcPr>
          <w:p>
            <w:pPr>
              <w:spacing w:line="240" w:lineRule="auto" w:after="0"/>
            </w:pPr>
            <w:r>
              <w:rPr>
                <w:rFonts w:ascii="Arial" w:hAnsi="Arial"/>
                <w:sz w:val="17"/>
              </w:rPr>
              <w:t>-</w:t>
            </w:r>
          </w:p>
        </w:tc>
        <w:tc>
          <w:tcPr>
            <w:tcW w:type="dxa" w:w="1656"/>
            <w:vAlign w:val="center"/>
            <w:tcMar>
              <w:top w:w="40" w:type="dxa"/>
              <w:start w:w="50" w:type="dxa"/>
              <w:bottom w:w="40" w:type="dxa"/>
              <w:end w:w="50" w:type="dxa"/>
            </w:tcMar>
          </w:tcPr>
          <w:p>
            <w:pPr>
              <w:spacing w:line="240" w:lineRule="auto" w:after="0"/>
            </w:pPr>
            <w:r>
              <w:rPr>
                <w:rFonts w:ascii="Arial" w:hAnsi="Arial"/>
                <w:sz w:val="17"/>
              </w:rPr>
              <w:t>-</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Age ≤65 years</w:t>
            </w:r>
          </w:p>
        </w:tc>
        <w:tc>
          <w:tcPr>
            <w:tcW w:type="dxa" w:w="1656"/>
            <w:vAlign w:val="center"/>
            <w:tcMar>
              <w:top w:w="40" w:type="dxa"/>
              <w:start w:w="50" w:type="dxa"/>
              <w:bottom w:w="40" w:type="dxa"/>
              <w:end w:w="50" w:type="dxa"/>
            </w:tcMar>
          </w:tcPr>
          <w:p>
            <w:pPr>
              <w:spacing w:line="240" w:lineRule="auto" w:after="0"/>
            </w:pPr>
            <w:r>
              <w:rPr>
                <w:rFonts w:ascii="Arial" w:hAnsi="Arial"/>
                <w:sz w:val="17"/>
              </w:rPr>
              <w:t>243</w:t>
            </w:r>
          </w:p>
        </w:tc>
        <w:tc>
          <w:tcPr>
            <w:tcW w:type="dxa" w:w="1656"/>
            <w:vAlign w:val="center"/>
            <w:tcMar>
              <w:top w:w="40" w:type="dxa"/>
              <w:start w:w="50" w:type="dxa"/>
              <w:bottom w:w="40" w:type="dxa"/>
              <w:end w:w="50" w:type="dxa"/>
            </w:tcMar>
          </w:tcPr>
          <w:p>
            <w:pPr>
              <w:spacing w:line="240" w:lineRule="auto" w:after="0"/>
            </w:pPr>
            <w:r>
              <w:rPr>
                <w:rFonts w:ascii="Arial" w:hAnsi="Arial"/>
                <w:sz w:val="17"/>
              </w:rPr>
              <w:t>13.64</w:t>
            </w:r>
          </w:p>
        </w:tc>
        <w:tc>
          <w:tcPr>
            <w:tcW w:type="dxa" w:w="1656"/>
            <w:vAlign w:val="center"/>
            <w:tcMar>
              <w:top w:w="40" w:type="dxa"/>
              <w:start w:w="50" w:type="dxa"/>
              <w:bottom w:w="40" w:type="dxa"/>
              <w:end w:w="50" w:type="dxa"/>
            </w:tcMar>
          </w:tcPr>
          <w:p>
            <w:pPr>
              <w:spacing w:line="240" w:lineRule="auto" w:after="0"/>
            </w:pPr>
            <w:r>
              <w:rPr>
                <w:rFonts w:ascii="Arial" w:hAnsi="Arial"/>
                <w:sz w:val="17"/>
              </w:rPr>
              <w:t>0.0034</w:t>
            </w:r>
          </w:p>
        </w:tc>
        <w:tc>
          <w:tcPr>
            <w:tcW w:type="dxa" w:w="1656"/>
            <w:vAlign w:val="center"/>
            <w:tcMar>
              <w:top w:w="40" w:type="dxa"/>
              <w:start w:w="50" w:type="dxa"/>
              <w:bottom w:w="40" w:type="dxa"/>
              <w:end w:w="50" w:type="dxa"/>
            </w:tcMar>
          </w:tcPr>
          <w:p>
            <w:pPr>
              <w:spacing w:line="240" w:lineRule="auto" w:after="0"/>
            </w:pPr>
            <w:r>
              <w:rPr>
                <w:rFonts w:ascii="Arial" w:hAnsi="Arial"/>
                <w:sz w:val="17"/>
              </w:rPr>
              <w:t>-13.7</w:t>
            </w:r>
          </w:p>
        </w:tc>
        <w:tc>
          <w:tcPr>
            <w:tcW w:type="dxa" w:w="1656"/>
            <w:vAlign w:val="center"/>
            <w:tcMar>
              <w:top w:w="40" w:type="dxa"/>
              <w:start w:w="50" w:type="dxa"/>
              <w:bottom w:w="40" w:type="dxa"/>
              <w:end w:w="50" w:type="dxa"/>
            </w:tcMar>
          </w:tcPr>
          <w:p>
            <w:pPr>
              <w:spacing w:line="240" w:lineRule="auto" w:after="0"/>
            </w:pPr>
            <w:r>
              <w:rPr>
                <w:rFonts w:ascii="Arial" w:hAnsi="Arial"/>
                <w:sz w:val="17"/>
              </w:rPr>
              <w:t>13.5</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Additional adjustment for sleep duration and efficiency</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36.15</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-14.1</w:t>
            </w:r>
          </w:p>
        </w:tc>
        <w:tc>
          <w:tcPr>
            <w:tcW w:type="dxa" w:w="1656"/>
            <w:vAlign w:val="center"/>
            <w:tcMar>
              <w:top w:w="40" w:type="dxa"/>
              <w:start w:w="50" w:type="dxa"/>
              <w:bottom w:w="40" w:type="dxa"/>
              <w:end w:w="50" w:type="dxa"/>
            </w:tcMar>
          </w:tcPr>
          <w:p>
            <w:pPr>
              <w:spacing w:line="240" w:lineRule="auto" w:after="0"/>
            </w:pPr>
            <w:r>
              <w:rPr>
                <w:rFonts w:ascii="Arial" w:hAnsi="Arial"/>
                <w:sz w:val="17"/>
              </w:rPr>
              <w:t>19.1</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All eligible admissions; patient-clustered robust SE</w:t>
            </w:r>
          </w:p>
        </w:tc>
        <w:tc>
          <w:tcPr>
            <w:tcW w:type="dxa" w:w="1656"/>
            <w:vAlign w:val="center"/>
            <w:tcMar>
              <w:top w:w="40" w:type="dxa"/>
              <w:start w:w="50" w:type="dxa"/>
              <w:bottom w:w="40" w:type="dxa"/>
              <w:end w:w="50" w:type="dxa"/>
            </w:tcMar>
          </w:tcPr>
          <w:p>
            <w:pPr>
              <w:spacing w:line="240" w:lineRule="auto" w:after="0"/>
            </w:pPr>
            <w:r>
              <w:rPr>
                <w:rFonts w:ascii="Arial" w:hAnsi="Arial"/>
                <w:sz w:val="17"/>
              </w:rPr>
              <w:t>260</w:t>
            </w:r>
          </w:p>
        </w:tc>
        <w:tc>
          <w:tcPr>
            <w:tcW w:type="dxa" w:w="1656"/>
            <w:vAlign w:val="center"/>
            <w:tcMar>
              <w:top w:w="40" w:type="dxa"/>
              <w:start w:w="50" w:type="dxa"/>
              <w:bottom w:w="40" w:type="dxa"/>
              <w:end w:w="50" w:type="dxa"/>
            </w:tcMar>
          </w:tcPr>
          <w:p>
            <w:pPr>
              <w:spacing w:line="240" w:lineRule="auto" w:after="0"/>
            </w:pPr>
            <w:r>
              <w:rPr>
                <w:rFonts w:ascii="Arial" w:hAnsi="Arial"/>
                <w:sz w:val="17"/>
              </w:rPr>
              <w:t>34.56</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w:t>
            </w:r>
          </w:p>
        </w:tc>
        <w:tc>
          <w:tcPr>
            <w:tcW w:type="dxa" w:w="1656"/>
            <w:vAlign w:val="center"/>
            <w:tcMar>
              <w:top w:w="40" w:type="dxa"/>
              <w:start w:w="50" w:type="dxa"/>
              <w:bottom w:w="40" w:type="dxa"/>
              <w:end w:w="50" w:type="dxa"/>
            </w:tcMar>
          </w:tcPr>
          <w:p>
            <w:pPr>
              <w:spacing w:line="240" w:lineRule="auto" w:after="0"/>
            </w:pPr>
            <w:r>
              <w:rPr>
                <w:rFonts w:ascii="Arial" w:hAnsi="Arial"/>
                <w:sz w:val="17"/>
              </w:rPr>
              <w:t>-</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Exclude highest 1% post-landmark LOS</w:t>
            </w:r>
          </w:p>
        </w:tc>
        <w:tc>
          <w:tcPr>
            <w:tcW w:type="dxa" w:w="1656"/>
            <w:vAlign w:val="center"/>
            <w:tcMar>
              <w:top w:w="40" w:type="dxa"/>
              <w:start w:w="50" w:type="dxa"/>
              <w:bottom w:w="40" w:type="dxa"/>
              <w:end w:w="50" w:type="dxa"/>
            </w:tcMar>
          </w:tcPr>
          <w:p>
            <w:pPr>
              <w:spacing w:line="240" w:lineRule="auto" w:after="0"/>
            </w:pPr>
            <w:r>
              <w:rPr>
                <w:rFonts w:ascii="Arial" w:hAnsi="Arial"/>
                <w:sz w:val="17"/>
              </w:rPr>
              <w:t>252</w:t>
            </w:r>
          </w:p>
        </w:tc>
        <w:tc>
          <w:tcPr>
            <w:tcW w:type="dxa" w:w="1656"/>
            <w:vAlign w:val="center"/>
            <w:tcMar>
              <w:top w:w="40" w:type="dxa"/>
              <w:start w:w="50" w:type="dxa"/>
              <w:bottom w:w="40" w:type="dxa"/>
              <w:end w:w="50" w:type="dxa"/>
            </w:tcMar>
          </w:tcPr>
          <w:p>
            <w:pPr>
              <w:spacing w:line="240" w:lineRule="auto" w:after="0"/>
            </w:pPr>
            <w:r>
              <w:rPr>
                <w:rFonts w:ascii="Arial" w:hAnsi="Arial"/>
                <w:sz w:val="17"/>
              </w:rPr>
              <w:t>16.45</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-14.4</w:t>
            </w:r>
          </w:p>
        </w:tc>
        <w:tc>
          <w:tcPr>
            <w:tcW w:type="dxa" w:w="1656"/>
            <w:vAlign w:val="center"/>
            <w:tcMar>
              <w:top w:w="40" w:type="dxa"/>
              <w:start w:w="50" w:type="dxa"/>
              <w:bottom w:w="40" w:type="dxa"/>
              <w:end w:w="50" w:type="dxa"/>
            </w:tcMar>
          </w:tcPr>
          <w:p>
            <w:pPr>
              <w:spacing w:line="240" w:lineRule="auto" w:after="0"/>
            </w:pPr>
            <w:r>
              <w:rPr>
                <w:rFonts w:ascii="Arial" w:hAnsi="Arial"/>
                <w:sz w:val="17"/>
              </w:rPr>
              <w:t>13.8</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Exclude lowest and highest 1% VM/min</w:t>
            </w:r>
          </w:p>
        </w:tc>
        <w:tc>
          <w:tcPr>
            <w:tcW w:type="dxa" w:w="1656"/>
            <w:vAlign w:val="center"/>
            <w:tcMar>
              <w:top w:w="40" w:type="dxa"/>
              <w:start w:w="50" w:type="dxa"/>
              <w:bottom w:w="40" w:type="dxa"/>
              <w:end w:w="50" w:type="dxa"/>
            </w:tcMar>
          </w:tcPr>
          <w:p>
            <w:pPr>
              <w:spacing w:line="240" w:lineRule="auto" w:after="0"/>
            </w:pPr>
            <w:r>
              <w:rPr>
                <w:rFonts w:ascii="Arial" w:hAnsi="Arial"/>
                <w:sz w:val="17"/>
              </w:rPr>
              <w:t>249</w:t>
            </w:r>
          </w:p>
        </w:tc>
        <w:tc>
          <w:tcPr>
            <w:tcW w:type="dxa" w:w="1656"/>
            <w:vAlign w:val="center"/>
            <w:tcMar>
              <w:top w:w="40" w:type="dxa"/>
              <w:start w:w="50" w:type="dxa"/>
              <w:bottom w:w="40" w:type="dxa"/>
              <w:end w:w="50" w:type="dxa"/>
            </w:tcMar>
          </w:tcPr>
          <w:p>
            <w:pPr>
              <w:spacing w:line="240" w:lineRule="auto" w:after="0"/>
            </w:pPr>
            <w:r>
              <w:rPr>
                <w:rFonts w:ascii="Arial" w:hAnsi="Arial"/>
                <w:sz w:val="17"/>
              </w:rPr>
              <w:t>19.55</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-10.0</w:t>
            </w:r>
          </w:p>
        </w:tc>
        <w:tc>
          <w:tcPr>
            <w:tcW w:type="dxa" w:w="1656"/>
            <w:vAlign w:val="center"/>
            <w:tcMar>
              <w:top w:w="40" w:type="dxa"/>
              <w:start w:w="50" w:type="dxa"/>
              <w:bottom w:w="40" w:type="dxa"/>
              <w:end w:w="50" w:type="dxa"/>
            </w:tcMar>
          </w:tcPr>
          <w:p>
            <w:pPr>
              <w:spacing w:line="240" w:lineRule="auto" w:after="0"/>
            </w:pPr>
            <w:r>
              <w:rPr>
                <w:rFonts w:ascii="Arial" w:hAnsi="Arial"/>
                <w:sz w:val="17"/>
              </w:rPr>
              <w:t>16.7</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Winsorize LOS upper 1% and both VM/min tails</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25.43</w:t>
            </w:r>
          </w:p>
        </w:tc>
        <w:tc>
          <w:tcPr>
            <w:tcW w:type="dxa" w:w="1656"/>
            <w:vAlign w:val="center"/>
            <w:tcMar>
              <w:top w:w="40" w:type="dxa"/>
              <w:start w:w="50" w:type="dxa"/>
              <w:bottom w:w="40" w:type="dxa"/>
              <w:end w:w="50" w:type="dxa"/>
            </w:tcMar>
          </w:tcPr>
          <w:p>
            <w:pPr>
              <w:spacing w:line="240" w:lineRule="auto" w:after="0"/>
            </w:pPr>
            <w:r>
              <w:rPr>
                <w:rFonts w:ascii="Arial" w:hAnsi="Arial"/>
                <w:sz w:val="17"/>
              </w:rPr>
              <w:t>&lt; 0.001</w:t>
            </w:r>
          </w:p>
        </w:tc>
        <w:tc>
          <w:tcPr>
            <w:tcW w:type="dxa" w:w="1656"/>
            <w:vAlign w:val="center"/>
            <w:tcMar>
              <w:top w:w="40" w:type="dxa"/>
              <w:start w:w="50" w:type="dxa"/>
              <w:bottom w:w="40" w:type="dxa"/>
              <w:end w:w="50" w:type="dxa"/>
            </w:tcMar>
          </w:tcPr>
          <w:p>
            <w:pPr>
              <w:spacing w:line="240" w:lineRule="auto" w:after="0"/>
            </w:pPr>
            <w:r>
              <w:rPr>
                <w:rFonts w:ascii="Arial" w:hAnsi="Arial"/>
                <w:sz w:val="17"/>
              </w:rPr>
              <w:t>-14.0</w:t>
            </w:r>
          </w:p>
        </w:tc>
        <w:tc>
          <w:tcPr>
            <w:tcW w:type="dxa" w:w="1656"/>
            <w:vAlign w:val="center"/>
            <w:tcMar>
              <w:top w:w="40" w:type="dxa"/>
              <w:start w:w="50" w:type="dxa"/>
              <w:bottom w:w="40" w:type="dxa"/>
              <w:end w:w="50" w:type="dxa"/>
            </w:tcMar>
          </w:tcPr>
          <w:p>
            <w:pPr>
              <w:spacing w:line="240" w:lineRule="auto" w:after="0"/>
            </w:pPr>
            <w:r>
              <w:rPr>
                <w:rFonts w:ascii="Arial" w:hAnsi="Arial"/>
                <w:sz w:val="17"/>
              </w:rPr>
              <w:t>16.5</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Delete most influential participant</w:t>
            </w:r>
          </w:p>
        </w:tc>
        <w:tc>
          <w:tcPr>
            <w:tcW w:type="dxa" w:w="1656"/>
            <w:vAlign w:val="center"/>
            <w:tcMar>
              <w:top w:w="40" w:type="dxa"/>
              <w:start w:w="50" w:type="dxa"/>
              <w:bottom w:w="40" w:type="dxa"/>
              <w:end w:w="50" w:type="dxa"/>
            </w:tcMar>
          </w:tcPr>
          <w:p>
            <w:pPr>
              <w:spacing w:line="240" w:lineRule="auto" w:after="0"/>
            </w:pPr>
            <w:r>
              <w:rPr>
                <w:rFonts w:ascii="Arial" w:hAnsi="Arial"/>
                <w:sz w:val="17"/>
              </w:rPr>
              <w:t>254</w:t>
            </w:r>
          </w:p>
        </w:tc>
        <w:tc>
          <w:tcPr>
            <w:tcW w:type="dxa" w:w="1656"/>
            <w:vAlign w:val="center"/>
            <w:tcMar>
              <w:top w:w="40" w:type="dxa"/>
              <w:start w:w="50" w:type="dxa"/>
              <w:bottom w:w="40" w:type="dxa"/>
              <w:end w:w="50" w:type="dxa"/>
            </w:tcMar>
          </w:tcPr>
          <w:p>
            <w:pPr>
              <w:spacing w:line="240" w:lineRule="auto" w:after="0"/>
            </w:pPr>
            <w:r>
              <w:rPr>
                <w:rFonts w:ascii="Arial" w:hAnsi="Arial"/>
                <w:sz w:val="17"/>
              </w:rPr>
              <w:t>14.91</w:t>
            </w:r>
          </w:p>
        </w:tc>
        <w:tc>
          <w:tcPr>
            <w:tcW w:type="dxa" w:w="1656"/>
            <w:vAlign w:val="center"/>
            <w:tcMar>
              <w:top w:w="40" w:type="dxa"/>
              <w:start w:w="50" w:type="dxa"/>
              <w:bottom w:w="40" w:type="dxa"/>
              <w:end w:w="50" w:type="dxa"/>
            </w:tcMar>
          </w:tcPr>
          <w:p>
            <w:pPr>
              <w:spacing w:line="240" w:lineRule="auto" w:after="0"/>
            </w:pPr>
            <w:r>
              <w:rPr>
                <w:rFonts w:ascii="Arial" w:hAnsi="Arial"/>
                <w:sz w:val="17"/>
              </w:rPr>
              <w:t>0.0019</w:t>
            </w:r>
          </w:p>
        </w:tc>
        <w:tc>
          <w:tcPr>
            <w:tcW w:type="dxa" w:w="1656"/>
            <w:vAlign w:val="center"/>
            <w:tcMar>
              <w:top w:w="40" w:type="dxa"/>
              <w:start w:w="50" w:type="dxa"/>
              <w:bottom w:w="40" w:type="dxa"/>
              <w:end w:w="50" w:type="dxa"/>
            </w:tcMar>
          </w:tcPr>
          <w:p>
            <w:pPr>
              <w:spacing w:line="240" w:lineRule="auto" w:after="0"/>
            </w:pPr>
            <w:r>
              <w:rPr>
                <w:rFonts w:ascii="Arial" w:hAnsi="Arial"/>
                <w:sz w:val="17"/>
              </w:rPr>
              <w:t>-13.9</w:t>
            </w:r>
          </w:p>
        </w:tc>
        <w:tc>
          <w:tcPr>
            <w:tcW w:type="dxa" w:w="1656"/>
            <w:vAlign w:val="center"/>
            <w:tcMar>
              <w:top w:w="40" w:type="dxa"/>
              <w:start w:w="50" w:type="dxa"/>
              <w:bottom w:w="40" w:type="dxa"/>
              <w:end w:w="50" w:type="dxa"/>
            </w:tcMar>
          </w:tcPr>
          <w:p>
            <w:pPr>
              <w:spacing w:line="240" w:lineRule="auto" w:after="0"/>
            </w:pPr>
            <w:r>
              <w:rPr>
                <w:rFonts w:ascii="Arial" w:hAnsi="Arial"/>
                <w:sz w:val="17"/>
              </w:rPr>
              <w:t>13.3</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Leave-one-out refitting</w:t>
            </w:r>
          </w:p>
        </w:tc>
        <w:tc>
          <w:tcPr>
            <w:tcW w:type="dxa" w:w="1656"/>
            <w:vAlign w:val="center"/>
            <w:tcMar>
              <w:top w:w="40" w:type="dxa"/>
              <w:start w:w="50" w:type="dxa"/>
              <w:bottom w:w="40" w:type="dxa"/>
              <w:end w:w="50" w:type="dxa"/>
            </w:tcMar>
          </w:tcPr>
          <w:p>
            <w:pPr>
              <w:spacing w:line="240" w:lineRule="auto" w:after="0"/>
            </w:pPr>
            <w:r>
              <w:rPr>
                <w:rFonts w:ascii="Arial" w:hAnsi="Arial"/>
                <w:sz w:val="17"/>
              </w:rPr>
              <w:t>255 models</w:t>
            </w:r>
          </w:p>
        </w:tc>
        <w:tc>
          <w:tcPr>
            <w:tcW w:type="dxa" w:w="1656"/>
            <w:vAlign w:val="center"/>
            <w:tcMar>
              <w:top w:w="40" w:type="dxa"/>
              <w:start w:w="50" w:type="dxa"/>
              <w:bottom w:w="40" w:type="dxa"/>
              <w:end w:w="50" w:type="dxa"/>
            </w:tcMar>
          </w:tcPr>
          <w:p>
            <w:pPr>
              <w:spacing w:line="240" w:lineRule="auto" w:after="0"/>
            </w:pPr>
            <w:r>
              <w:rPr>
                <w:rFonts w:ascii="Arial" w:hAnsi="Arial"/>
                <w:sz w:val="17"/>
              </w:rPr>
              <w:t>All significant</w:t>
            </w:r>
          </w:p>
        </w:tc>
        <w:tc>
          <w:tcPr>
            <w:tcW w:type="dxa" w:w="1656"/>
            <w:vAlign w:val="center"/>
            <w:tcMar>
              <w:top w:w="40" w:type="dxa"/>
              <w:start w:w="50" w:type="dxa"/>
              <w:bottom w:w="40" w:type="dxa"/>
              <w:end w:w="50" w:type="dxa"/>
            </w:tcMar>
          </w:tcPr>
          <w:p>
            <w:pPr>
              <w:spacing w:line="240" w:lineRule="auto" w:after="0"/>
            </w:pPr>
            <w:r>
              <w:rPr>
                <w:rFonts w:ascii="Arial" w:hAnsi="Arial"/>
                <w:sz w:val="17"/>
              </w:rPr>
              <w:t>largest P=0.0019</w:t>
            </w:r>
          </w:p>
        </w:tc>
        <w:tc>
          <w:tcPr>
            <w:tcW w:type="dxa" w:w="1656"/>
            <w:vAlign w:val="center"/>
            <w:tcMar>
              <w:top w:w="40" w:type="dxa"/>
              <w:start w:w="50" w:type="dxa"/>
              <w:bottom w:w="40" w:type="dxa"/>
              <w:end w:w="50" w:type="dxa"/>
            </w:tcMar>
          </w:tcPr>
          <w:p>
            <w:pPr>
              <w:spacing w:line="240" w:lineRule="auto" w:after="0"/>
            </w:pPr>
            <w:r>
              <w:rPr>
                <w:rFonts w:ascii="Arial" w:hAnsi="Arial"/>
                <w:sz w:val="17"/>
              </w:rPr>
              <w:t>-16.3 to -12.8</w:t>
            </w:r>
          </w:p>
        </w:tc>
        <w:tc>
          <w:tcPr>
            <w:tcW w:type="dxa" w:w="1656"/>
            <w:vAlign w:val="center"/>
            <w:tcMar>
              <w:top w:w="40" w:type="dxa"/>
              <w:start w:w="50" w:type="dxa"/>
              <w:bottom w:w="40" w:type="dxa"/>
              <w:end w:w="50" w:type="dxa"/>
            </w:tcMar>
          </w:tcPr>
          <w:p>
            <w:pPr>
              <w:spacing w:line="240" w:lineRule="auto" w:after="0"/>
            </w:pPr>
            <w:r>
              <w:rPr>
                <w:rFonts w:ascii="Arial" w:hAnsi="Arial"/>
                <w:sz w:val="17"/>
              </w:rPr>
              <w:t>13.3 to 20.9</w:t>
            </w:r>
          </w:p>
        </w:tc>
      </w:tr>
      <w:tr>
        <w:tc>
          <w:tcPr>
            <w:tcW w:type="dxa" w:w="1656"/>
            <w:vAlign w:val="center"/>
            <w:tcMar>
              <w:top w:w="40" w:type="dxa"/>
              <w:start w:w="50" w:type="dxa"/>
              <w:bottom w:w="40" w:type="dxa"/>
              <w:end w:w="50" w:type="dxa"/>
            </w:tcMar>
          </w:tcPr>
          <w:p>
            <w:pPr>
              <w:spacing w:line="240" w:lineRule="auto" w:after="0"/>
            </w:pPr>
            <w:r>
              <w:rPr>
                <w:rFonts w:ascii="Arial" w:hAnsi="Arial"/>
                <w:sz w:val="17"/>
              </w:rPr>
              <w:t>Patient-level bootstrap, 1000 resamples</w:t>
            </w:r>
          </w:p>
        </w:tc>
        <w:tc>
          <w:tcPr>
            <w:tcW w:type="dxa" w:w="1656"/>
            <w:vAlign w:val="center"/>
            <w:tcMar>
              <w:top w:w="40" w:type="dxa"/>
              <w:start w:w="50" w:type="dxa"/>
              <w:bottom w:w="40" w:type="dxa"/>
              <w:end w:w="50" w:type="dxa"/>
            </w:tcMar>
          </w:tcPr>
          <w:p>
            <w:pPr>
              <w:spacing w:line="240" w:lineRule="auto" w:after="0"/>
            </w:pPr>
            <w:r>
              <w:rPr>
                <w:rFonts w:ascii="Arial" w:hAnsi="Arial"/>
                <w:sz w:val="17"/>
              </w:rPr>
              <w:t>255</w:t>
            </w:r>
          </w:p>
        </w:tc>
        <w:tc>
          <w:tcPr>
            <w:tcW w:type="dxa" w:w="1656"/>
            <w:vAlign w:val="center"/>
            <w:tcMar>
              <w:top w:w="40" w:type="dxa"/>
              <w:start w:w="50" w:type="dxa"/>
              <w:bottom w:w="40" w:type="dxa"/>
              <w:end w:w="50" w:type="dxa"/>
            </w:tcMar>
          </w:tcPr>
          <w:p>
            <w:pPr>
              <w:spacing w:line="240" w:lineRule="auto" w:after="0"/>
            </w:pPr>
            <w:r>
              <w:rPr>
                <w:rFonts w:ascii="Arial" w:hAnsi="Arial"/>
                <w:sz w:val="17"/>
              </w:rPr>
              <w:t>-</w:t>
            </w:r>
          </w:p>
        </w:tc>
        <w:tc>
          <w:tcPr>
            <w:tcW w:type="dxa" w:w="1656"/>
            <w:vAlign w:val="center"/>
            <w:tcMar>
              <w:top w:w="40" w:type="dxa"/>
              <w:start w:w="50" w:type="dxa"/>
              <w:bottom w:w="40" w:type="dxa"/>
              <w:end w:w="50" w:type="dxa"/>
            </w:tcMar>
          </w:tcPr>
          <w:p>
            <w:pPr>
              <w:spacing w:line="240" w:lineRule="auto" w:after="0"/>
            </w:pPr>
            <w:r>
              <w:rPr>
                <w:rFonts w:ascii="Arial" w:hAnsi="Arial"/>
                <w:sz w:val="17"/>
              </w:rPr>
              <w:t>-</w:t>
            </w:r>
          </w:p>
        </w:tc>
        <w:tc>
          <w:tcPr>
            <w:tcW w:type="dxa" w:w="1656"/>
            <w:vAlign w:val="center"/>
            <w:tcMar>
              <w:top w:w="40" w:type="dxa"/>
              <w:start w:w="50" w:type="dxa"/>
              <w:bottom w:w="40" w:type="dxa"/>
              <w:end w:w="50" w:type="dxa"/>
            </w:tcMar>
          </w:tcPr>
          <w:p>
            <w:pPr>
              <w:spacing w:line="240" w:lineRule="auto" w:after="0"/>
            </w:pPr>
            <w:r>
              <w:rPr>
                <w:rFonts w:ascii="Arial" w:hAnsi="Arial"/>
                <w:sz w:val="17"/>
              </w:rPr>
              <w:t>-14.6 [-22.9 to -1.4]</w:t>
            </w:r>
          </w:p>
        </w:tc>
        <w:tc>
          <w:tcPr>
            <w:tcW w:type="dxa" w:w="1656"/>
            <w:vAlign w:val="center"/>
            <w:tcMar>
              <w:top w:w="40" w:type="dxa"/>
              <w:start w:w="50" w:type="dxa"/>
              <w:bottom w:w="40" w:type="dxa"/>
              <w:end w:w="50" w:type="dxa"/>
            </w:tcMar>
          </w:tcPr>
          <w:p>
            <w:pPr>
              <w:spacing w:line="240" w:lineRule="auto" w:after="0"/>
            </w:pPr>
            <w:r>
              <w:rPr>
                <w:rFonts w:ascii="Arial" w:hAnsi="Arial"/>
                <w:sz w:val="17"/>
              </w:rPr>
              <w:t>17.8 [2.9 to 30.8]</w:t>
            </w:r>
          </w:p>
        </w:tc>
      </w:tr>
    </w:tbl>
    <w:p>
      <w:r>
        <w:rPr>
          <w:i/>
          <w:sz w:val="17"/>
        </w:rPr>
        <w:t>Note. The interaction statistic is the joint 3-df Wald chi-square for the VM/min-by-age terms unless otherwise indicated. Tail analyses were performed separately for post-landmark LOS and VM/min; winsorization replaced rather than deleted tail values. Bootstrap entries are medians [2.5th to 97.5th percentiles]. In bootstrap resamples generated with random seed 2026, the age-20 effect was negative in 98.2% and the age-60 effect was positive in 98.7%. P values in this table are unadjusted sensitivity-analysis P values. LOS, length of stay; SE, standard error.</w:t>
      </w:r>
    </w:p>
    <w:p>
      <w:r>
        <w:rPr>
          <w:b/>
          <w:sz w:val="21"/>
        </w:rPr>
        <w:t>Supplementary Table S8. Observed age support around representative ages</w:t>
      </w:r>
    </w:p>
    <w:tbl>
      <w:tblPr>
        <w:tblStyle w:val="TableGrid"/>
        <w:tblW w:type="auto" w:w="0"/>
        <w:jc w:val="center"/>
        <w:tblLook w:firstColumn="1" w:firstRow="1" w:lastColumn="0" w:lastRow="0" w:noHBand="0" w:noVBand="1" w:val="04A0"/>
      </w:tblPr>
      <w:tblGrid>
        <w:gridCol w:w="3312"/>
        <w:gridCol w:w="3312"/>
        <w:gridCol w:w="3312"/>
      </w:tblGrid>
      <w:tr>
        <w:trPr>
          <w:tblHeader w:val="true"/>
        </w:trPr>
        <w:tc>
          <w:tcPr>
            <w:tcW w:type="dxa" w:w="3312"/>
            <w:vAlign w:val="center"/>
            <w:tcMar>
              <w:top w:w="40" w:type="dxa"/>
              <w:start w:w="50" w:type="dxa"/>
              <w:bottom w:w="40" w:type="dxa"/>
              <w:end w:w="50" w:type="dxa"/>
            </w:tcMar>
          </w:tcPr>
          <w:p>
            <w:pPr>
              <w:spacing w:line="240" w:lineRule="auto" w:after="0"/>
              <w:jc w:val="center"/>
            </w:pPr>
            <w:r>
              <w:rPr>
                <w:rFonts w:ascii="Arial" w:hAnsi="Arial"/>
                <w:b/>
                <w:sz w:val="17"/>
              </w:rPr>
              <w:t>Displayed age</w:t>
            </w:r>
          </w:p>
        </w:tc>
        <w:tc>
          <w:tcPr>
            <w:tcW w:type="dxa" w:w="3312"/>
            <w:vAlign w:val="center"/>
            <w:tcMar>
              <w:top w:w="40" w:type="dxa"/>
              <w:start w:w="50" w:type="dxa"/>
              <w:bottom w:w="40" w:type="dxa"/>
              <w:end w:w="50" w:type="dxa"/>
            </w:tcMar>
          </w:tcPr>
          <w:p>
            <w:pPr>
              <w:spacing w:line="240" w:lineRule="auto" w:after="0"/>
              <w:jc w:val="center"/>
            </w:pPr>
            <w:r>
              <w:rPr>
                <w:rFonts w:ascii="Arial" w:hAnsi="Arial"/>
                <w:b/>
                <w:sz w:val="17"/>
              </w:rPr>
              <w:t>Local support window</w:t>
            </w:r>
          </w:p>
        </w:tc>
        <w:tc>
          <w:tcPr>
            <w:tcW w:type="dxa" w:w="3312"/>
            <w:vAlign w:val="center"/>
            <w:tcMar>
              <w:top w:w="40" w:type="dxa"/>
              <w:start w:w="50" w:type="dxa"/>
              <w:bottom w:w="40" w:type="dxa"/>
              <w:end w:w="50" w:type="dxa"/>
            </w:tcMar>
          </w:tcPr>
          <w:p>
            <w:pPr>
              <w:spacing w:line="240" w:lineRule="auto" w:after="0"/>
              <w:jc w:val="center"/>
            </w:pPr>
            <w:r>
              <w:rPr>
                <w:rFonts w:ascii="Arial" w:hAnsi="Arial"/>
                <w:b/>
                <w:sz w:val="17"/>
              </w:rPr>
              <w:t>N</w:t>
            </w:r>
          </w:p>
        </w:tc>
      </w:tr>
      <w:tr>
        <w:tc>
          <w:tcPr>
            <w:tcW w:type="dxa" w:w="3312"/>
            <w:vAlign w:val="center"/>
            <w:tcMar>
              <w:top w:w="40" w:type="dxa"/>
              <w:start w:w="50" w:type="dxa"/>
              <w:bottom w:w="40" w:type="dxa"/>
              <w:end w:w="50" w:type="dxa"/>
            </w:tcMar>
          </w:tcPr>
          <w:p>
            <w:pPr>
              <w:spacing w:line="240" w:lineRule="auto" w:after="0"/>
            </w:pPr>
            <w:r>
              <w:rPr>
                <w:rFonts w:ascii="Arial" w:hAnsi="Arial"/>
                <w:sz w:val="17"/>
              </w:rPr>
              <w:t>Age 20 years</w:t>
            </w:r>
          </w:p>
        </w:tc>
        <w:tc>
          <w:tcPr>
            <w:tcW w:type="dxa" w:w="3312"/>
            <w:vAlign w:val="center"/>
            <w:tcMar>
              <w:top w:w="40" w:type="dxa"/>
              <w:start w:w="50" w:type="dxa"/>
              <w:bottom w:w="40" w:type="dxa"/>
              <w:end w:w="50" w:type="dxa"/>
            </w:tcMar>
          </w:tcPr>
          <w:p>
            <w:pPr>
              <w:spacing w:line="240" w:lineRule="auto" w:after="0"/>
            </w:pPr>
            <w:r>
              <w:rPr>
                <w:rFonts w:ascii="Arial" w:hAnsi="Arial"/>
                <w:sz w:val="17"/>
              </w:rPr>
              <w:t>18-25 years</w:t>
            </w:r>
          </w:p>
        </w:tc>
        <w:tc>
          <w:tcPr>
            <w:tcW w:type="dxa" w:w="3312"/>
            <w:vAlign w:val="center"/>
            <w:tcMar>
              <w:top w:w="40" w:type="dxa"/>
              <w:start w:w="50" w:type="dxa"/>
              <w:bottom w:w="40" w:type="dxa"/>
              <w:end w:w="50" w:type="dxa"/>
            </w:tcMar>
          </w:tcPr>
          <w:p>
            <w:pPr>
              <w:spacing w:line="240" w:lineRule="auto" w:after="0"/>
            </w:pPr>
            <w:r>
              <w:rPr>
                <w:rFonts w:ascii="Arial" w:hAnsi="Arial"/>
                <w:sz w:val="17"/>
              </w:rPr>
              <w:t>65</w:t>
            </w:r>
          </w:p>
        </w:tc>
      </w:tr>
      <w:tr>
        <w:tc>
          <w:tcPr>
            <w:tcW w:type="dxa" w:w="3312"/>
            <w:vAlign w:val="center"/>
            <w:tcMar>
              <w:top w:w="40" w:type="dxa"/>
              <w:start w:w="50" w:type="dxa"/>
              <w:bottom w:w="40" w:type="dxa"/>
              <w:end w:w="50" w:type="dxa"/>
            </w:tcMar>
          </w:tcPr>
          <w:p>
            <w:pPr>
              <w:spacing w:line="240" w:lineRule="auto" w:after="0"/>
            </w:pPr>
            <w:r>
              <w:rPr>
                <w:rFonts w:ascii="Arial" w:hAnsi="Arial"/>
                <w:sz w:val="17"/>
              </w:rPr>
              <w:t>Age 40 years</w:t>
            </w:r>
          </w:p>
        </w:tc>
        <w:tc>
          <w:tcPr>
            <w:tcW w:type="dxa" w:w="3312"/>
            <w:vAlign w:val="center"/>
            <w:tcMar>
              <w:top w:w="40" w:type="dxa"/>
              <w:start w:w="50" w:type="dxa"/>
              <w:bottom w:w="40" w:type="dxa"/>
              <w:end w:w="50" w:type="dxa"/>
            </w:tcMar>
          </w:tcPr>
          <w:p>
            <w:pPr>
              <w:spacing w:line="240" w:lineRule="auto" w:after="0"/>
            </w:pPr>
            <w:r>
              <w:rPr>
                <w:rFonts w:ascii="Arial" w:hAnsi="Arial"/>
                <w:sz w:val="17"/>
              </w:rPr>
              <w:t>35-45 years</w:t>
            </w:r>
          </w:p>
        </w:tc>
        <w:tc>
          <w:tcPr>
            <w:tcW w:type="dxa" w:w="3312"/>
            <w:vAlign w:val="center"/>
            <w:tcMar>
              <w:top w:w="40" w:type="dxa"/>
              <w:start w:w="50" w:type="dxa"/>
              <w:bottom w:w="40" w:type="dxa"/>
              <w:end w:w="50" w:type="dxa"/>
            </w:tcMar>
          </w:tcPr>
          <w:p>
            <w:pPr>
              <w:spacing w:line="240" w:lineRule="auto" w:after="0"/>
            </w:pPr>
            <w:r>
              <w:rPr>
                <w:rFonts w:ascii="Arial" w:hAnsi="Arial"/>
                <w:sz w:val="17"/>
              </w:rPr>
              <w:t>51</w:t>
            </w:r>
          </w:p>
        </w:tc>
      </w:tr>
      <w:tr>
        <w:tc>
          <w:tcPr>
            <w:tcW w:type="dxa" w:w="3312"/>
            <w:vAlign w:val="center"/>
            <w:tcMar>
              <w:top w:w="40" w:type="dxa"/>
              <w:start w:w="50" w:type="dxa"/>
              <w:bottom w:w="40" w:type="dxa"/>
              <w:end w:w="50" w:type="dxa"/>
            </w:tcMar>
          </w:tcPr>
          <w:p>
            <w:pPr>
              <w:spacing w:line="240" w:lineRule="auto" w:after="0"/>
            </w:pPr>
            <w:r>
              <w:rPr>
                <w:rFonts w:ascii="Arial" w:hAnsi="Arial"/>
                <w:sz w:val="17"/>
              </w:rPr>
              <w:t>Age 60 years</w:t>
            </w:r>
          </w:p>
        </w:tc>
        <w:tc>
          <w:tcPr>
            <w:tcW w:type="dxa" w:w="3312"/>
            <w:vAlign w:val="center"/>
            <w:tcMar>
              <w:top w:w="40" w:type="dxa"/>
              <w:start w:w="50" w:type="dxa"/>
              <w:bottom w:w="40" w:type="dxa"/>
              <w:end w:w="50" w:type="dxa"/>
            </w:tcMar>
          </w:tcPr>
          <w:p>
            <w:pPr>
              <w:spacing w:line="240" w:lineRule="auto" w:after="0"/>
            </w:pPr>
            <w:r>
              <w:rPr>
                <w:rFonts w:ascii="Arial" w:hAnsi="Arial"/>
                <w:sz w:val="17"/>
              </w:rPr>
              <w:t>55-65 years</w:t>
            </w:r>
          </w:p>
        </w:tc>
        <w:tc>
          <w:tcPr>
            <w:tcW w:type="dxa" w:w="3312"/>
            <w:vAlign w:val="center"/>
            <w:tcMar>
              <w:top w:w="40" w:type="dxa"/>
              <w:start w:w="50" w:type="dxa"/>
              <w:bottom w:w="40" w:type="dxa"/>
              <w:end w:w="50" w:type="dxa"/>
            </w:tcMar>
          </w:tcPr>
          <w:p>
            <w:pPr>
              <w:spacing w:line="240" w:lineRule="auto" w:after="0"/>
            </w:pPr>
            <w:r>
              <w:rPr>
                <w:rFonts w:ascii="Arial" w:hAnsi="Arial"/>
                <w:sz w:val="17"/>
              </w:rPr>
              <w:t>42</w:t>
            </w:r>
          </w:p>
        </w:tc>
      </w:tr>
      <w:tr>
        <w:tc>
          <w:tcPr>
            <w:tcW w:type="dxa" w:w="3312"/>
            <w:vAlign w:val="center"/>
            <w:tcMar>
              <w:top w:w="40" w:type="dxa"/>
              <w:start w:w="50" w:type="dxa"/>
              <w:bottom w:w="40" w:type="dxa"/>
              <w:end w:w="50" w:type="dxa"/>
            </w:tcMar>
          </w:tcPr>
          <w:p>
            <w:pPr>
              <w:spacing w:line="240" w:lineRule="auto" w:after="0"/>
            </w:pPr>
            <w:r>
              <w:rPr>
                <w:rFonts w:ascii="Arial" w:hAnsi="Arial"/>
                <w:sz w:val="17"/>
              </w:rPr>
              <w:t>Older-age support</w:t>
            </w:r>
          </w:p>
        </w:tc>
        <w:tc>
          <w:tcPr>
            <w:tcW w:type="dxa" w:w="3312"/>
            <w:vAlign w:val="center"/>
            <w:tcMar>
              <w:top w:w="40" w:type="dxa"/>
              <w:start w:w="50" w:type="dxa"/>
              <w:bottom w:w="40" w:type="dxa"/>
              <w:end w:w="50" w:type="dxa"/>
            </w:tcMar>
          </w:tcPr>
          <w:p>
            <w:pPr>
              <w:spacing w:line="240" w:lineRule="auto" w:after="0"/>
            </w:pPr>
            <w:r>
              <w:rPr>
                <w:rFonts w:ascii="Arial" w:hAnsi="Arial"/>
                <w:sz w:val="17"/>
              </w:rPr>
              <w:t>Age &gt;=60 years</w:t>
            </w:r>
          </w:p>
        </w:tc>
        <w:tc>
          <w:tcPr>
            <w:tcW w:type="dxa" w:w="3312"/>
            <w:vAlign w:val="center"/>
            <w:tcMar>
              <w:top w:w="40" w:type="dxa"/>
              <w:start w:w="50" w:type="dxa"/>
              <w:bottom w:w="40" w:type="dxa"/>
              <w:end w:w="50" w:type="dxa"/>
            </w:tcMar>
          </w:tcPr>
          <w:p>
            <w:pPr>
              <w:spacing w:line="240" w:lineRule="auto" w:after="0"/>
            </w:pPr>
            <w:r>
              <w:rPr>
                <w:rFonts w:ascii="Arial" w:hAnsi="Arial"/>
                <w:sz w:val="17"/>
              </w:rPr>
              <w:t>30</w:t>
            </w:r>
          </w:p>
        </w:tc>
      </w:tr>
      <w:tr>
        <w:tc>
          <w:tcPr>
            <w:tcW w:type="dxa" w:w="3312"/>
            <w:vAlign w:val="center"/>
            <w:tcMar>
              <w:top w:w="40" w:type="dxa"/>
              <w:start w:w="50" w:type="dxa"/>
              <w:bottom w:w="40" w:type="dxa"/>
              <w:end w:w="50" w:type="dxa"/>
            </w:tcMar>
          </w:tcPr>
          <w:p>
            <w:pPr>
              <w:spacing w:line="240" w:lineRule="auto" w:after="0"/>
            </w:pPr>
            <w:r>
              <w:rPr>
                <w:rFonts w:ascii="Arial" w:hAnsi="Arial"/>
                <w:sz w:val="17"/>
              </w:rPr>
              <w:t>Oldest-age support</w:t>
            </w:r>
          </w:p>
        </w:tc>
        <w:tc>
          <w:tcPr>
            <w:tcW w:type="dxa" w:w="3312"/>
            <w:vAlign w:val="center"/>
            <w:tcMar>
              <w:top w:w="40" w:type="dxa"/>
              <w:start w:w="50" w:type="dxa"/>
              <w:bottom w:w="40" w:type="dxa"/>
              <w:end w:w="50" w:type="dxa"/>
            </w:tcMar>
          </w:tcPr>
          <w:p>
            <w:pPr>
              <w:spacing w:line="240" w:lineRule="auto" w:after="0"/>
            </w:pPr>
            <w:r>
              <w:rPr>
                <w:rFonts w:ascii="Arial" w:hAnsi="Arial"/>
                <w:sz w:val="17"/>
              </w:rPr>
              <w:t>Age &gt;=70 years</w:t>
            </w:r>
          </w:p>
        </w:tc>
        <w:tc>
          <w:tcPr>
            <w:tcW w:type="dxa" w:w="3312"/>
            <w:vAlign w:val="center"/>
            <w:tcMar>
              <w:top w:w="40" w:type="dxa"/>
              <w:start w:w="50" w:type="dxa"/>
              <w:bottom w:w="40" w:type="dxa"/>
              <w:end w:w="50" w:type="dxa"/>
            </w:tcMar>
          </w:tcPr>
          <w:p>
            <w:pPr>
              <w:spacing w:line="240" w:lineRule="auto" w:after="0"/>
            </w:pPr>
            <w:r>
              <w:rPr>
                <w:rFonts w:ascii="Arial" w:hAnsi="Arial"/>
                <w:sz w:val="17"/>
              </w:rPr>
              <w:t>7</w:t>
            </w:r>
          </w:p>
        </w:tc>
      </w:tr>
    </w:tbl>
    <w:p>
      <w:r>
        <w:rPr>
          <w:i/>
          <w:sz w:val="17"/>
        </w:rPr>
        <w:t>Note. Local windows are descriptive summaries of sample support only. All observed ages entered the continuous spline model. Ages 20, 40, and 60 were selected as representative display points and do not define discrete groups, cutoffs, or clinical thresholds.</w:t>
      </w: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6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Arial" w:hAnsi="Arial" w:eastAsia="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rial" w:hAnsi="Arial" w:eastAsia="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eastAsia="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