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649" w:rsidRDefault="00077649" w:rsidP="00077649">
      <w:pPr>
        <w:rPr>
          <w:b/>
          <w:lang w:val="en-NZ"/>
        </w:rPr>
      </w:pPr>
      <w:r>
        <w:rPr>
          <w:b/>
          <w:noProof/>
          <w:lang w:val="en-NZ" w:eastAsia="en-NZ"/>
        </w:rPr>
        <w:drawing>
          <wp:inline distT="0" distB="0" distL="0" distR="0" wp14:anchorId="06DFBF4B" wp14:editId="50BA4EC7">
            <wp:extent cx="4876800" cy="707180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927" cy="7103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7649" w:rsidRPr="00FD7EDC" w:rsidRDefault="00077649" w:rsidP="00077649">
      <w:pPr>
        <w:spacing w:line="360" w:lineRule="auto"/>
        <w:rPr>
          <w:b/>
        </w:rPr>
      </w:pPr>
      <w:r>
        <w:rPr>
          <w:b/>
          <w:lang w:val="en-NZ"/>
        </w:rPr>
        <w:t>Figure S1. Adjusted odds ratios (ORs) for smoking status effect on gout in</w:t>
      </w:r>
      <w:r w:rsidRPr="00A64D26">
        <w:rPr>
          <w:b/>
          <w:lang w:val="en-NZ"/>
        </w:rPr>
        <w:t xml:space="preserve"> NZ Polynesian</w:t>
      </w:r>
      <w:r>
        <w:rPr>
          <w:b/>
          <w:lang w:val="en-NZ"/>
        </w:rPr>
        <w:t xml:space="preserve"> and UK Biobank South Asian populations (</w:t>
      </w:r>
      <w:r w:rsidR="00AA1B7D">
        <w:rPr>
          <w:b/>
          <w:lang w:val="en-NZ"/>
        </w:rPr>
        <w:t>ex-smoker (A) and current</w:t>
      </w:r>
      <w:r>
        <w:rPr>
          <w:b/>
          <w:lang w:val="en-NZ"/>
        </w:rPr>
        <w:t>-smoker (B)) and in</w:t>
      </w:r>
      <w:r w:rsidRPr="00A64D26">
        <w:rPr>
          <w:b/>
          <w:lang w:val="en-NZ"/>
        </w:rPr>
        <w:t xml:space="preserve"> </w:t>
      </w:r>
      <w:r>
        <w:rPr>
          <w:b/>
          <w:lang w:val="en-NZ"/>
        </w:rPr>
        <w:t>men and women of the UK Biobank European population (</w:t>
      </w:r>
      <w:r w:rsidR="00AA1B7D">
        <w:rPr>
          <w:b/>
          <w:lang w:val="en-NZ"/>
        </w:rPr>
        <w:t>ex</w:t>
      </w:r>
      <w:r>
        <w:rPr>
          <w:b/>
          <w:lang w:val="en-NZ"/>
        </w:rPr>
        <w:t xml:space="preserve">-smoker (C) and </w:t>
      </w:r>
      <w:r w:rsidR="00AA1B7D">
        <w:rPr>
          <w:b/>
          <w:lang w:val="en-NZ"/>
        </w:rPr>
        <w:t>current</w:t>
      </w:r>
      <w:r>
        <w:rPr>
          <w:b/>
          <w:lang w:val="en-NZ"/>
        </w:rPr>
        <w:t xml:space="preserve">-smoker (D)). </w:t>
      </w:r>
    </w:p>
    <w:p w:rsidR="00077649" w:rsidRDefault="00077649" w:rsidP="00077649">
      <w:pPr>
        <w:spacing w:line="276" w:lineRule="auto"/>
        <w:rPr>
          <w:b/>
          <w:lang w:val="en-NZ"/>
        </w:rPr>
      </w:pPr>
      <w:r>
        <w:rPr>
          <w:b/>
          <w:noProof/>
          <w:lang w:val="en-NZ" w:eastAsia="en-NZ"/>
        </w:rPr>
        <w:lastRenderedPageBreak/>
        <w:drawing>
          <wp:inline distT="0" distB="0" distL="0" distR="0" wp14:anchorId="166CFA6B" wp14:editId="6DCF9157">
            <wp:extent cx="5018400" cy="8550000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5"/>
                    <a:stretch/>
                  </pic:blipFill>
                  <pic:spPr bwMode="auto">
                    <a:xfrm>
                      <a:off x="0" y="0"/>
                      <a:ext cx="5018400" cy="855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7649" w:rsidRDefault="00077649" w:rsidP="00077649">
      <w:pPr>
        <w:spacing w:line="276" w:lineRule="auto"/>
        <w:rPr>
          <w:b/>
          <w:lang w:val="en-NZ"/>
        </w:rPr>
      </w:pPr>
    </w:p>
    <w:p w:rsidR="00077649" w:rsidRDefault="00077649" w:rsidP="00077649">
      <w:pPr>
        <w:spacing w:line="276" w:lineRule="auto"/>
        <w:rPr>
          <w:b/>
          <w:lang w:val="en-NZ"/>
        </w:rPr>
      </w:pPr>
    </w:p>
    <w:p w:rsidR="0059428B" w:rsidRPr="00077649" w:rsidRDefault="00077649" w:rsidP="00077649">
      <w:pPr>
        <w:spacing w:line="360" w:lineRule="auto"/>
        <w:rPr>
          <w:b/>
          <w:lang w:val="en-NZ"/>
        </w:rPr>
      </w:pPr>
      <w:r>
        <w:rPr>
          <w:b/>
        </w:rPr>
        <w:t>Figure S2</w:t>
      </w:r>
      <w:r w:rsidRPr="00235564">
        <w:rPr>
          <w:b/>
        </w:rPr>
        <w:t>. Meta-analysis of</w:t>
      </w:r>
      <w:r>
        <w:rPr>
          <w:b/>
        </w:rPr>
        <w:t xml:space="preserve"> main effects, </w:t>
      </w:r>
      <w:r w:rsidRPr="00111CA9">
        <w:rPr>
          <w:b/>
          <w:i/>
          <w:iCs/>
        </w:rPr>
        <w:t>rs11264341</w:t>
      </w:r>
      <w:r>
        <w:rPr>
          <w:b/>
        </w:rPr>
        <w:t xml:space="preserve"> (A),</w:t>
      </w:r>
      <w:r w:rsidRPr="00235564">
        <w:rPr>
          <w:b/>
        </w:rPr>
        <w:t xml:space="preserve"> </w:t>
      </w:r>
      <w:r w:rsidR="00AA1B7D">
        <w:rPr>
          <w:b/>
        </w:rPr>
        <w:t>ex-smoker (B) and current</w:t>
      </w:r>
      <w:bookmarkStart w:id="0" w:name="_GoBack"/>
      <w:bookmarkEnd w:id="0"/>
      <w:r>
        <w:rPr>
          <w:b/>
        </w:rPr>
        <w:t>-smoker (C), of logistic regression model including the</w:t>
      </w:r>
      <w:r w:rsidRPr="00235564">
        <w:rPr>
          <w:b/>
        </w:rPr>
        <w:t xml:space="preserve"> </w:t>
      </w:r>
      <w:r w:rsidRPr="00235564">
        <w:rPr>
          <w:b/>
          <w:i/>
        </w:rPr>
        <w:t>TRIM46</w:t>
      </w:r>
      <w:r w:rsidRPr="00235564">
        <w:rPr>
          <w:b/>
        </w:rPr>
        <w:t xml:space="preserve"> (</w:t>
      </w:r>
      <w:r w:rsidRPr="00111CA9">
        <w:rPr>
          <w:b/>
          <w:i/>
          <w:iCs/>
        </w:rPr>
        <w:t>rs11264341</w:t>
      </w:r>
      <w:r w:rsidRPr="00235564">
        <w:rPr>
          <w:b/>
        </w:rPr>
        <w:t>)*s</w:t>
      </w:r>
      <w:r>
        <w:rPr>
          <w:b/>
        </w:rPr>
        <w:t>moker status interaction term, with gout as the dependent variable.</w:t>
      </w:r>
      <w:r w:rsidRPr="00235564">
        <w:rPr>
          <w:b/>
        </w:rPr>
        <w:t xml:space="preserve"> NZ East and West</w:t>
      </w:r>
      <w:r>
        <w:rPr>
          <w:b/>
        </w:rPr>
        <w:t xml:space="preserve"> Polynesian and UK Biobank South Asian and European sample sets were combined by the meta-analysis</w:t>
      </w:r>
      <w:r w:rsidRPr="00235564">
        <w:rPr>
          <w:b/>
        </w:rPr>
        <w:t>.</w:t>
      </w:r>
      <w:r>
        <w:rPr>
          <w:b/>
        </w:rPr>
        <w:t xml:space="preserve"> </w:t>
      </w:r>
      <w:r w:rsidRPr="00124ABC">
        <w:rPr>
          <w:b/>
        </w:rPr>
        <w:t xml:space="preserve">Shown is main effect of </w:t>
      </w:r>
      <w:r w:rsidRPr="00124ABC">
        <w:rPr>
          <w:b/>
          <w:i/>
          <w:iCs/>
        </w:rPr>
        <w:t>rs11264341</w:t>
      </w:r>
      <w:r w:rsidRPr="00124ABC">
        <w:rPr>
          <w:b/>
        </w:rPr>
        <w:t xml:space="preserve"> from model </w:t>
      </w:r>
      <w:r w:rsidRPr="00124ABC">
        <w:rPr>
          <w:b/>
          <w:lang w:val="en-NZ"/>
        </w:rPr>
        <w:t xml:space="preserve">comparing ex- to never-smokers. Main effects of </w:t>
      </w:r>
      <w:r w:rsidRPr="00124ABC">
        <w:rPr>
          <w:b/>
          <w:i/>
          <w:iCs/>
        </w:rPr>
        <w:t>rs11264341</w:t>
      </w:r>
      <w:r w:rsidRPr="00124ABC">
        <w:rPr>
          <w:b/>
        </w:rPr>
        <w:t xml:space="preserve"> are similar in ex-smokers and current-smoker interaction models</w:t>
      </w:r>
      <w:r w:rsidRPr="00124ABC">
        <w:rPr>
          <w:b/>
          <w:lang w:val="en-NZ"/>
        </w:rPr>
        <w:t>.</w:t>
      </w:r>
    </w:p>
    <w:sectPr w:rsidR="0059428B" w:rsidRPr="000776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649"/>
    <w:rsid w:val="00077649"/>
    <w:rsid w:val="0059428B"/>
    <w:rsid w:val="00AA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EE151"/>
  <w15:chartTrackingRefBased/>
  <w15:docId w15:val="{2FBDF069-9C1A-4D61-86D2-EB90CAE42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7649"/>
    <w:pPr>
      <w:spacing w:line="480" w:lineRule="auto"/>
      <w:jc w:val="both"/>
    </w:pPr>
    <w:rPr>
      <w:rFonts w:ascii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Niamh Fanning</dc:creator>
  <cp:keywords/>
  <dc:description/>
  <cp:lastModifiedBy>Niamh Fanning</cp:lastModifiedBy>
  <cp:revision>2</cp:revision>
  <dcterms:created xsi:type="dcterms:W3CDTF">2020-11-10T23:13:00Z</dcterms:created>
  <dcterms:modified xsi:type="dcterms:W3CDTF">2020-11-10T23:13:00Z</dcterms:modified>
</cp:coreProperties>
</file>