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67F9E4">
      <w:pPr>
        <w:spacing w:line="360" w:lineRule="auto"/>
        <w:jc w:val="left"/>
        <w:rPr>
          <w:rFonts w:ascii="Times New Roman" w:hAnsi="Times New Roman" w:eastAsia="宋体" w:cs="Times New Roman"/>
          <w:b/>
          <w:bCs/>
          <w:color w:val="000000"/>
          <w:sz w:val="24"/>
          <w:szCs w:val="24"/>
        </w:rPr>
      </w:pPr>
      <w:r>
        <w:rPr>
          <w:rFonts w:ascii="Times New Roman" w:hAnsi="Times New Roman" w:eastAsia="宋体" w:cs="Times New Roman"/>
          <w:b/>
          <w:bCs/>
          <w:color w:val="000000"/>
          <w:sz w:val="24"/>
          <w:szCs w:val="24"/>
        </w:rPr>
        <w:t>Stratified analysis by Freitag's classification system scores of 2–5.</w:t>
      </w:r>
    </w:p>
    <w:p w14:paraId="10F06546">
      <w:pPr>
        <w:spacing w:line="360" w:lineRule="auto"/>
        <w:jc w:val="left"/>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 xml:space="preserve">As shown in </w:t>
      </w:r>
      <w:r>
        <w:rPr>
          <w:rFonts w:ascii="Times New Roman" w:hAnsi="Times New Roman" w:eastAsia="等线" w:cs="Times New Roman"/>
          <w:color w:val="70AD47"/>
          <w:sz w:val="24"/>
          <w:szCs w:val="24"/>
        </w:rPr>
        <w:t xml:space="preserve">Supplement </w:t>
      </w:r>
      <w:r>
        <w:rPr>
          <w:rFonts w:hint="eastAsia" w:ascii="Times New Roman" w:hAnsi="Times New Roman" w:eastAsia="等线" w:cs="Times New Roman"/>
          <w:color w:val="70AD47"/>
          <w:sz w:val="24"/>
          <w:szCs w:val="24"/>
          <w:lang w:val="en-US" w:eastAsia="zh-CN"/>
        </w:rPr>
        <w:t>Table1a</w:t>
      </w:r>
      <w:r>
        <w:rPr>
          <w:rFonts w:hint="eastAsia" w:ascii="Times New Roman" w:hAnsi="Times New Roman" w:eastAsia="宋体" w:cs="Times New Roman"/>
          <w:color w:val="EE0000"/>
          <w:sz w:val="24"/>
          <w:szCs w:val="24"/>
        </w:rPr>
        <w:t>,</w:t>
      </w:r>
      <w:r>
        <w:rPr>
          <w:rFonts w:hint="eastAsia" w:ascii="Times New Roman" w:hAnsi="Times New Roman" w:eastAsia="宋体" w:cs="Times New Roman"/>
          <w:color w:val="000000"/>
          <w:sz w:val="24"/>
          <w:szCs w:val="24"/>
        </w:rPr>
        <w:t xml:space="preserve"> in this study, patients in the MIS were stratified by the Freitag's classification system scores of 2–5 to compare perioperative indicators under different ventilation modalities. The results showed that CF and FF were the main ventilation modalities across all score subgroups, while the sample sizes for HFJV and SV were relatively small, and statistical tests could not be performed in some subgroups due to insufficient sample size. The incidence of postoperative complications was 0%</w:t>
      </w:r>
      <w:r>
        <w:rPr>
          <w:rFonts w:ascii="Times New Roman" w:hAnsi="Times New Roman" w:eastAsia="宋体" w:cs="Times New Roman"/>
          <w:color w:val="000000"/>
          <w:sz w:val="24"/>
          <w:szCs w:val="24"/>
        </w:rPr>
        <w:t xml:space="preserve"> in all subgroups, and the ICU admission rate was low, making effective comparisons between groups infeasible. As the classic airway stenosis score increased, the preoperative lowest SpO₂ of patients showed an overall decreasing trend. Among them, in the score 3 subgroup, the difference in intraoperative lowest SpO₂ between different ventilation modalities was not statistically significant (P = 0.0996); in the score 4 subgroup, the difference in intraoperative lowest SpO₂ was statistically significant (P = 0.0058); and in the score 5 subgroup, the difference in intraoperative lowest SpO₂ was highly statistically significant (P &lt; 0.001), indicating that the greater the severity of airway stenosis, the more significant the impact of different ventilation modal</w:t>
      </w:r>
      <w:r>
        <w:rPr>
          <w:rFonts w:hint="eastAsia" w:ascii="Times New Roman" w:hAnsi="Times New Roman" w:eastAsia="宋体" w:cs="Times New Roman"/>
          <w:color w:val="000000"/>
          <w:sz w:val="24"/>
          <w:szCs w:val="24"/>
        </w:rPr>
        <w:t>ities on intraoperative oxygen saturation.</w:t>
      </w:r>
      <w:r>
        <w:rPr>
          <w:rFonts w:hint="eastAsia" w:ascii="Calibri" w:hAnsi="Calibri" w:eastAsia="宋体" w:cs="Times New Roman"/>
          <w:szCs w:val="22"/>
        </w:rPr>
        <w:t xml:space="preserve"> </w:t>
      </w:r>
      <w:r>
        <w:rPr>
          <w:rFonts w:hint="eastAsia" w:ascii="Times New Roman" w:hAnsi="Times New Roman" w:eastAsia="宋体" w:cs="Times New Roman"/>
          <w:color w:val="000000"/>
          <w:sz w:val="24"/>
          <w:szCs w:val="24"/>
        </w:rPr>
        <w:t>And the results were consistent with the unstratified results.</w:t>
      </w:r>
    </w:p>
    <w:p w14:paraId="5E6E973E">
      <w:pPr>
        <w:spacing w:line="360" w:lineRule="auto"/>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Results of Outcomes by shape of airway stents and Ventilation Modalities</w:t>
      </w:r>
    </w:p>
    <w:p w14:paraId="6B417A05">
      <w:pPr>
        <w:spacing w:line="360" w:lineRule="auto"/>
        <w:jc w:val="left"/>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 xml:space="preserve">As shown in </w:t>
      </w:r>
      <w:r>
        <w:rPr>
          <w:rFonts w:ascii="Times New Roman" w:hAnsi="Times New Roman" w:eastAsia="等线" w:cs="Times New Roman"/>
          <w:color w:val="70AD47"/>
          <w:sz w:val="24"/>
          <w:szCs w:val="24"/>
        </w:rPr>
        <w:t xml:space="preserve">Supplement </w:t>
      </w:r>
      <w:r>
        <w:rPr>
          <w:rFonts w:hint="eastAsia" w:ascii="Times New Roman" w:hAnsi="Times New Roman" w:eastAsia="等线" w:cs="Times New Roman"/>
          <w:color w:val="70AD47"/>
          <w:sz w:val="24"/>
          <w:szCs w:val="24"/>
          <w:lang w:val="en-US" w:eastAsia="zh-CN"/>
        </w:rPr>
        <w:t>Table1b</w:t>
      </w:r>
      <w:r>
        <w:rPr>
          <w:rFonts w:hint="eastAsia" w:ascii="Times New Roman" w:hAnsi="Times New Roman" w:eastAsia="宋体" w:cs="Times New Roman"/>
          <w:color w:val="000000"/>
          <w:sz w:val="24"/>
          <w:szCs w:val="24"/>
        </w:rPr>
        <w:t>, this study stratified patients by group (MIS, TF) and stent shape (Straight, Y, L-shaped) to compare perioperative indicators under different ventilation modalities. The results showed that the incidence of postop</w:t>
      </w:r>
      <w:r>
        <w:rPr>
          <w:rFonts w:ascii="Times New Roman" w:hAnsi="Times New Roman" w:eastAsia="宋体" w:cs="Times New Roman"/>
          <w:color w:val="000000"/>
          <w:sz w:val="24"/>
          <w:szCs w:val="24"/>
        </w:rPr>
        <w:t xml:space="preserve">erative complications was 0% in all subgroups. The overall sample size for L‑shaped stents was relatively small, and statistical tests could not be performed in some subgroups. In the stenosis group, among patients with Straight stents, the difference in intraoperative lowest SpO₂ between different ventilation modalities was highly statistically significant (P &lt; 0.001); among patients with Y‑shaped stents, differences in ICU admission rate and intraoperative lowest SpO₂ between ventilation modalities were both statistically significant (P = 0.0096 and P = 0.0038, respectively). In the </w:t>
      </w:r>
      <w:r>
        <w:rPr>
          <w:rFonts w:hint="eastAsia" w:ascii="Times New Roman" w:hAnsi="Times New Roman" w:eastAsia="宋体" w:cs="Times New Roman"/>
          <w:color w:val="000000"/>
          <w:sz w:val="24"/>
          <w:szCs w:val="24"/>
        </w:rPr>
        <w:t>TF</w:t>
      </w:r>
      <w:r>
        <w:rPr>
          <w:rFonts w:ascii="Times New Roman" w:hAnsi="Times New Roman" w:eastAsia="宋体" w:cs="Times New Roman"/>
          <w:color w:val="000000"/>
          <w:sz w:val="24"/>
          <w:szCs w:val="24"/>
        </w:rPr>
        <w:t xml:space="preserve"> group, for each stent shape subgroup, there were no statistically significant differences in ICU admission rate, preoperative lowest SpO₂, or intraoperative lowest SpO₂ between different ventilation modalities (all P &gt; 0.05). These findings suggest that in the stenosis group, stent shape and ventilation modality have certain effects on intraoperative oxygenation and ICU admission, whereas no obvious ventilation modality‑</w:t>
      </w:r>
      <w:r>
        <w:rPr>
          <w:rFonts w:hint="eastAsia" w:ascii="Times New Roman" w:hAnsi="Times New Roman" w:eastAsia="宋体" w:cs="Times New Roman"/>
          <w:color w:val="000000"/>
          <w:sz w:val="24"/>
          <w:szCs w:val="24"/>
        </w:rPr>
        <w:t>related differences were observed in the fistula group.</w:t>
      </w:r>
      <w:r>
        <w:rPr>
          <w:rFonts w:hint="eastAsia" w:ascii="Calibri" w:hAnsi="Calibri" w:eastAsia="宋体" w:cs="Times New Roman"/>
          <w:szCs w:val="22"/>
        </w:rPr>
        <w:t xml:space="preserve"> </w:t>
      </w:r>
      <w:r>
        <w:rPr>
          <w:rFonts w:hint="eastAsia" w:ascii="Times New Roman" w:hAnsi="Times New Roman" w:eastAsia="宋体" w:cs="Times New Roman"/>
          <w:color w:val="000000"/>
          <w:sz w:val="24"/>
          <w:szCs w:val="24"/>
        </w:rPr>
        <w:t>And the results were consistent with the unstratified results.</w:t>
      </w:r>
    </w:p>
    <w:p w14:paraId="46413904">
      <w:pPr>
        <w:spacing w:line="360" w:lineRule="auto"/>
        <w:jc w:val="left"/>
        <w:rPr>
          <w:rFonts w:ascii="Times New Roman" w:hAnsi="Times New Roman" w:eastAsia="宋体" w:cs="Times New Roman"/>
          <w:color w:val="000000"/>
          <w:sz w:val="24"/>
          <w:szCs w:val="24"/>
        </w:rPr>
      </w:pPr>
      <w:r>
        <w:rPr>
          <w:rFonts w:hint="eastAsia" w:ascii="Times New Roman" w:hAnsi="Times New Roman" w:eastAsia="宋体" w:cs="Times New Roman"/>
          <w:b/>
          <w:bCs/>
          <w:color w:val="000000"/>
          <w:sz w:val="24"/>
          <w:szCs w:val="24"/>
        </w:rPr>
        <w:t>Results of Outcomes by Lesion Location and Ventilation Modalities</w:t>
      </w:r>
    </w:p>
    <w:p w14:paraId="5FEACAB7">
      <w:pPr>
        <w:spacing w:line="360" w:lineRule="auto"/>
        <w:jc w:val="left"/>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 xml:space="preserve">As shown in </w:t>
      </w:r>
      <w:r>
        <w:rPr>
          <w:rFonts w:ascii="Times New Roman" w:hAnsi="Times New Roman" w:eastAsia="等线" w:cs="Times New Roman"/>
          <w:color w:val="70AD47"/>
          <w:sz w:val="24"/>
          <w:szCs w:val="24"/>
        </w:rPr>
        <w:t xml:space="preserve">Supplement </w:t>
      </w:r>
      <w:r>
        <w:rPr>
          <w:rFonts w:hint="eastAsia" w:ascii="Times New Roman" w:hAnsi="Times New Roman" w:eastAsia="等线" w:cs="Times New Roman"/>
          <w:color w:val="70AD47"/>
          <w:sz w:val="24"/>
          <w:szCs w:val="24"/>
          <w:lang w:val="en-US" w:eastAsia="zh-CN"/>
        </w:rPr>
        <w:t>Table1c</w:t>
      </w:r>
      <w:r>
        <w:rPr>
          <w:rFonts w:hint="eastAsia" w:ascii="Times New Roman" w:hAnsi="Times New Roman" w:eastAsia="宋体" w:cs="Times New Roman"/>
          <w:color w:val="000000"/>
          <w:sz w:val="24"/>
          <w:szCs w:val="24"/>
        </w:rPr>
        <w:t xml:space="preserve">, this study stratified patients by group (stenosis group, fistula group) and lesion location (upper 1/3 main airway, middle 1/3 main airway, lower 1/3 main airway, main bronchus, main airway combined with main bronchus) to compare perioperative indicators under different ventilation modalities. The results showed that the incidence of postoperative complications was 0% in all subgroups, and statistical tests could not be performed in some subgroups due to insufficient sample size. In the stenosis group, among patients with lower 1/3 main airway and main bronchus, the differences in ICU admission rate between ventilation modalities were statistically significant (P = 0.0071 and P = 0.036, respectively); among patients with middle 1/3 main </w:t>
      </w:r>
      <w:r>
        <w:rPr>
          <w:rFonts w:ascii="Times New Roman" w:hAnsi="Times New Roman" w:eastAsia="宋体" w:cs="Times New Roman"/>
          <w:color w:val="000000"/>
          <w:sz w:val="24"/>
          <w:szCs w:val="24"/>
        </w:rPr>
        <w:t xml:space="preserve">airway (location 2), lower 1/3 main airway, and main bronchus, the differences in intraoperative lowest SpO₂ were statistically significant (P = 0.0183, P = 0.0168, and P = 0.0266, respectively), whereas no significant difference </w:t>
      </w:r>
      <w:r>
        <w:rPr>
          <w:rFonts w:hint="eastAsia" w:ascii="Times New Roman" w:hAnsi="Times New Roman" w:eastAsia="宋体" w:cs="Times New Roman"/>
          <w:color w:val="000000"/>
          <w:sz w:val="24"/>
          <w:szCs w:val="24"/>
        </w:rPr>
        <w:t>was observed in patients with main airway combined with main bronchus. In the TF group, there were no statistically significant differences in ICU admission rate between ventilation modalities for any lesion location; only in patients with main airway</w:t>
      </w:r>
      <w:r>
        <w:rPr>
          <w:rFonts w:ascii="Times New Roman" w:hAnsi="Times New Roman" w:eastAsia="宋体" w:cs="Times New Roman"/>
          <w:color w:val="000000"/>
          <w:sz w:val="24"/>
          <w:szCs w:val="24"/>
        </w:rPr>
        <w:t xml:space="preserve"> combined with main bronchus, the differences in preoperative and intraoperative lowest SpO₂ were statistically significant (P = 0.0198 and P = 0.01, respectively). These findings suggest that in patients with </w:t>
      </w:r>
      <w:r>
        <w:rPr>
          <w:rFonts w:hint="eastAsia" w:ascii="Times New Roman" w:hAnsi="Times New Roman" w:eastAsia="宋体" w:cs="Times New Roman"/>
          <w:color w:val="000000"/>
          <w:sz w:val="24"/>
          <w:szCs w:val="24"/>
        </w:rPr>
        <w:t>MIS</w:t>
      </w:r>
      <w:r>
        <w:rPr>
          <w:rFonts w:ascii="Times New Roman" w:hAnsi="Times New Roman" w:eastAsia="宋体" w:cs="Times New Roman"/>
          <w:color w:val="000000"/>
          <w:sz w:val="24"/>
          <w:szCs w:val="24"/>
        </w:rPr>
        <w:t>, the closer the lesion locatio</w:t>
      </w:r>
      <w:r>
        <w:rPr>
          <w:rFonts w:hint="eastAsia" w:ascii="Times New Roman" w:hAnsi="Times New Roman" w:eastAsia="宋体" w:cs="Times New Roman"/>
          <w:color w:val="000000"/>
          <w:sz w:val="24"/>
          <w:szCs w:val="24"/>
        </w:rPr>
        <w:t>n to the middle and lower trachea, the more significant the impact of ventilation modality on intraoperative oxygenation and ICU admission risk, whereas in patients with tracheal fistula, the influence of lesion location is relatively limited. The results were consistent with the unstratified results.</w:t>
      </w:r>
    </w:p>
    <w:p w14:paraId="699C6832">
      <w:pPr>
        <w:spacing w:line="360" w:lineRule="auto"/>
        <w:jc w:val="left"/>
        <w:rPr>
          <w:rFonts w:ascii="Times New Roman" w:hAnsi="Times New Roman" w:eastAsia="宋体" w:cs="Times New Roman"/>
          <w:color w:val="000000"/>
          <w:sz w:val="24"/>
          <w:szCs w:val="24"/>
        </w:rPr>
      </w:pPr>
    </w:p>
    <w:p w14:paraId="11684CEB">
      <w:pPr>
        <w:spacing w:line="360" w:lineRule="auto"/>
        <w:jc w:val="left"/>
        <w:rPr>
          <w:rFonts w:ascii="Times New Roman" w:hAnsi="Times New Roman" w:eastAsia="宋体" w:cs="Times New Roman"/>
          <w:b/>
          <w:bCs/>
          <w:color w:val="000000"/>
          <w:sz w:val="24"/>
          <w:szCs w:val="24"/>
        </w:rPr>
      </w:pPr>
      <w:bookmarkStart w:id="0" w:name="_Hlk225098738"/>
      <w:r>
        <w:rPr>
          <w:rFonts w:hint="eastAsia" w:ascii="Times New Roman" w:hAnsi="Times New Roman" w:eastAsia="宋体" w:cs="Times New Roman"/>
          <w:b/>
          <w:bCs/>
          <w:color w:val="000000"/>
          <w:sz w:val="24"/>
          <w:szCs w:val="24"/>
        </w:rPr>
        <w:t>Results of Outcomes by mMRC Scores and Ventilation Modalities</w:t>
      </w:r>
    </w:p>
    <w:bookmarkEnd w:id="0"/>
    <w:p w14:paraId="60D65CB2">
      <w:pPr>
        <w:spacing w:line="360" w:lineRule="auto"/>
        <w:jc w:val="left"/>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 xml:space="preserve">As shown in </w:t>
      </w:r>
      <w:r>
        <w:rPr>
          <w:rFonts w:ascii="Times New Roman" w:hAnsi="Times New Roman" w:eastAsia="等线" w:cs="Times New Roman"/>
          <w:color w:val="70AD47"/>
          <w:sz w:val="24"/>
          <w:szCs w:val="24"/>
        </w:rPr>
        <w:t xml:space="preserve">Supplement </w:t>
      </w:r>
      <w:r>
        <w:rPr>
          <w:rFonts w:hint="eastAsia" w:ascii="Times New Roman" w:hAnsi="Times New Roman" w:eastAsia="等线" w:cs="Times New Roman"/>
          <w:color w:val="70AD47"/>
          <w:sz w:val="24"/>
          <w:szCs w:val="24"/>
          <w:lang w:val="en-US" w:eastAsia="zh-CN"/>
        </w:rPr>
        <w:t>Table1d</w:t>
      </w:r>
      <w:r>
        <w:rPr>
          <w:rFonts w:hint="eastAsia" w:ascii="Times New Roman" w:hAnsi="Times New Roman" w:eastAsia="宋体" w:cs="Times New Roman"/>
          <w:color w:val="EE0000"/>
          <w:sz w:val="24"/>
          <w:szCs w:val="24"/>
        </w:rPr>
        <w:t xml:space="preserve">, </w:t>
      </w:r>
      <w:r>
        <w:rPr>
          <w:rFonts w:hint="eastAsia" w:ascii="Times New Roman" w:hAnsi="Times New Roman" w:eastAsia="宋体" w:cs="Times New Roman"/>
          <w:color w:val="000000"/>
          <w:sz w:val="24"/>
          <w:szCs w:val="24"/>
        </w:rPr>
        <w:t>this study stratified patients by group (MIS group, TF group) and mMRC dyspnea grade (grades 1–4, with higher grades indicating more severe dyspnea) to compare perioperative indicators under different ventilation modalities. The results showed that the incidence of postoperative complications was 0% in all subgroups. Statistical testing was not performed for mMRC grade 1 due to insufficient sample size. In the MIS group, among patients with mMRC grade 3, the differences i</w:t>
      </w:r>
      <w:r>
        <w:rPr>
          <w:rFonts w:ascii="Times New Roman" w:hAnsi="Times New Roman" w:eastAsia="宋体" w:cs="Times New Roman"/>
          <w:color w:val="000000"/>
          <w:sz w:val="24"/>
          <w:szCs w:val="24"/>
        </w:rPr>
        <w:t>n ICU admission rate and preoperative lowest SpO₂ between different ventilation modalities were both statistically significant (</w:t>
      </w:r>
      <w:r>
        <w:rPr>
          <w:rFonts w:hint="eastAsia" w:ascii="Times New Roman" w:hAnsi="Times New Roman" w:eastAsia="宋体" w:cs="Times New Roman"/>
          <w:color w:val="000000"/>
          <w:sz w:val="24"/>
          <w:szCs w:val="24"/>
        </w:rPr>
        <w:t>p</w:t>
      </w:r>
      <w:r>
        <w:rPr>
          <w:rFonts w:ascii="Times New Roman" w:hAnsi="Times New Roman" w:eastAsia="宋体" w:cs="Times New Roman"/>
          <w:color w:val="000000"/>
          <w:sz w:val="24"/>
          <w:szCs w:val="24"/>
        </w:rPr>
        <w:t xml:space="preserve"> = 0.0376 and </w:t>
      </w:r>
      <w:r>
        <w:rPr>
          <w:rFonts w:hint="eastAsia" w:ascii="Times New Roman" w:hAnsi="Times New Roman" w:eastAsia="宋体" w:cs="Times New Roman"/>
          <w:color w:val="000000"/>
          <w:sz w:val="24"/>
          <w:szCs w:val="24"/>
        </w:rPr>
        <w:t>p</w:t>
      </w:r>
      <w:r>
        <w:rPr>
          <w:rFonts w:ascii="Times New Roman" w:hAnsi="Times New Roman" w:eastAsia="宋体" w:cs="Times New Roman"/>
          <w:color w:val="000000"/>
          <w:sz w:val="24"/>
          <w:szCs w:val="24"/>
        </w:rPr>
        <w:t>= 0.0253, respectively); among patients with mMRC grade 4, the difference in ICU admission rate was highly statistically significant (</w:t>
      </w:r>
      <w:r>
        <w:rPr>
          <w:rFonts w:hint="eastAsia" w:ascii="Times New Roman" w:hAnsi="Times New Roman" w:eastAsia="宋体" w:cs="Times New Roman"/>
          <w:color w:val="000000"/>
          <w:sz w:val="24"/>
          <w:szCs w:val="24"/>
        </w:rPr>
        <w:t>p</w:t>
      </w:r>
      <w:r>
        <w:rPr>
          <w:rFonts w:ascii="Times New Roman" w:hAnsi="Times New Roman" w:eastAsia="宋体" w:cs="Times New Roman"/>
          <w:color w:val="000000"/>
          <w:sz w:val="24"/>
          <w:szCs w:val="24"/>
        </w:rPr>
        <w:t>= 0.0031), and the difference in intraoperative lowest SpO₂ was also statistically significant (</w:t>
      </w:r>
      <w:r>
        <w:rPr>
          <w:rFonts w:hint="eastAsia" w:ascii="Times New Roman" w:hAnsi="Times New Roman" w:eastAsia="宋体" w:cs="Times New Roman"/>
          <w:color w:val="000000"/>
          <w:sz w:val="24"/>
          <w:szCs w:val="24"/>
        </w:rPr>
        <w:t>p</w:t>
      </w:r>
      <w:r>
        <w:rPr>
          <w:rFonts w:ascii="Times New Roman" w:hAnsi="Times New Roman" w:eastAsia="宋体" w:cs="Times New Roman"/>
          <w:color w:val="000000"/>
          <w:sz w:val="24"/>
          <w:szCs w:val="24"/>
        </w:rPr>
        <w:t xml:space="preserve"> = 0.0000); among patients with mMRC grade 2, only the difference in intraoperative lowest SpO₂ approached statistical significance (</w:t>
      </w:r>
      <w:r>
        <w:rPr>
          <w:rFonts w:hint="eastAsia" w:ascii="Times New Roman" w:hAnsi="Times New Roman" w:eastAsia="宋体" w:cs="Times New Roman"/>
          <w:color w:val="000000"/>
          <w:sz w:val="24"/>
          <w:szCs w:val="24"/>
        </w:rPr>
        <w:t>p</w:t>
      </w:r>
      <w:r>
        <w:rPr>
          <w:rFonts w:ascii="Times New Roman" w:hAnsi="Times New Roman" w:eastAsia="宋体" w:cs="Times New Roman"/>
          <w:color w:val="000000"/>
          <w:sz w:val="24"/>
          <w:szCs w:val="24"/>
        </w:rPr>
        <w:t xml:space="preserve">= 0.0526). In the </w:t>
      </w:r>
      <w:r>
        <w:rPr>
          <w:rFonts w:hint="eastAsia" w:ascii="Times New Roman" w:hAnsi="Times New Roman" w:eastAsia="宋体" w:cs="Times New Roman"/>
          <w:color w:val="000000"/>
          <w:sz w:val="24"/>
          <w:szCs w:val="24"/>
        </w:rPr>
        <w:t>TF</w:t>
      </w:r>
      <w:r>
        <w:rPr>
          <w:rFonts w:ascii="Times New Roman" w:hAnsi="Times New Roman" w:eastAsia="宋体" w:cs="Times New Roman"/>
          <w:color w:val="000000"/>
          <w:sz w:val="24"/>
          <w:szCs w:val="24"/>
        </w:rPr>
        <w:t xml:space="preserve"> group, for each mMRC grade subgroup, there were no statistically significant differences in ICU admission rate, preoperative lowest SpO₂, or intraoperative lowest SpO₂ between different ventilation modalities (all </w:t>
      </w:r>
      <w:r>
        <w:rPr>
          <w:rFonts w:hint="eastAsia" w:ascii="Times New Roman" w:hAnsi="Times New Roman" w:eastAsia="宋体" w:cs="Times New Roman"/>
          <w:color w:val="000000"/>
          <w:sz w:val="24"/>
          <w:szCs w:val="24"/>
        </w:rPr>
        <w:t>p</w:t>
      </w:r>
      <w:r>
        <w:rPr>
          <w:rFonts w:ascii="Times New Roman" w:hAnsi="Times New Roman" w:eastAsia="宋体" w:cs="Times New Roman"/>
          <w:color w:val="000000"/>
          <w:sz w:val="24"/>
          <w:szCs w:val="24"/>
        </w:rPr>
        <w:t xml:space="preserve"> &gt; 0.05). Thes</w:t>
      </w:r>
      <w:r>
        <w:rPr>
          <w:rFonts w:hint="eastAsia" w:ascii="Times New Roman" w:hAnsi="Times New Roman" w:eastAsia="宋体" w:cs="Times New Roman"/>
          <w:color w:val="000000"/>
          <w:sz w:val="24"/>
          <w:szCs w:val="24"/>
        </w:rPr>
        <w:t>e findings suggest that as the degree of dyspnea worsens, the impact of ventilation modality on intraoperative oxygenation in patients with MIS becomes more pronounced, and the risk of ICU admission is closely related to the choice of ventilation modality, whereas no such clear association was observed in patients with TF.</w:t>
      </w:r>
      <w:r>
        <w:rPr>
          <w:rFonts w:hint="eastAsia" w:ascii="Calibri" w:hAnsi="Calibri" w:eastAsia="宋体" w:cs="Times New Roman"/>
          <w:szCs w:val="22"/>
        </w:rPr>
        <w:t xml:space="preserve"> </w:t>
      </w:r>
      <w:r>
        <w:rPr>
          <w:rFonts w:hint="eastAsia" w:ascii="Times New Roman" w:hAnsi="Times New Roman" w:eastAsia="宋体" w:cs="Times New Roman"/>
          <w:color w:val="000000"/>
          <w:sz w:val="24"/>
          <w:szCs w:val="24"/>
        </w:rPr>
        <w:t>The results were consistent with the unstratified results.</w:t>
      </w:r>
    </w:p>
    <w:p w14:paraId="7BB1186F">
      <w:pPr>
        <w:spacing w:line="360" w:lineRule="auto"/>
        <w:jc w:val="left"/>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Results of Outcomes by Intubation position and Ventilation Modalities</w:t>
      </w:r>
    </w:p>
    <w:p w14:paraId="64A0D87D">
      <w:pPr>
        <w:spacing w:line="360" w:lineRule="auto"/>
        <w:jc w:val="left"/>
        <w:rPr>
          <w:rFonts w:ascii="Times New Roman" w:hAnsi="Times New Roman" w:eastAsia="等线" w:cs="Times New Roman"/>
          <w:color w:val="70AD47"/>
          <w:sz w:val="24"/>
          <w:szCs w:val="24"/>
        </w:rPr>
      </w:pPr>
      <w:r>
        <w:rPr>
          <w:rFonts w:hint="eastAsia" w:ascii="Times New Roman" w:hAnsi="Times New Roman" w:eastAsia="宋体" w:cs="Times New Roman"/>
          <w:color w:val="000000"/>
          <w:sz w:val="24"/>
          <w:szCs w:val="24"/>
        </w:rPr>
        <w:t xml:space="preserve">As shown in </w:t>
      </w:r>
      <w:r>
        <w:rPr>
          <w:rFonts w:ascii="Times New Roman" w:hAnsi="Times New Roman" w:eastAsia="等线" w:cs="Times New Roman"/>
          <w:color w:val="70AD47"/>
          <w:sz w:val="24"/>
          <w:szCs w:val="24"/>
        </w:rPr>
        <w:t xml:space="preserve">Supplement </w:t>
      </w:r>
      <w:r>
        <w:rPr>
          <w:rFonts w:hint="eastAsia" w:ascii="Times New Roman" w:hAnsi="Times New Roman" w:eastAsia="等线" w:cs="Times New Roman"/>
          <w:color w:val="70AD47"/>
          <w:sz w:val="24"/>
          <w:szCs w:val="24"/>
          <w:lang w:val="en-US" w:eastAsia="zh-CN"/>
        </w:rPr>
        <w:t>Table1e</w:t>
      </w:r>
      <w:r>
        <w:rPr>
          <w:rFonts w:hint="eastAsia" w:ascii="Times New Roman" w:hAnsi="Times New Roman" w:eastAsia="宋体" w:cs="Times New Roman"/>
          <w:color w:val="000000"/>
          <w:sz w:val="24"/>
          <w:szCs w:val="24"/>
        </w:rPr>
        <w:t>, this study stratified patients by group (MIS, TF) and intubation position (underneath side, upward side, rigid Bronchoscope) to compare perioperative indicators under different ventilation modalities. The results showed that the incidence of postoperative complications was 0% in all subgroups. Effective statistical tests could not be performed in some subgroups for the underneath side and rigid bronchoscope intubation positions due to insufficient sample size. In t</w:t>
      </w:r>
      <w:r>
        <w:rPr>
          <w:rFonts w:ascii="Times New Roman" w:hAnsi="Times New Roman" w:eastAsia="宋体" w:cs="Times New Roman"/>
          <w:color w:val="000000"/>
          <w:sz w:val="24"/>
          <w:szCs w:val="24"/>
        </w:rPr>
        <w:t xml:space="preserve">he </w:t>
      </w:r>
      <w:r>
        <w:rPr>
          <w:rFonts w:hint="eastAsia" w:ascii="Times New Roman" w:hAnsi="Times New Roman" w:eastAsia="宋体" w:cs="Times New Roman"/>
          <w:color w:val="000000"/>
          <w:sz w:val="24"/>
          <w:szCs w:val="24"/>
        </w:rPr>
        <w:t>MIS</w:t>
      </w:r>
      <w:r>
        <w:rPr>
          <w:rFonts w:ascii="Times New Roman" w:hAnsi="Times New Roman" w:eastAsia="宋体" w:cs="Times New Roman"/>
          <w:color w:val="000000"/>
          <w:sz w:val="24"/>
          <w:szCs w:val="24"/>
        </w:rPr>
        <w:t xml:space="preserve"> group, among patients with </w:t>
      </w:r>
      <w:r>
        <w:rPr>
          <w:rFonts w:hint="eastAsia" w:ascii="Times New Roman" w:hAnsi="Times New Roman" w:eastAsia="宋体" w:cs="Times New Roman"/>
          <w:color w:val="000000"/>
          <w:sz w:val="24"/>
          <w:szCs w:val="24"/>
        </w:rPr>
        <w:t>u</w:t>
      </w:r>
      <w:r>
        <w:rPr>
          <w:rFonts w:ascii="Times New Roman" w:hAnsi="Times New Roman" w:eastAsia="宋体" w:cs="Times New Roman"/>
          <w:color w:val="000000"/>
          <w:sz w:val="24"/>
          <w:szCs w:val="24"/>
        </w:rPr>
        <w:t>pward side intubation, the difference in ICU admission rate between different ventilation modali</w:t>
      </w:r>
      <w:bookmarkStart w:id="1" w:name="_GoBack"/>
      <w:bookmarkEnd w:id="1"/>
      <w:r>
        <w:rPr>
          <w:rFonts w:ascii="Times New Roman" w:hAnsi="Times New Roman" w:eastAsia="宋体" w:cs="Times New Roman"/>
          <w:color w:val="000000"/>
          <w:sz w:val="24"/>
          <w:szCs w:val="24"/>
        </w:rPr>
        <w:t>ties was statistically significant (P = 0.0099), and the difference in intraoperative lowest SpO₂ was also highly signif</w:t>
      </w:r>
      <w:r>
        <w:rPr>
          <w:rFonts w:hint="eastAsia" w:ascii="Times New Roman" w:hAnsi="Times New Roman" w:eastAsia="宋体" w:cs="Times New Roman"/>
          <w:color w:val="000000"/>
          <w:sz w:val="24"/>
          <w:szCs w:val="24"/>
        </w:rPr>
        <w:t>icant (P = 0.0014); for patients with underneath side and rigid bronchoscope intubation, there were no statistically significant differences in any indicators between ventilation modalities (all P &gt; 0.05). In the TF group, for each intubation position</w:t>
      </w:r>
      <w:r>
        <w:rPr>
          <w:rFonts w:ascii="Times New Roman" w:hAnsi="Times New Roman" w:eastAsia="宋体" w:cs="Times New Roman"/>
          <w:color w:val="000000"/>
          <w:sz w:val="24"/>
          <w:szCs w:val="24"/>
        </w:rPr>
        <w:t xml:space="preserve"> subgroup, there were no statistically significant differences in ICU admission rate, preoperative lowest SpO₂, or intraoperative lowest SpO₂ between different ventilation modalities (all P &gt; 0.05). These findings suggest that the choice of ventilation mod</w:t>
      </w:r>
      <w:r>
        <w:rPr>
          <w:rFonts w:hint="eastAsia" w:ascii="Times New Roman" w:hAnsi="Times New Roman" w:eastAsia="宋体" w:cs="Times New Roman"/>
          <w:color w:val="000000"/>
          <w:sz w:val="24"/>
          <w:szCs w:val="24"/>
        </w:rPr>
        <w:t>ality is closely associated with intraoperative oxygenation and ICU admission risk only in stenosis patients with upward side intubation, whereas no significant differences in perioperative indicators related to intubation position and ventilation modality were observed in the TF group.</w:t>
      </w:r>
      <w:r>
        <w:rPr>
          <w:rFonts w:hint="eastAsia" w:ascii="Calibri" w:hAnsi="Calibri" w:eastAsia="宋体" w:cs="Times New Roman"/>
          <w:szCs w:val="22"/>
        </w:rPr>
        <w:t xml:space="preserve"> </w:t>
      </w:r>
    </w:p>
    <w:p w14:paraId="3EF3F67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EA0812"/>
    <w:rsid w:val="6DEA08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2026-03-30T01:00:00Z</dcterms:created>
  <dc:creator>泡沫静空</dc:creator>
  <cp:lastModifiedBy>泡沫静空</cp:lastModifiedBy>
  <dcterms:modified xsi:type="dcterms:W3CDTF">2026-03-30T01:01:05Z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CA6038BC0D5E4FF3BC87179FF6362D48_11</vt:lpwstr>
  </property>
  <property fmtid="{D5CDD505-2E9C-101B-9397-08002B2CF9AE}" pid="4" name="KSOTemplateDocerSaveRecord">
    <vt:lpwstr>eyJoZGlkIjoiNDQwMGFjYTdiOTM4NjZiYTFmYmJkY2FjNjY2NjRmNTEiLCJ1c2VySWQiOiIzNjc4NTM5NzEifQ==</vt:lpwstr>
  </property>
</Properties>
</file>