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759"/>
      </w:tblGrid>
      <w:tr w:rsidR="008533F2" w:rsidRPr="009376C0" w14:paraId="40F810C2" w14:textId="77777777" w:rsidTr="00AA511D">
        <w:trPr>
          <w:trHeight w:val="1057"/>
        </w:trPr>
        <w:tc>
          <w:tcPr>
            <w:tcW w:w="988" w:type="dxa"/>
            <w:noWrap/>
            <w:vAlign w:val="center"/>
            <w:hideMark/>
          </w:tcPr>
          <w:p w14:paraId="07516964" w14:textId="77777777" w:rsidR="008533F2" w:rsidRPr="009376C0" w:rsidRDefault="008533F2" w:rsidP="00AA5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0">
              <w:rPr>
                <w:rFonts w:ascii="Times New Roman" w:hAnsi="Times New Roman" w:cs="Times New Roman"/>
                <w:sz w:val="28"/>
                <w:szCs w:val="28"/>
              </w:rPr>
              <w:t>#</w:t>
            </w:r>
          </w:p>
        </w:tc>
        <w:tc>
          <w:tcPr>
            <w:tcW w:w="8759" w:type="dxa"/>
            <w:noWrap/>
            <w:vAlign w:val="center"/>
            <w:hideMark/>
          </w:tcPr>
          <w:p w14:paraId="5944D6FA" w14:textId="3867CF33" w:rsidR="008533F2" w:rsidRPr="009376C0" w:rsidRDefault="008533F2" w:rsidP="00AA5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0">
              <w:rPr>
                <w:rFonts w:ascii="Times New Roman" w:hAnsi="Times New Roman" w:cs="Times New Roman"/>
                <w:sz w:val="28"/>
                <w:szCs w:val="28"/>
              </w:rPr>
              <w:t>Highlights</w:t>
            </w:r>
          </w:p>
        </w:tc>
      </w:tr>
      <w:tr w:rsidR="000D663D" w:rsidRPr="009376C0" w14:paraId="441D5294" w14:textId="77777777" w:rsidTr="00AA511D">
        <w:trPr>
          <w:trHeight w:val="1057"/>
        </w:trPr>
        <w:tc>
          <w:tcPr>
            <w:tcW w:w="988" w:type="dxa"/>
            <w:noWrap/>
            <w:vAlign w:val="center"/>
            <w:hideMark/>
          </w:tcPr>
          <w:p w14:paraId="07A7B773" w14:textId="77777777" w:rsidR="000D663D" w:rsidRPr="009376C0" w:rsidRDefault="000D663D" w:rsidP="00AA5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8759" w:type="dxa"/>
            <w:shd w:val="clear" w:color="auto" w:fill="auto"/>
            <w:noWrap/>
            <w:vAlign w:val="center"/>
          </w:tcPr>
          <w:p w14:paraId="48356981" w14:textId="7D0DC34B" w:rsidR="000D663D" w:rsidRPr="009376C0" w:rsidRDefault="00AA511D" w:rsidP="00AA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11D">
              <w:rPr>
                <w:rFonts w:ascii="Times New Roman" w:hAnsi="Times New Roman" w:cs="Times New Roman"/>
                <w:sz w:val="28"/>
                <w:szCs w:val="28"/>
              </w:rPr>
              <w:t>Pilotless actuator reaches 950 Hz natural frequency and 650 Hz −3 dB bandwidth</w:t>
            </w:r>
          </w:p>
        </w:tc>
      </w:tr>
      <w:tr w:rsidR="000D663D" w:rsidRPr="009376C0" w14:paraId="5007CB13" w14:textId="77777777" w:rsidTr="00AA511D">
        <w:trPr>
          <w:trHeight w:val="1057"/>
        </w:trPr>
        <w:tc>
          <w:tcPr>
            <w:tcW w:w="988" w:type="dxa"/>
            <w:noWrap/>
            <w:vAlign w:val="center"/>
            <w:hideMark/>
          </w:tcPr>
          <w:p w14:paraId="33F5D401" w14:textId="77777777" w:rsidR="000D663D" w:rsidRPr="009376C0" w:rsidRDefault="000D663D" w:rsidP="00AA5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0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8759" w:type="dxa"/>
            <w:shd w:val="clear" w:color="auto" w:fill="auto"/>
            <w:noWrap/>
            <w:vAlign w:val="center"/>
          </w:tcPr>
          <w:p w14:paraId="78D2F4D7" w14:textId="577DA3A2" w:rsidR="000D663D" w:rsidRPr="009376C0" w:rsidRDefault="00AA511D" w:rsidP="00AA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11D">
              <w:rPr>
                <w:rFonts w:ascii="Times New Roman" w:hAnsi="Times New Roman" w:cs="Times New Roman"/>
                <w:sz w:val="28"/>
                <w:szCs w:val="28"/>
              </w:rPr>
              <w:t xml:space="preserve">Regime-aware </w:t>
            </w:r>
            <w:proofErr w:type="gramStart"/>
            <w:r w:rsidRPr="00AA511D">
              <w:rPr>
                <w:rFonts w:ascii="Times New Roman" w:hAnsi="Times New Roman" w:cs="Times New Roman"/>
                <w:sz w:val="28"/>
                <w:szCs w:val="28"/>
              </w:rPr>
              <w:t>Cd(</w:t>
            </w:r>
            <w:proofErr w:type="gramEnd"/>
            <w:r w:rsidRPr="00AA511D">
              <w:rPr>
                <w:rFonts w:ascii="Times New Roman" w:hAnsi="Times New Roman" w:cs="Times New Roman"/>
                <w:sz w:val="28"/>
                <w:szCs w:val="28"/>
              </w:rPr>
              <w:t>Re) fit (R²=0.978) avoids up to 18° phase-margin loss.</w:t>
            </w:r>
          </w:p>
        </w:tc>
      </w:tr>
      <w:tr w:rsidR="000D663D" w:rsidRPr="009376C0" w14:paraId="4B459C66" w14:textId="77777777" w:rsidTr="00AA511D">
        <w:trPr>
          <w:trHeight w:val="1057"/>
        </w:trPr>
        <w:tc>
          <w:tcPr>
            <w:tcW w:w="988" w:type="dxa"/>
            <w:noWrap/>
            <w:vAlign w:val="center"/>
            <w:hideMark/>
          </w:tcPr>
          <w:p w14:paraId="56067231" w14:textId="77777777" w:rsidR="000D663D" w:rsidRPr="009376C0" w:rsidRDefault="000D663D" w:rsidP="00AA5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0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8759" w:type="dxa"/>
            <w:shd w:val="clear" w:color="auto" w:fill="auto"/>
            <w:noWrap/>
            <w:vAlign w:val="center"/>
          </w:tcPr>
          <w:p w14:paraId="505796EB" w14:textId="2CF5CDC2" w:rsidR="000D663D" w:rsidRPr="009376C0" w:rsidRDefault="00AA511D" w:rsidP="00AA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11D">
              <w:rPr>
                <w:rFonts w:ascii="Times New Roman" w:hAnsi="Times New Roman" w:cs="Times New Roman"/>
                <w:sz w:val="28"/>
                <w:szCs w:val="28"/>
              </w:rPr>
              <w:t>Micro–meso–macro model links CFD flow physics to closed-loop control.</w:t>
            </w:r>
          </w:p>
        </w:tc>
      </w:tr>
      <w:tr w:rsidR="000D663D" w:rsidRPr="009376C0" w14:paraId="7C645B57" w14:textId="77777777" w:rsidTr="00AA511D">
        <w:trPr>
          <w:trHeight w:val="1057"/>
        </w:trPr>
        <w:tc>
          <w:tcPr>
            <w:tcW w:w="988" w:type="dxa"/>
            <w:noWrap/>
            <w:vAlign w:val="center"/>
            <w:hideMark/>
          </w:tcPr>
          <w:p w14:paraId="488DC587" w14:textId="77777777" w:rsidR="000D663D" w:rsidRPr="009376C0" w:rsidRDefault="000D663D" w:rsidP="00AA5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8759" w:type="dxa"/>
            <w:shd w:val="clear" w:color="auto" w:fill="auto"/>
            <w:noWrap/>
            <w:vAlign w:val="center"/>
          </w:tcPr>
          <w:p w14:paraId="01DFA908" w14:textId="240B782A" w:rsidR="000D663D" w:rsidRPr="009376C0" w:rsidRDefault="00AA511D" w:rsidP="00AA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11D">
              <w:rPr>
                <w:rFonts w:ascii="Times New Roman" w:hAnsi="Times New Roman" w:cs="Times New Roman"/>
                <w:sz w:val="28"/>
                <w:szCs w:val="28"/>
              </w:rPr>
              <w:t>Predictive commissioning cuts field tuning by 93%, from weeks to hours.</w:t>
            </w:r>
          </w:p>
        </w:tc>
      </w:tr>
      <w:tr w:rsidR="000D663D" w:rsidRPr="009376C0" w14:paraId="1ABE7801" w14:textId="77777777" w:rsidTr="00AA511D">
        <w:trPr>
          <w:trHeight w:val="1057"/>
        </w:trPr>
        <w:tc>
          <w:tcPr>
            <w:tcW w:w="988" w:type="dxa"/>
            <w:noWrap/>
            <w:vAlign w:val="center"/>
            <w:hideMark/>
          </w:tcPr>
          <w:p w14:paraId="311104BB" w14:textId="77777777" w:rsidR="000D663D" w:rsidRPr="009376C0" w:rsidRDefault="000D663D" w:rsidP="00AA51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0"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</w:tc>
        <w:tc>
          <w:tcPr>
            <w:tcW w:w="8759" w:type="dxa"/>
            <w:shd w:val="clear" w:color="auto" w:fill="auto"/>
            <w:noWrap/>
            <w:vAlign w:val="center"/>
          </w:tcPr>
          <w:p w14:paraId="74EF4888" w14:textId="459A8478" w:rsidR="000D663D" w:rsidRPr="009376C0" w:rsidRDefault="00AA511D" w:rsidP="00AA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11D">
              <w:rPr>
                <w:rFonts w:ascii="Times New Roman" w:hAnsi="Times New Roman" w:cs="Times New Roman"/>
                <w:sz w:val="28"/>
                <w:szCs w:val="28"/>
              </w:rPr>
              <w:t>Re=500–2500 stability zone contains 87% of precision-task failures.</w:t>
            </w:r>
          </w:p>
        </w:tc>
      </w:tr>
    </w:tbl>
    <w:p w14:paraId="2295A8BF" w14:textId="4C54218C" w:rsidR="008533F2" w:rsidRDefault="008533F2" w:rsidP="009455FE">
      <w:pPr>
        <w:jc w:val="both"/>
      </w:pPr>
    </w:p>
    <w:sectPr w:rsidR="008533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F2"/>
    <w:rsid w:val="00076D0A"/>
    <w:rsid w:val="000D663D"/>
    <w:rsid w:val="001769B5"/>
    <w:rsid w:val="0064119B"/>
    <w:rsid w:val="008533F2"/>
    <w:rsid w:val="009376C0"/>
    <w:rsid w:val="009455FE"/>
    <w:rsid w:val="00AA511D"/>
    <w:rsid w:val="00AB2F77"/>
    <w:rsid w:val="00B16BDE"/>
    <w:rsid w:val="00E1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5B6C4"/>
  <w15:chartTrackingRefBased/>
  <w15:docId w15:val="{3C8B16CE-E8D0-4E0A-99C7-07CA95D9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3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DefaultParagraphFont"/>
    <w:rsid w:val="000D6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2026-03-07T14:45:00Z</dcterms:created>
  <dcterms:modified xsi:type="dcterms:W3CDTF">2026-08-05T11:22:00Z</dcterms:modified>
</cp:coreProperties>
</file>