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23388" w14:textId="77777777" w:rsidR="00C215F5" w:rsidRDefault="006115B6">
      <w:pPr>
        <w:pBdr>
          <w:bottom w:val="single" w:sz="12" w:space="3" w:color="1B3A6B"/>
        </w:pBdr>
        <w:spacing w:after="30"/>
      </w:pPr>
      <w:r>
        <w:rPr>
          <w:rFonts w:ascii="Arial" w:eastAsia="Arial" w:hAnsi="Arial" w:cs="Arial"/>
          <w:b/>
          <w:bCs/>
          <w:color w:val="1B3A6B"/>
          <w:sz w:val="22"/>
          <w:szCs w:val="22"/>
        </w:rPr>
        <w:t xml:space="preserve">APPENDIX B — PARS-6 QUICK REFERENCE </w:t>
      </w:r>
      <w:proofErr w:type="gramStart"/>
      <w:r>
        <w:rPr>
          <w:rFonts w:ascii="Arial" w:eastAsia="Arial" w:hAnsi="Arial" w:cs="Arial"/>
          <w:b/>
          <w:bCs/>
          <w:color w:val="1B3A6B"/>
          <w:sz w:val="22"/>
          <w:szCs w:val="22"/>
        </w:rPr>
        <w:t>CARD</w:t>
      </w:r>
      <w:r>
        <w:rPr>
          <w:rFonts w:ascii="Arial" w:eastAsia="Arial" w:hAnsi="Arial" w:cs="Arial"/>
          <w:color w:val="5A6472"/>
          <w:sz w:val="15"/>
          <w:szCs w:val="15"/>
        </w:rPr>
        <w:t xml:space="preserve">  ·</w:t>
      </w:r>
      <w:proofErr w:type="gramEnd"/>
      <w:r>
        <w:rPr>
          <w:rFonts w:ascii="Arial" w:eastAsia="Arial" w:hAnsi="Arial" w:cs="Arial"/>
          <w:color w:val="5A6472"/>
          <w:sz w:val="15"/>
          <w:szCs w:val="15"/>
        </w:rPr>
        <w:t xml:space="preserve">  Version </w:t>
      </w:r>
      <w:proofErr w:type="gramStart"/>
      <w:r>
        <w:rPr>
          <w:rFonts w:ascii="Arial" w:eastAsia="Arial" w:hAnsi="Arial" w:cs="Arial"/>
          <w:color w:val="5A6472"/>
          <w:sz w:val="15"/>
          <w:szCs w:val="15"/>
        </w:rPr>
        <w:t>2.0  ·</w:t>
      </w:r>
      <w:proofErr w:type="gramEnd"/>
      <w:r>
        <w:rPr>
          <w:rFonts w:ascii="Arial" w:eastAsia="Arial" w:hAnsi="Arial" w:cs="Arial"/>
          <w:color w:val="5A6472"/>
          <w:sz w:val="15"/>
          <w:szCs w:val="15"/>
        </w:rPr>
        <w:t xml:space="preserve">  For use alongside the full PARS-6 Methods and Instrument document</w:t>
      </w:r>
    </w:p>
    <w:p w14:paraId="60FFB608" w14:textId="77777777" w:rsidR="00C215F5" w:rsidRDefault="006115B6">
      <w:pPr>
        <w:spacing w:after="120"/>
      </w:pPr>
      <w:r>
        <w:rPr>
          <w:rFonts w:ascii="Arial" w:eastAsia="Arial" w:hAnsi="Arial" w:cs="Arial"/>
          <w:color w:val="5A6472"/>
          <w:sz w:val="16"/>
          <w:szCs w:val="16"/>
        </w:rPr>
        <w:t>Gopurala et al. (2026</w:t>
      </w:r>
      <w:proofErr w:type="gramStart"/>
      <w:r>
        <w:rPr>
          <w:rFonts w:ascii="Arial" w:eastAsia="Arial" w:hAnsi="Arial" w:cs="Arial"/>
          <w:color w:val="5A6472"/>
          <w:sz w:val="16"/>
          <w:szCs w:val="16"/>
        </w:rPr>
        <w:t>)  ·</w:t>
      </w:r>
      <w:proofErr w:type="gramEnd"/>
      <w:r>
        <w:rPr>
          <w:rFonts w:ascii="Arial" w:eastAsia="Arial" w:hAnsi="Arial" w:cs="Arial"/>
          <w:color w:val="5A6472"/>
          <w:sz w:val="16"/>
          <w:szCs w:val="16"/>
        </w:rPr>
        <w:t xml:space="preserve">  DOI: 10.17605/OSF.IO/NY94</w:t>
      </w:r>
      <w:proofErr w:type="gramStart"/>
      <w:r>
        <w:rPr>
          <w:rFonts w:ascii="Arial" w:eastAsia="Arial" w:hAnsi="Arial" w:cs="Arial"/>
          <w:color w:val="5A6472"/>
          <w:sz w:val="16"/>
          <w:szCs w:val="16"/>
        </w:rPr>
        <w:t>H  ·</w:t>
      </w:r>
      <w:proofErr w:type="gramEnd"/>
      <w:r>
        <w:rPr>
          <w:rFonts w:ascii="Arial" w:eastAsia="Arial" w:hAnsi="Arial" w:cs="Arial"/>
          <w:color w:val="5A6472"/>
          <w:sz w:val="16"/>
          <w:szCs w:val="16"/>
        </w:rPr>
        <w:t xml:space="preserve">  CC0 1.0 </w:t>
      </w:r>
      <w:proofErr w:type="gramStart"/>
      <w:r>
        <w:rPr>
          <w:rFonts w:ascii="Arial" w:eastAsia="Arial" w:hAnsi="Arial" w:cs="Arial"/>
          <w:color w:val="5A6472"/>
          <w:sz w:val="16"/>
          <w:szCs w:val="16"/>
        </w:rPr>
        <w:t>Universal  ·</w:t>
      </w:r>
      <w:proofErr w:type="gramEnd"/>
      <w:r>
        <w:rPr>
          <w:rFonts w:ascii="Arial" w:eastAsia="Arial" w:hAnsi="Arial" w:cs="Arial"/>
          <w:color w:val="5A6472"/>
          <w:sz w:val="16"/>
          <w:szCs w:val="16"/>
        </w:rPr>
        <w:t xml:space="preserve">  Not a validated risk-of-bias </w:t>
      </w:r>
      <w:proofErr w:type="gramStart"/>
      <w:r>
        <w:rPr>
          <w:rFonts w:ascii="Arial" w:eastAsia="Arial" w:hAnsi="Arial" w:cs="Arial"/>
          <w:color w:val="5A6472"/>
          <w:sz w:val="16"/>
          <w:szCs w:val="16"/>
        </w:rPr>
        <w:t>instrument  ·</w:t>
      </w:r>
      <w:proofErr w:type="gramEnd"/>
      <w:r>
        <w:rPr>
          <w:rFonts w:ascii="Arial" w:eastAsia="Arial" w:hAnsi="Arial" w:cs="Arial"/>
          <w:color w:val="5A6472"/>
          <w:sz w:val="16"/>
          <w:szCs w:val="16"/>
        </w:rPr>
        <w:t xml:space="preserve">  Use alongside </w:t>
      </w:r>
      <w:proofErr w:type="spellStart"/>
      <w:r>
        <w:rPr>
          <w:rFonts w:ascii="Arial" w:eastAsia="Arial" w:hAnsi="Arial" w:cs="Arial"/>
          <w:color w:val="5A6472"/>
          <w:sz w:val="16"/>
          <w:szCs w:val="16"/>
        </w:rPr>
        <w:t>RoB</w:t>
      </w:r>
      <w:proofErr w:type="spellEnd"/>
      <w:r>
        <w:rPr>
          <w:rFonts w:ascii="Arial" w:eastAsia="Arial" w:hAnsi="Arial" w:cs="Arial"/>
          <w:color w:val="5A6472"/>
          <w:sz w:val="16"/>
          <w:szCs w:val="16"/>
        </w:rPr>
        <w:t xml:space="preserve"> 2 / ROBINS-I</w:t>
      </w:r>
    </w:p>
    <w:p w14:paraId="4CF731A3" w14:textId="77777777" w:rsidR="00C215F5" w:rsidRDefault="006115B6">
      <w:pPr>
        <w:spacing w:after="60"/>
      </w:pPr>
      <w:r>
        <w:rPr>
          <w:rFonts w:ascii="Arial" w:hAnsi="Arial" w:cs="Arial"/>
          <w:b/>
          <w:color w:val="1B3A6B"/>
          <w:sz w:val="17"/>
        </w:rPr>
        <w:t xml:space="preserve">Senior author definition: Corresponding author if listed; </w:t>
      </w:r>
      <w:proofErr w:type="gramStart"/>
      <w:r>
        <w:rPr>
          <w:rFonts w:ascii="Arial" w:hAnsi="Arial" w:cs="Arial"/>
          <w:b/>
          <w:color w:val="1B3A6B"/>
          <w:sz w:val="17"/>
        </w:rPr>
        <w:t>otherwise</w:t>
      </w:r>
      <w:proofErr w:type="gramEnd"/>
      <w:r>
        <w:rPr>
          <w:rFonts w:ascii="Arial" w:hAnsi="Arial" w:cs="Arial"/>
          <w:b/>
          <w:color w:val="1B3A6B"/>
          <w:sz w:val="17"/>
        </w:rPr>
        <w:t xml:space="preserve"> last-listed author. Apply PARS-6 to the senior author primarily; score additional named authors where information is available.</w:t>
      </w:r>
    </w:p>
    <w:p w14:paraId="42382729" w14:textId="77777777" w:rsidR="00C215F5" w:rsidRDefault="006115B6">
      <w:pPr>
        <w:spacing w:before="40" w:after="40"/>
      </w:pPr>
      <w:r>
        <w:rPr>
          <w:rFonts w:ascii="Arial" w:eastAsia="Arial" w:hAnsi="Arial" w:cs="Arial"/>
          <w:b/>
          <w:bCs/>
          <w:color w:val="1B3A6B"/>
          <w:sz w:val="19"/>
          <w:szCs w:val="19"/>
        </w:rPr>
        <w:t>THREE-OPTION DECISION RULE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6100"/>
      </w:tblGrid>
      <w:tr w:rsidR="00C215F5" w14:paraId="697E7394" w14:textId="77777777">
        <w:tblPrEx>
          <w:tblCellMar>
            <w:top w:w="0" w:type="dxa"/>
            <w:bottom w:w="0" w:type="dxa"/>
          </w:tblCellMar>
        </w:tblPrEx>
        <w:tc>
          <w:tcPr>
            <w:tcW w:w="2900" w:type="dxa"/>
            <w:shd w:val="clear" w:color="auto" w:fill="1B3A6B"/>
            <w:tcMar>
              <w:top w:w="50" w:type="dxa"/>
              <w:left w:w="80" w:type="dxa"/>
              <w:bottom w:w="50" w:type="dxa"/>
              <w:right w:w="60" w:type="dxa"/>
            </w:tcMar>
          </w:tcPr>
          <w:p w14:paraId="7F432DC7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Score 1 — PRESENT</w:t>
            </w:r>
          </w:p>
        </w:tc>
        <w:tc>
          <w:tcPr>
            <w:tcW w:w="6100" w:type="dxa"/>
            <w:tcMar>
              <w:top w:w="50" w:type="dxa"/>
              <w:left w:w="80" w:type="dxa"/>
              <w:bottom w:w="50" w:type="dxa"/>
              <w:right w:w="60" w:type="dxa"/>
            </w:tcMar>
          </w:tcPr>
          <w:p w14:paraId="4F401BFC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relationship is clearly documented from any source</w:t>
            </w:r>
          </w:p>
        </w:tc>
      </w:tr>
      <w:tr w:rsidR="00C215F5" w14:paraId="6089C4FF" w14:textId="77777777">
        <w:tblPrEx>
          <w:tblCellMar>
            <w:top w:w="0" w:type="dxa"/>
            <w:bottom w:w="0" w:type="dxa"/>
          </w:tblCellMar>
        </w:tblPrEx>
        <w:tc>
          <w:tcPr>
            <w:tcW w:w="29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50" w:type="dxa"/>
              <w:left w:w="80" w:type="dxa"/>
              <w:bottom w:w="50" w:type="dxa"/>
              <w:right w:w="60" w:type="dxa"/>
            </w:tcMar>
          </w:tcPr>
          <w:p w14:paraId="3324D739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1B3A6B"/>
                <w:sz w:val="18"/>
                <w:szCs w:val="18"/>
              </w:rPr>
              <w:t>Score U — UNREPORTED</w:t>
            </w:r>
          </w:p>
        </w:tc>
        <w:tc>
          <w:tcPr>
            <w:tcW w:w="61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50" w:type="dxa"/>
              <w:left w:w="80" w:type="dxa"/>
              <w:bottom w:w="50" w:type="dxa"/>
              <w:right w:w="60" w:type="dxa"/>
            </w:tcMar>
          </w:tcPr>
          <w:p w14:paraId="2761731C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Information is not available — do not assume absent; do not score 0</w:t>
            </w:r>
          </w:p>
        </w:tc>
      </w:tr>
      <w:tr w:rsidR="00C215F5" w14:paraId="0C731CBF" w14:textId="77777777">
        <w:tblPrEx>
          <w:tblCellMar>
            <w:top w:w="0" w:type="dxa"/>
            <w:bottom w:w="0" w:type="dxa"/>
          </w:tblCellMar>
        </w:tblPrEx>
        <w:tc>
          <w:tcPr>
            <w:tcW w:w="2900" w:type="dxa"/>
            <w:tcMar>
              <w:top w:w="50" w:type="dxa"/>
              <w:left w:w="80" w:type="dxa"/>
              <w:bottom w:w="50" w:type="dxa"/>
              <w:right w:w="60" w:type="dxa"/>
            </w:tcMar>
          </w:tcPr>
          <w:p w14:paraId="205763F3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1B3A6B"/>
                <w:sz w:val="18"/>
                <w:szCs w:val="18"/>
              </w:rPr>
              <w:t>Score 0 — ABSENT</w:t>
            </w:r>
          </w:p>
        </w:tc>
        <w:tc>
          <w:tcPr>
            <w:tcW w:w="6100" w:type="dxa"/>
            <w:tcMar>
              <w:top w:w="50" w:type="dxa"/>
              <w:left w:w="80" w:type="dxa"/>
              <w:bottom w:w="50" w:type="dxa"/>
              <w:right w:w="60" w:type="dxa"/>
            </w:tcMar>
          </w:tcPr>
          <w:p w14:paraId="53A217AD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Absence is explicitly confirmed — COI statement, biographical note, or equivalent</w:t>
            </w:r>
          </w:p>
        </w:tc>
      </w:tr>
    </w:tbl>
    <w:p w14:paraId="37227725" w14:textId="77777777" w:rsidR="00C215F5" w:rsidRDefault="00C215F5">
      <w:pPr>
        <w:spacing w:after="100"/>
      </w:pPr>
    </w:p>
    <w:p w14:paraId="4041A347" w14:textId="77777777" w:rsidR="00C215F5" w:rsidRDefault="006115B6">
      <w:pPr>
        <w:spacing w:before="80" w:after="50"/>
      </w:pPr>
      <w:r>
        <w:rPr>
          <w:rFonts w:ascii="Arial" w:eastAsia="Arial" w:hAnsi="Arial" w:cs="Arial"/>
          <w:b/>
          <w:bCs/>
          <w:color w:val="1B3A6B"/>
        </w:rPr>
        <w:t>FOUR-STEP DECISION TREE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200"/>
      </w:tblGrid>
      <w:tr w:rsidR="00C215F5" w14:paraId="5BF2251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shd w:val="clear" w:color="auto" w:fill="1B3A6B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3121B6A8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Step</w:t>
            </w:r>
          </w:p>
        </w:tc>
        <w:tc>
          <w:tcPr>
            <w:tcW w:w="7200" w:type="dxa"/>
            <w:shd w:val="clear" w:color="auto" w:fill="1B3A6B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75691907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Action</w:t>
            </w:r>
          </w:p>
        </w:tc>
      </w:tr>
      <w:tr w:rsidR="00C215F5" w14:paraId="251C359B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7386C83C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Step 1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14BCABEC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Check the paper — abstract, affiliations, acknowledgements, COI statement, methods, author notes</w:t>
            </w:r>
          </w:p>
        </w:tc>
      </w:tr>
      <w:tr w:rsidR="00C215F5" w14:paraId="475CEB41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46414FFA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Step 2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52A60D66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Check linked materials — preregistration, supplementary files, institutional profile pages</w:t>
            </w:r>
          </w:p>
        </w:tc>
      </w:tr>
      <w:tr w:rsidR="00C215F5" w14:paraId="64A3A8A3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52B9F75A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Step 3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43531043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Check external sources — Google Scholar, institution website,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organisational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listings, public advocacy records</w:t>
            </w:r>
          </w:p>
        </w:tc>
      </w:tr>
      <w:tr w:rsidR="00C215F5" w14:paraId="60257159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75896E4C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Step 4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345947D4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Assign score — Present (1) if any source confirms · Unreported (U) if no information found · Absent (0) only if explicitly confirmed absent</w:t>
            </w:r>
          </w:p>
        </w:tc>
      </w:tr>
    </w:tbl>
    <w:p w14:paraId="177A3B4D" w14:textId="77777777" w:rsidR="00C215F5" w:rsidRDefault="00C215F5">
      <w:pPr>
        <w:spacing w:after="100"/>
      </w:pPr>
    </w:p>
    <w:p w14:paraId="4741B5E4" w14:textId="77777777" w:rsidR="00C215F5" w:rsidRDefault="006115B6">
      <w:pPr>
        <w:spacing w:before="80" w:after="50"/>
      </w:pPr>
      <w:r>
        <w:rPr>
          <w:rFonts w:ascii="Arial" w:eastAsia="Arial" w:hAnsi="Arial" w:cs="Arial"/>
          <w:b/>
          <w:bCs/>
          <w:color w:val="1B3A6B"/>
        </w:rPr>
        <w:t>SIX ITEM ANCHOR STATEMENTS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200"/>
      </w:tblGrid>
      <w:tr w:rsidR="00C215F5" w14:paraId="2F87EB65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shd w:val="clear" w:color="auto" w:fill="1B3A6B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3EEBB928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Item</w:t>
            </w:r>
          </w:p>
        </w:tc>
        <w:tc>
          <w:tcPr>
            <w:tcW w:w="7200" w:type="dxa"/>
            <w:shd w:val="clear" w:color="auto" w:fill="1B3A6B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742AF863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if confirmed present</w:t>
            </w:r>
          </w:p>
        </w:tc>
      </w:tr>
      <w:tr w:rsidR="00C215F5" w14:paraId="29DCB6B8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0C5E5E3B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Item 1 Tradition affiliation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1B51BD6D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senior author (or corresponding author) has a documented personal, cultural, or institutional affiliation with the practice tradition being studied — including membership, lineage, or regular practice</w:t>
            </w:r>
          </w:p>
        </w:tc>
      </w:tr>
      <w:tr w:rsidR="00C215F5" w14:paraId="08BFFA8C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135A8C8F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Item 2 Funding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13CF0A04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The study received financial support from an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that commercially, institutionally, or reputationally benefits from a positive finding for the studied intervention</w:t>
            </w:r>
          </w:p>
        </w:tc>
      </w:tr>
      <w:tr w:rsidR="00C215F5" w14:paraId="09F565A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47FB7E16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Item 3 COI disclosure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1620F8CC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senior author disclosed a personal financial, consulting, speaker, or ownership interest in the studied intervention or its commercial distribution</w:t>
            </w:r>
          </w:p>
        </w:tc>
      </w:tr>
      <w:tr w:rsidR="00C215F5" w14:paraId="47E9156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264A8733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Item 4 Comparator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143171D8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The comparator condition was structurally disadvantaged relative to the intervention — underdosed, non-standard, or selected in a way that predictably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favours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intervention ★ Automatic third-party adjudication required for all Item 4 disagreements</w:t>
            </w:r>
          </w:p>
        </w:tc>
      </w:tr>
      <w:tr w:rsidR="00C215F5" w14:paraId="14821C94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53E7EC02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Item 5 Development role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0355FAC5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The senior author wrote or formally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formalised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specific practice protocol, trained and certified others in it, or holds formal institutional authority over its delivery. Note: personal practice or lineage initiation is Item 1 — not Item 5.</w:t>
            </w:r>
          </w:p>
        </w:tc>
      </w:tr>
      <w:tr w:rsidR="00C215F5" w14:paraId="772A5A42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5E8F1867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Item 6 Prior advocacy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32A821ED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senior author publicly advocated for the efficacy of the studied intervention — prior to data collection commencement — including peer-reviewed commentaries, editorials, policy papers, public talks, or media appearances. When the start date is unknown, use the study registration date or submission date as a conservative proxy.</w:t>
            </w:r>
          </w:p>
        </w:tc>
      </w:tr>
    </w:tbl>
    <w:p w14:paraId="2ED59C06" w14:textId="77777777" w:rsidR="00C215F5" w:rsidRDefault="00C215F5">
      <w:pPr>
        <w:spacing w:after="100"/>
      </w:pPr>
    </w:p>
    <w:p w14:paraId="53CF6A5F" w14:textId="77777777" w:rsidR="00C215F5" w:rsidRDefault="006115B6">
      <w:pPr>
        <w:spacing w:before="80" w:after="50"/>
      </w:pPr>
      <w:r>
        <w:rPr>
          <w:rFonts w:ascii="Arial" w:eastAsia="Arial" w:hAnsi="Arial" w:cs="Arial"/>
          <w:b/>
          <w:bCs/>
          <w:color w:val="1B3A6B"/>
        </w:rPr>
        <w:t>CONFIDENCE RATING DEFINITIONS (per item)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200"/>
      </w:tblGrid>
      <w:tr w:rsidR="00C215F5" w14:paraId="012E5B3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shd w:val="clear" w:color="auto" w:fill="1B3A6B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57309055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Rating</w:t>
            </w:r>
          </w:p>
        </w:tc>
        <w:tc>
          <w:tcPr>
            <w:tcW w:w="7200" w:type="dxa"/>
            <w:shd w:val="clear" w:color="auto" w:fill="1B3A6B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7D1DF434" w14:textId="77777777" w:rsidR="00C215F5" w:rsidRDefault="006115B6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When to apply</w:t>
            </w:r>
          </w:p>
        </w:tc>
      </w:tr>
      <w:tr w:rsidR="00C215F5" w14:paraId="46360095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6A6EFFCF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 — High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3F58A16F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information is explicitly stated in the paper or a directly linked source</w:t>
            </w:r>
          </w:p>
        </w:tc>
      </w:tr>
      <w:tr w:rsidR="00C215F5" w14:paraId="7C04ED7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20C12521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M — Moderate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2CBA2407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score is inferred from multiple indirect or corroborating sources</w:t>
            </w:r>
          </w:p>
        </w:tc>
      </w:tr>
      <w:tr w:rsidR="00C215F5" w14:paraId="65688C61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6417E984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L — Low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046658C7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score rests on a single indirect source</w:t>
            </w:r>
          </w:p>
        </w:tc>
      </w:tr>
      <w:tr w:rsidR="00C215F5" w14:paraId="5BF9AFFC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76DE4704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N/A</w:t>
            </w:r>
          </w:p>
        </w:tc>
        <w:tc>
          <w:tcPr>
            <w:tcW w:w="7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40" w:type="dxa"/>
              <w:left w:w="80" w:type="dxa"/>
              <w:bottom w:w="40" w:type="dxa"/>
              <w:right w:w="60" w:type="dxa"/>
            </w:tcMar>
          </w:tcPr>
          <w:p w14:paraId="4857663B" w14:textId="77777777" w:rsidR="00C215F5" w:rsidRDefault="006115B6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The item is scored U (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unreported) —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confidence ratings do not apply to U-scored items</w:t>
            </w:r>
          </w:p>
        </w:tc>
      </w:tr>
    </w:tbl>
    <w:p w14:paraId="14E14C7D" w14:textId="77777777" w:rsidR="00C215F5" w:rsidRDefault="00C215F5">
      <w:pPr>
        <w:spacing w:after="100"/>
      </w:pPr>
    </w:p>
    <w:p w14:paraId="22400724" w14:textId="77777777" w:rsidR="00C215F5" w:rsidRDefault="006115B6">
      <w:pPr>
        <w:spacing w:before="80" w:after="50"/>
      </w:pPr>
      <w:r>
        <w:rPr>
          <w:rFonts w:ascii="Arial" w:eastAsia="Arial" w:hAnsi="Arial" w:cs="Arial"/>
          <w:b/>
          <w:bCs/>
          <w:color w:val="1B3A6B"/>
        </w:rPr>
        <w:t>ARI THRESHOLD AND SENSITIVITY ANALYSIS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C215F5" w14:paraId="7FF5ABD5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tcBorders>
              <w:top w:val="single" w:sz="6" w:space="0" w:color="1B3A6B"/>
              <w:bottom w:val="single" w:sz="6" w:space="0" w:color="1B3A6B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D5EBE9B" w14:textId="77777777" w:rsidR="00C215F5" w:rsidRDefault="006115B6">
            <w:pPr>
              <w:spacing w:after="40"/>
            </w:pPr>
            <w:r>
              <w:rPr>
                <w:rFonts w:ascii="Arial" w:hAnsi="Arial" w:cs="Arial"/>
                <w:b/>
                <w:color w:val="1B3A6B"/>
                <w:sz w:val="19"/>
              </w:rPr>
              <w:t>ARI ≥ 4/</w:t>
            </w:r>
            <w:proofErr w:type="gramStart"/>
            <w:r>
              <w:rPr>
                <w:rFonts w:ascii="Arial" w:hAnsi="Arial" w:cs="Arial"/>
                <w:b/>
                <w:color w:val="1B3A6B"/>
                <w:sz w:val="19"/>
              </w:rPr>
              <w:t>6  →</w:t>
            </w:r>
            <w:proofErr w:type="gramEnd"/>
            <w:r>
              <w:rPr>
                <w:rFonts w:ascii="Arial" w:hAnsi="Arial" w:cs="Arial"/>
                <w:b/>
                <w:color w:val="1B3A6B"/>
                <w:sz w:val="19"/>
              </w:rPr>
              <w:t xml:space="preserve">  High-allegiance-</w:t>
            </w:r>
            <w:proofErr w:type="gramStart"/>
            <w:r>
              <w:rPr>
                <w:rFonts w:ascii="Arial" w:hAnsi="Arial" w:cs="Arial"/>
                <w:b/>
                <w:color w:val="1B3A6B"/>
                <w:sz w:val="19"/>
              </w:rPr>
              <w:t>risk  →</w:t>
            </w:r>
            <w:proofErr w:type="gramEnd"/>
            <w:r>
              <w:rPr>
                <w:rFonts w:ascii="Arial" w:hAnsi="Arial" w:cs="Arial"/>
                <w:b/>
                <w:color w:val="1B3A6B"/>
                <w:sz w:val="19"/>
              </w:rPr>
              <w:t xml:space="preserve">  Prespecified sensitivity analysis required</w:t>
            </w:r>
          </w:p>
          <w:p w14:paraId="06C30193" w14:textId="77777777" w:rsidR="00C215F5" w:rsidRDefault="006115B6">
            <w:r>
              <w:rPr>
                <w:rFonts w:ascii="Arial" w:hAnsi="Arial" w:cs="Arial"/>
                <w:b/>
                <w:color w:val="1B3A6B"/>
                <w:sz w:val="19"/>
              </w:rPr>
              <w:t>ARI &lt; 4/</w:t>
            </w:r>
            <w:proofErr w:type="gramStart"/>
            <w:r>
              <w:rPr>
                <w:rFonts w:ascii="Arial" w:hAnsi="Arial" w:cs="Arial"/>
                <w:b/>
                <w:color w:val="1B3A6B"/>
                <w:sz w:val="19"/>
              </w:rPr>
              <w:t>6  →</w:t>
            </w:r>
            <w:proofErr w:type="gramEnd"/>
            <w:r>
              <w:rPr>
                <w:rFonts w:ascii="Arial" w:hAnsi="Arial" w:cs="Arial"/>
                <w:b/>
                <w:color w:val="1B3A6B"/>
                <w:sz w:val="19"/>
              </w:rPr>
              <w:t xml:space="preserve">  Lower-allegiance-</w:t>
            </w:r>
            <w:proofErr w:type="gramStart"/>
            <w:r>
              <w:rPr>
                <w:rFonts w:ascii="Arial" w:hAnsi="Arial" w:cs="Arial"/>
                <w:b/>
                <w:color w:val="1B3A6B"/>
                <w:sz w:val="19"/>
              </w:rPr>
              <w:t>risk  →</w:t>
            </w:r>
            <w:proofErr w:type="gramEnd"/>
            <w:r>
              <w:rPr>
                <w:rFonts w:ascii="Arial" w:hAnsi="Arial" w:cs="Arial"/>
                <w:b/>
                <w:color w:val="1B3A6B"/>
                <w:sz w:val="19"/>
              </w:rPr>
              <w:t xml:space="preserve">  Include in primary analysis</w:t>
            </w:r>
          </w:p>
          <w:p w14:paraId="02201FE6" w14:textId="77777777" w:rsidR="00C215F5" w:rsidRDefault="006115B6">
            <w:r>
              <w:rPr>
                <w:rFonts w:ascii="Arial" w:hAnsi="Arial" w:cs="Arial"/>
                <w:color w:val="5A6472"/>
                <w:sz w:val="19"/>
              </w:rPr>
              <w:t xml:space="preserve">Note: The ≥4/6 threshold is provisional — not empirically derived. Preregister any alternative threshold before </w:t>
            </w:r>
            <w:proofErr w:type="gramStart"/>
            <w:r>
              <w:rPr>
                <w:rFonts w:ascii="Arial" w:hAnsi="Arial" w:cs="Arial"/>
                <w:color w:val="5A6472"/>
                <w:sz w:val="19"/>
              </w:rPr>
              <w:t>applying</w:t>
            </w:r>
            <w:proofErr w:type="gramEnd"/>
            <w:r>
              <w:rPr>
                <w:rFonts w:ascii="Arial" w:hAnsi="Arial" w:cs="Arial"/>
                <w:color w:val="5A6472"/>
                <w:sz w:val="19"/>
              </w:rPr>
              <w:t xml:space="preserve"> PARS-6. PARS-6 scores are reported for ALL included studies regardless of threshold.</w:t>
            </w:r>
          </w:p>
          <w:p w14:paraId="25747693" w14:textId="77777777" w:rsidR="00C215F5" w:rsidRDefault="006115B6">
            <w:r>
              <w:rPr>
                <w:rFonts w:ascii="Arial" w:hAnsi="Arial" w:cs="Arial"/>
                <w:color w:val="5A6472"/>
                <w:sz w:val="19"/>
              </w:rPr>
              <w:t xml:space="preserve">Register your application: </w:t>
            </w:r>
            <w:proofErr w:type="spellStart"/>
            <w:r>
              <w:rPr>
                <w:rFonts w:ascii="Arial" w:hAnsi="Arial" w:cs="Arial"/>
                <w:color w:val="5A6472"/>
                <w:sz w:val="19"/>
              </w:rPr>
              <w:t>forms.gle</w:t>
            </w:r>
            <w:proofErr w:type="spellEnd"/>
            <w:r>
              <w:rPr>
                <w:rFonts w:ascii="Arial" w:hAnsi="Arial" w:cs="Arial"/>
                <w:color w:val="5A6472"/>
                <w:sz w:val="19"/>
              </w:rPr>
              <w:t>/rfJJVpyceF77DzVz9</w:t>
            </w:r>
          </w:p>
        </w:tc>
      </w:tr>
    </w:tbl>
    <w:p w14:paraId="0ECE17B2" w14:textId="77777777" w:rsidR="00C215F5" w:rsidRDefault="00C215F5">
      <w:pPr>
        <w:spacing w:after="100"/>
      </w:pPr>
    </w:p>
    <w:p w14:paraId="136FD152" w14:textId="77777777" w:rsidR="00C215F5" w:rsidRDefault="006115B6">
      <w:pPr>
        <w:spacing w:before="80" w:after="50"/>
      </w:pPr>
      <w:r>
        <w:rPr>
          <w:rFonts w:ascii="Arial" w:eastAsia="Arial" w:hAnsi="Arial" w:cs="Arial"/>
          <w:b/>
          <w:bCs/>
          <w:color w:val="1B3A6B"/>
        </w:rPr>
        <w:lastRenderedPageBreak/>
        <w:t>MINIMUM REPORTING TEMPLATE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C215F5" w14:paraId="6AFE7FC6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tcBorders>
              <w:top w:val="single" w:sz="4" w:space="0" w:color="1C7293"/>
              <w:bottom w:val="single" w:sz="4" w:space="0" w:color="1C7293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43BDFF78" w14:textId="77777777" w:rsidR="00C215F5" w:rsidRDefault="006115B6">
            <w:pPr>
              <w:spacing w:after="40"/>
            </w:pPr>
            <w:r>
              <w:rPr>
                <w:rFonts w:ascii="Arial" w:eastAsia="Arial" w:hAnsi="Arial" w:cs="Arial"/>
                <w:i/>
                <w:iCs/>
                <w:color w:val="1F1F1F"/>
                <w:sz w:val="17"/>
                <w:szCs w:val="17"/>
              </w:rPr>
              <w:t>"We applied the Practitioner Allegiance Risk Scale (PARS-6; Gopurala et al., 2026; doi.org/10.17605/OSF.IO/NY94H) to all [N] included studies. PARS-6 produces an Allegiance Risk Index (ARI) ranging from 0–6. [N] studies scored ≥4/6 (high-allegiance-risk). Item-level ARI scores are reported in [Table X]. A prespecified sensitivity analysis excluding high-allegiance-risk studies was conducted; results are reported in [Section Y]. The calibration exercise was completed by [N] reviewers prior to independent sco</w:t>
            </w:r>
            <w:r>
              <w:rPr>
                <w:rFonts w:ascii="Arial" w:eastAsia="Arial" w:hAnsi="Arial" w:cs="Arial"/>
                <w:i/>
                <w:iCs/>
                <w:color w:val="1F1F1F"/>
                <w:sz w:val="17"/>
                <w:szCs w:val="17"/>
              </w:rPr>
              <w:t>ring; inter-rater agreement was [κ = X] [95% CI]."</w:t>
            </w:r>
          </w:p>
        </w:tc>
      </w:tr>
    </w:tbl>
    <w:p w14:paraId="4078BF53" w14:textId="77777777" w:rsidR="00C215F5" w:rsidRDefault="00C215F5">
      <w:pPr>
        <w:spacing w:after="80"/>
      </w:pPr>
    </w:p>
    <w:p w14:paraId="7350984F" w14:textId="77777777" w:rsidR="00C215F5" w:rsidRDefault="006115B6">
      <w:pPr>
        <w:pBdr>
          <w:top w:val="single" w:sz="4" w:space="3" w:color="1B3A6B"/>
        </w:pBdr>
      </w:pPr>
      <w:r>
        <w:rPr>
          <w:rFonts w:ascii="Arial" w:eastAsia="Arial" w:hAnsi="Arial" w:cs="Arial"/>
          <w:color w:val="5A6472"/>
          <w:sz w:val="14"/>
          <w:szCs w:val="14"/>
        </w:rPr>
        <w:t xml:space="preserve">PARS-6 </w:t>
      </w:r>
      <w:proofErr w:type="gramStart"/>
      <w:r>
        <w:rPr>
          <w:rFonts w:ascii="Arial" w:eastAsia="Arial" w:hAnsi="Arial" w:cs="Arial"/>
          <w:color w:val="5A6472"/>
          <w:sz w:val="14"/>
          <w:szCs w:val="14"/>
        </w:rPr>
        <w:t>v2.0  ·</w:t>
      </w:r>
      <w:proofErr w:type="gramEnd"/>
      <w:r>
        <w:rPr>
          <w:rFonts w:ascii="Arial" w:eastAsia="Arial" w:hAnsi="Arial" w:cs="Arial"/>
          <w:color w:val="5A6472"/>
          <w:sz w:val="14"/>
          <w:szCs w:val="14"/>
        </w:rPr>
        <w:t xml:space="preserve">  Gopurala et al. (2026</w:t>
      </w:r>
      <w:proofErr w:type="gramStart"/>
      <w:r>
        <w:rPr>
          <w:rFonts w:ascii="Arial" w:eastAsia="Arial" w:hAnsi="Arial" w:cs="Arial"/>
          <w:color w:val="5A6472"/>
          <w:sz w:val="14"/>
          <w:szCs w:val="14"/>
        </w:rPr>
        <w:t>)  ·</w:t>
      </w:r>
      <w:proofErr w:type="gramEnd"/>
      <w:r>
        <w:rPr>
          <w:rFonts w:ascii="Arial" w:eastAsia="Arial" w:hAnsi="Arial" w:cs="Arial"/>
          <w:color w:val="5A6472"/>
          <w:sz w:val="14"/>
          <w:szCs w:val="14"/>
        </w:rPr>
        <w:t xml:space="preserve">  doi.org/10.17605/OSF.IO/NY94</w:t>
      </w:r>
      <w:proofErr w:type="gramStart"/>
      <w:r>
        <w:rPr>
          <w:rFonts w:ascii="Arial" w:eastAsia="Arial" w:hAnsi="Arial" w:cs="Arial"/>
          <w:color w:val="5A6472"/>
          <w:sz w:val="14"/>
          <w:szCs w:val="14"/>
        </w:rPr>
        <w:t>H  ·</w:t>
      </w:r>
      <w:proofErr w:type="gramEnd"/>
      <w:r>
        <w:rPr>
          <w:rFonts w:ascii="Arial" w:eastAsia="Arial" w:hAnsi="Arial" w:cs="Arial"/>
          <w:color w:val="5A6472"/>
          <w:sz w:val="14"/>
          <w:szCs w:val="14"/>
        </w:rPr>
        <w:t xml:space="preserve">  CC0 1.0 </w:t>
      </w:r>
      <w:proofErr w:type="gramStart"/>
      <w:r>
        <w:rPr>
          <w:rFonts w:ascii="Arial" w:eastAsia="Arial" w:hAnsi="Arial" w:cs="Arial"/>
          <w:color w:val="5A6472"/>
          <w:sz w:val="14"/>
          <w:szCs w:val="14"/>
        </w:rPr>
        <w:t>Universal  ·</w:t>
      </w:r>
      <w:proofErr w:type="gramEnd"/>
      <w:r>
        <w:rPr>
          <w:rFonts w:ascii="Arial" w:eastAsia="Arial" w:hAnsi="Arial" w:cs="Arial"/>
          <w:color w:val="5A6472"/>
          <w:sz w:val="14"/>
          <w:szCs w:val="14"/>
        </w:rPr>
        <w:t xml:space="preserve">  PARS-6 documents allegiance-relevant relationships. It does not adjudicate. A high ARI score is not evidence of misconduct, dishonesty, or reduced scientific value.</w:t>
      </w:r>
    </w:p>
    <w:sectPr w:rsidR="00C215F5">
      <w:pgSz w:w="12240" w:h="15840"/>
      <w:pgMar w:top="720" w:right="900" w:bottom="54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E39AC"/>
    <w:multiLevelType w:val="hybridMultilevel"/>
    <w:tmpl w:val="863C5386"/>
    <w:lvl w:ilvl="0" w:tplc="A36E3EFC">
      <w:start w:val="1"/>
      <w:numFmt w:val="bullet"/>
      <w:lvlText w:val="●"/>
      <w:lvlJc w:val="left"/>
      <w:pPr>
        <w:ind w:left="720" w:hanging="360"/>
      </w:pPr>
    </w:lvl>
    <w:lvl w:ilvl="1" w:tplc="D464A66E">
      <w:start w:val="1"/>
      <w:numFmt w:val="bullet"/>
      <w:lvlText w:val="○"/>
      <w:lvlJc w:val="left"/>
      <w:pPr>
        <w:ind w:left="1440" w:hanging="360"/>
      </w:pPr>
    </w:lvl>
    <w:lvl w:ilvl="2" w:tplc="543AAC6C">
      <w:start w:val="1"/>
      <w:numFmt w:val="bullet"/>
      <w:lvlText w:val="■"/>
      <w:lvlJc w:val="left"/>
      <w:pPr>
        <w:ind w:left="2160" w:hanging="360"/>
      </w:pPr>
    </w:lvl>
    <w:lvl w:ilvl="3" w:tplc="5DCCE1C4">
      <w:start w:val="1"/>
      <w:numFmt w:val="bullet"/>
      <w:lvlText w:val="●"/>
      <w:lvlJc w:val="left"/>
      <w:pPr>
        <w:ind w:left="2880" w:hanging="360"/>
      </w:pPr>
    </w:lvl>
    <w:lvl w:ilvl="4" w:tplc="B96E3804">
      <w:start w:val="1"/>
      <w:numFmt w:val="bullet"/>
      <w:lvlText w:val="○"/>
      <w:lvlJc w:val="left"/>
      <w:pPr>
        <w:ind w:left="3600" w:hanging="360"/>
      </w:pPr>
    </w:lvl>
    <w:lvl w:ilvl="5" w:tplc="6354EA54">
      <w:start w:val="1"/>
      <w:numFmt w:val="bullet"/>
      <w:lvlText w:val="■"/>
      <w:lvlJc w:val="left"/>
      <w:pPr>
        <w:ind w:left="4320" w:hanging="360"/>
      </w:pPr>
    </w:lvl>
    <w:lvl w:ilvl="6" w:tplc="56EC1DC4">
      <w:start w:val="1"/>
      <w:numFmt w:val="bullet"/>
      <w:lvlText w:val="●"/>
      <w:lvlJc w:val="left"/>
      <w:pPr>
        <w:ind w:left="5040" w:hanging="360"/>
      </w:pPr>
    </w:lvl>
    <w:lvl w:ilvl="7" w:tplc="5EB48C64">
      <w:start w:val="1"/>
      <w:numFmt w:val="bullet"/>
      <w:lvlText w:val="●"/>
      <w:lvlJc w:val="left"/>
      <w:pPr>
        <w:ind w:left="5760" w:hanging="360"/>
      </w:pPr>
    </w:lvl>
    <w:lvl w:ilvl="8" w:tplc="649C52BA">
      <w:start w:val="1"/>
      <w:numFmt w:val="bullet"/>
      <w:lvlText w:val="●"/>
      <w:lvlJc w:val="left"/>
      <w:pPr>
        <w:ind w:left="6480" w:hanging="360"/>
      </w:pPr>
    </w:lvl>
  </w:abstractNum>
  <w:num w:numId="1" w16cid:durableId="16322464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5F5"/>
    <w:rsid w:val="00006BD6"/>
    <w:rsid w:val="006115B6"/>
    <w:rsid w:val="007434B7"/>
    <w:rsid w:val="00C2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7215D"/>
  <w15:docId w15:val="{262FF32E-3BB8-4EEE-8EF3-E72610FC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Bala Ganesh Gopurala, MD</cp:lastModifiedBy>
  <cp:revision>2</cp:revision>
  <dcterms:created xsi:type="dcterms:W3CDTF">2026-08-29T22:39:00Z</dcterms:created>
  <dcterms:modified xsi:type="dcterms:W3CDTF">2026-08-29T22:39:00Z</dcterms:modified>
</cp:coreProperties>
</file>