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A8CAF" w14:textId="77777777" w:rsidR="008E30B8" w:rsidRDefault="00770DEA" w:rsidP="008E30B8">
      <w:pPr>
        <w:spacing w:after="40"/>
        <w:jc w:val="center"/>
        <w:rPr>
          <w:b/>
          <w:bCs/>
          <w:sz w:val="22"/>
        </w:rPr>
      </w:pPr>
      <w:r w:rsidRPr="00477F13">
        <w:rPr>
          <w:b/>
          <w:bCs/>
          <w:sz w:val="22"/>
        </w:rPr>
        <w:t>Additional file 1</w:t>
      </w:r>
      <w:r w:rsidR="00C75653">
        <w:rPr>
          <w:b/>
          <w:bCs/>
          <w:sz w:val="22"/>
        </w:rPr>
        <w:t>0</w:t>
      </w:r>
    </w:p>
    <w:p w14:paraId="6D50A4F3" w14:textId="7CC5CEDC" w:rsidR="00683EFC" w:rsidRPr="00477F13" w:rsidRDefault="008E30B8">
      <w:pPr>
        <w:spacing w:after="40"/>
        <w:rPr>
          <w:sz w:val="22"/>
        </w:rPr>
      </w:pPr>
      <w:r>
        <w:rPr>
          <w:b/>
          <w:bCs/>
          <w:sz w:val="22"/>
        </w:rPr>
        <w:t>Table S1</w:t>
      </w:r>
      <w:r w:rsidR="00770DEA" w:rsidRPr="00477F13">
        <w:rPr>
          <w:b/>
          <w:sz w:val="22"/>
        </w:rPr>
        <w:t>. Univariable and selected multivariable Cox regression analyses stratified by KMT2A fusion partner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433"/>
        <w:gridCol w:w="2222"/>
        <w:gridCol w:w="1531"/>
        <w:gridCol w:w="1562"/>
        <w:gridCol w:w="2132"/>
        <w:gridCol w:w="1142"/>
        <w:gridCol w:w="2126"/>
        <w:gridCol w:w="1026"/>
      </w:tblGrid>
      <w:tr w:rsidR="00683EFC" w:rsidRPr="00477F13" w14:paraId="091FBE49" w14:textId="77777777" w:rsidTr="004C40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49D4F09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 xml:space="preserve">Panel A. </w:t>
            </w:r>
            <w:r w:rsidRPr="00F947E6">
              <w:rPr>
                <w:i/>
                <w:iCs/>
                <w:sz w:val="22"/>
              </w:rPr>
              <w:t>KMT2A::MLLT3</w:t>
            </w:r>
            <w:r w:rsidRPr="00477F13">
              <w:rPr>
                <w:sz w:val="22"/>
              </w:rPr>
              <w:t xml:space="preserve"> AML</w:t>
            </w:r>
          </w:p>
        </w:tc>
      </w:tr>
      <w:tr w:rsidR="00683EFC" w:rsidRPr="00477F13" w14:paraId="4F61567D" w14:textId="77777777" w:rsidTr="004C4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21D3A4AD" w14:textId="16BE9031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 xml:space="preserve">EFS </w:t>
            </w:r>
            <w:r w:rsidR="002813C3" w:rsidRPr="00477F13">
              <w:rPr>
                <w:sz w:val="22"/>
              </w:rPr>
              <w:t>(n</w:t>
            </w:r>
            <w:r w:rsidRPr="00477F13">
              <w:rPr>
                <w:sz w:val="22"/>
              </w:rPr>
              <w:t>=61; events=10; one-covariate selected model (n=61, events=10); not an adjusted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72E08824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643FEADA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0321873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384BF5A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551D0BB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52" w:type="pct"/>
          </w:tcPr>
          <w:p w14:paraId="56579E2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403" w:type="pct"/>
          </w:tcPr>
          <w:p w14:paraId="7A5C531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750" w:type="pct"/>
          </w:tcPr>
          <w:p w14:paraId="42EC169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62" w:type="pct"/>
          </w:tcPr>
          <w:p w14:paraId="762B36C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15EB6D27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AD3BADA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17B3F4B8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6DC0012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4/2</w:t>
            </w:r>
          </w:p>
        </w:tc>
        <w:tc>
          <w:tcPr>
            <w:tcW w:w="551" w:type="pct"/>
          </w:tcPr>
          <w:p w14:paraId="79F9D60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57/8</w:t>
            </w:r>
          </w:p>
        </w:tc>
        <w:tc>
          <w:tcPr>
            <w:tcW w:w="752" w:type="pct"/>
          </w:tcPr>
          <w:p w14:paraId="009439F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0.23 (0.05–1.09)</w:t>
            </w:r>
          </w:p>
        </w:tc>
        <w:tc>
          <w:tcPr>
            <w:tcW w:w="403" w:type="pct"/>
          </w:tcPr>
          <w:p w14:paraId="51814CF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0.065</w:t>
            </w:r>
          </w:p>
        </w:tc>
        <w:tc>
          <w:tcPr>
            <w:tcW w:w="750" w:type="pct"/>
          </w:tcPr>
          <w:p w14:paraId="68737AF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314096F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1A42A36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3C71D3B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08B90C6C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3E1E304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31/4</w:t>
            </w:r>
          </w:p>
        </w:tc>
        <w:tc>
          <w:tcPr>
            <w:tcW w:w="551" w:type="pct"/>
          </w:tcPr>
          <w:p w14:paraId="272DD6C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30/6</w:t>
            </w:r>
          </w:p>
        </w:tc>
        <w:tc>
          <w:tcPr>
            <w:tcW w:w="752" w:type="pct"/>
          </w:tcPr>
          <w:p w14:paraId="249452E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1.59 (0.45–5.62)</w:t>
            </w:r>
          </w:p>
        </w:tc>
        <w:tc>
          <w:tcPr>
            <w:tcW w:w="403" w:type="pct"/>
          </w:tcPr>
          <w:p w14:paraId="693C2E0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0.475</w:t>
            </w:r>
          </w:p>
        </w:tc>
        <w:tc>
          <w:tcPr>
            <w:tcW w:w="750" w:type="pct"/>
          </w:tcPr>
          <w:p w14:paraId="44BE5D1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6053A8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2549739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1F41E2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7D3685E7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2FBBDBC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51/7</w:t>
            </w:r>
          </w:p>
        </w:tc>
        <w:tc>
          <w:tcPr>
            <w:tcW w:w="551" w:type="pct"/>
          </w:tcPr>
          <w:p w14:paraId="54EBAB6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10/3</w:t>
            </w:r>
          </w:p>
        </w:tc>
        <w:tc>
          <w:tcPr>
            <w:tcW w:w="752" w:type="pct"/>
          </w:tcPr>
          <w:p w14:paraId="701A574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2.29 (0.59–8.85)</w:t>
            </w:r>
          </w:p>
        </w:tc>
        <w:tc>
          <w:tcPr>
            <w:tcW w:w="403" w:type="pct"/>
          </w:tcPr>
          <w:p w14:paraId="3D93B4C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0.231</w:t>
            </w:r>
          </w:p>
        </w:tc>
        <w:tc>
          <w:tcPr>
            <w:tcW w:w="750" w:type="pct"/>
          </w:tcPr>
          <w:p w14:paraId="668B431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0799621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2F28E15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23A2626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2BD63B60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Yes vs no</w:t>
            </w:r>
          </w:p>
        </w:tc>
        <w:tc>
          <w:tcPr>
            <w:tcW w:w="540" w:type="pct"/>
          </w:tcPr>
          <w:p w14:paraId="54B094D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57/9</w:t>
            </w:r>
          </w:p>
        </w:tc>
        <w:tc>
          <w:tcPr>
            <w:tcW w:w="551" w:type="pct"/>
          </w:tcPr>
          <w:p w14:paraId="154BA49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4/1</w:t>
            </w:r>
          </w:p>
        </w:tc>
        <w:tc>
          <w:tcPr>
            <w:tcW w:w="752" w:type="pct"/>
          </w:tcPr>
          <w:p w14:paraId="11F651E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1.51 (0.19–11.89)</w:t>
            </w:r>
          </w:p>
        </w:tc>
        <w:tc>
          <w:tcPr>
            <w:tcW w:w="403" w:type="pct"/>
          </w:tcPr>
          <w:p w14:paraId="31B1005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0.697</w:t>
            </w:r>
          </w:p>
        </w:tc>
        <w:tc>
          <w:tcPr>
            <w:tcW w:w="750" w:type="pct"/>
          </w:tcPr>
          <w:p w14:paraId="6E66888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E919AF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0A72D40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E4196D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Induction regimen</w:t>
            </w:r>
          </w:p>
        </w:tc>
        <w:tc>
          <w:tcPr>
            <w:tcW w:w="784" w:type="pct"/>
          </w:tcPr>
          <w:p w14:paraId="0543ABF1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DAE vs FLAG-IDA</w:t>
            </w:r>
          </w:p>
        </w:tc>
        <w:tc>
          <w:tcPr>
            <w:tcW w:w="540" w:type="pct"/>
          </w:tcPr>
          <w:p w14:paraId="1027F22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49/5</w:t>
            </w:r>
          </w:p>
        </w:tc>
        <w:tc>
          <w:tcPr>
            <w:tcW w:w="551" w:type="pct"/>
          </w:tcPr>
          <w:p w14:paraId="67808A9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12/5</w:t>
            </w:r>
          </w:p>
        </w:tc>
        <w:tc>
          <w:tcPr>
            <w:tcW w:w="752" w:type="pct"/>
          </w:tcPr>
          <w:p w14:paraId="4951C24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5.72 (1.64–19.93)</w:t>
            </w:r>
          </w:p>
        </w:tc>
        <w:tc>
          <w:tcPr>
            <w:tcW w:w="403" w:type="pct"/>
          </w:tcPr>
          <w:p w14:paraId="6098296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0.006</w:t>
            </w:r>
          </w:p>
        </w:tc>
        <w:tc>
          <w:tcPr>
            <w:tcW w:w="750" w:type="pct"/>
          </w:tcPr>
          <w:p w14:paraId="4879A3B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5.72 (1.64–19.93)</w:t>
            </w:r>
          </w:p>
        </w:tc>
        <w:tc>
          <w:tcPr>
            <w:tcW w:w="362" w:type="pct"/>
          </w:tcPr>
          <w:p w14:paraId="7D8BA0D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0.006</w:t>
            </w:r>
          </w:p>
        </w:tc>
      </w:tr>
      <w:tr w:rsidR="00683EFC" w:rsidRPr="00477F13" w14:paraId="0AF3ED17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87FF0E7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3F49A31D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0703572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56/8</w:t>
            </w:r>
          </w:p>
        </w:tc>
        <w:tc>
          <w:tcPr>
            <w:tcW w:w="551" w:type="pct"/>
          </w:tcPr>
          <w:p w14:paraId="2633D8F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5/2</w:t>
            </w:r>
          </w:p>
        </w:tc>
        <w:tc>
          <w:tcPr>
            <w:tcW w:w="752" w:type="pct"/>
          </w:tcPr>
          <w:p w14:paraId="2E17A5D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3.17 (0.67–15.00)</w:t>
            </w:r>
          </w:p>
        </w:tc>
        <w:tc>
          <w:tcPr>
            <w:tcW w:w="403" w:type="pct"/>
          </w:tcPr>
          <w:p w14:paraId="5C41293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0.146</w:t>
            </w:r>
          </w:p>
        </w:tc>
        <w:tc>
          <w:tcPr>
            <w:tcW w:w="750" w:type="pct"/>
          </w:tcPr>
          <w:p w14:paraId="4AD6876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2315809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4CDE0DA3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ADB4DF7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5A4AE8ED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06D6B10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39/6</w:t>
            </w:r>
          </w:p>
        </w:tc>
        <w:tc>
          <w:tcPr>
            <w:tcW w:w="551" w:type="pct"/>
          </w:tcPr>
          <w:p w14:paraId="755226B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19/3</w:t>
            </w:r>
          </w:p>
        </w:tc>
        <w:tc>
          <w:tcPr>
            <w:tcW w:w="752" w:type="pct"/>
          </w:tcPr>
          <w:p w14:paraId="6BA43E2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1.12 (0.28–4.50)</w:t>
            </w:r>
          </w:p>
        </w:tc>
        <w:tc>
          <w:tcPr>
            <w:tcW w:w="403" w:type="pct"/>
          </w:tcPr>
          <w:p w14:paraId="16F0576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0.871</w:t>
            </w:r>
          </w:p>
        </w:tc>
        <w:tc>
          <w:tcPr>
            <w:tcW w:w="750" w:type="pct"/>
          </w:tcPr>
          <w:p w14:paraId="1D54BA3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677CC1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065C21BB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DBDFA4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7C3794B6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7B51145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54/5</w:t>
            </w:r>
          </w:p>
        </w:tc>
        <w:tc>
          <w:tcPr>
            <w:tcW w:w="551" w:type="pct"/>
          </w:tcPr>
          <w:p w14:paraId="7086EC3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5/4</w:t>
            </w:r>
          </w:p>
        </w:tc>
        <w:tc>
          <w:tcPr>
            <w:tcW w:w="752" w:type="pct"/>
          </w:tcPr>
          <w:p w14:paraId="03207E8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403" w:type="pct"/>
          </w:tcPr>
          <w:p w14:paraId="10A3C43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750" w:type="pct"/>
          </w:tcPr>
          <w:p w14:paraId="75AB0F0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3E6D68D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4E89924" w14:textId="77777777" w:rsidTr="004C4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1786AEB2" w14:textId="6B5751C4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OS</w:t>
            </w:r>
            <w:r w:rsidR="002813C3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=61; events=7; one-covariate selected model (n=61, events=7); not an adjusted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79B8F744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A47AF95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7B278EC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379CD26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 xml:space="preserve">Reference </w:t>
            </w:r>
            <w:r w:rsidRPr="00477F13">
              <w:rPr>
                <w:b/>
                <w:sz w:val="22"/>
              </w:rPr>
              <w:lastRenderedPageBreak/>
              <w:t>n/events</w:t>
            </w:r>
          </w:p>
        </w:tc>
        <w:tc>
          <w:tcPr>
            <w:tcW w:w="551" w:type="pct"/>
          </w:tcPr>
          <w:p w14:paraId="164104D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lastRenderedPageBreak/>
              <w:t>Compariso</w:t>
            </w:r>
            <w:r w:rsidRPr="00477F13">
              <w:rPr>
                <w:b/>
                <w:sz w:val="22"/>
              </w:rPr>
              <w:lastRenderedPageBreak/>
              <w:t>n n/events</w:t>
            </w:r>
          </w:p>
        </w:tc>
        <w:tc>
          <w:tcPr>
            <w:tcW w:w="752" w:type="pct"/>
          </w:tcPr>
          <w:p w14:paraId="5763D89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lastRenderedPageBreak/>
              <w:t xml:space="preserve">Univariable HR </w:t>
            </w:r>
            <w:r w:rsidRPr="00477F13">
              <w:rPr>
                <w:b/>
                <w:sz w:val="22"/>
              </w:rPr>
              <w:lastRenderedPageBreak/>
              <w:t>(95% CI)</w:t>
            </w:r>
          </w:p>
        </w:tc>
        <w:tc>
          <w:tcPr>
            <w:tcW w:w="403" w:type="pct"/>
          </w:tcPr>
          <w:p w14:paraId="2C78F7F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lastRenderedPageBreak/>
              <w:t>P value</w:t>
            </w:r>
          </w:p>
        </w:tc>
        <w:tc>
          <w:tcPr>
            <w:tcW w:w="750" w:type="pct"/>
          </w:tcPr>
          <w:p w14:paraId="37CC9F4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 xml:space="preserve">Selected </w:t>
            </w:r>
            <w:r w:rsidRPr="00477F13">
              <w:rPr>
                <w:b/>
                <w:sz w:val="22"/>
              </w:rPr>
              <w:lastRenderedPageBreak/>
              <w:t>multivariable HR (95% CI)</w:t>
            </w:r>
          </w:p>
        </w:tc>
        <w:tc>
          <w:tcPr>
            <w:tcW w:w="362" w:type="pct"/>
          </w:tcPr>
          <w:p w14:paraId="400778F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lastRenderedPageBreak/>
              <w:t xml:space="preserve">P </w:t>
            </w:r>
            <w:r w:rsidRPr="00477F13">
              <w:rPr>
                <w:b/>
                <w:sz w:val="22"/>
              </w:rPr>
              <w:lastRenderedPageBreak/>
              <w:t>value</w:t>
            </w:r>
          </w:p>
        </w:tc>
      </w:tr>
      <w:tr w:rsidR="00683EFC" w:rsidRPr="00477F13" w14:paraId="220BB4D3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7F2F3D9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lastRenderedPageBreak/>
              <w:t>Age at diagnosis</w:t>
            </w:r>
          </w:p>
        </w:tc>
        <w:tc>
          <w:tcPr>
            <w:tcW w:w="784" w:type="pct"/>
          </w:tcPr>
          <w:p w14:paraId="4E81A752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5EFCC64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4/1</w:t>
            </w:r>
          </w:p>
        </w:tc>
        <w:tc>
          <w:tcPr>
            <w:tcW w:w="551" w:type="pct"/>
          </w:tcPr>
          <w:p w14:paraId="2250B68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57/6</w:t>
            </w:r>
          </w:p>
        </w:tc>
        <w:tc>
          <w:tcPr>
            <w:tcW w:w="752" w:type="pct"/>
          </w:tcPr>
          <w:p w14:paraId="0D76BC6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0.34 (0.04–2.82)</w:t>
            </w:r>
          </w:p>
        </w:tc>
        <w:tc>
          <w:tcPr>
            <w:tcW w:w="403" w:type="pct"/>
          </w:tcPr>
          <w:p w14:paraId="1F27463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0.316</w:t>
            </w:r>
          </w:p>
        </w:tc>
        <w:tc>
          <w:tcPr>
            <w:tcW w:w="750" w:type="pct"/>
          </w:tcPr>
          <w:p w14:paraId="40BE652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33C797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B81C77B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624D526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3E11EC1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509C288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31/4</w:t>
            </w:r>
          </w:p>
        </w:tc>
        <w:tc>
          <w:tcPr>
            <w:tcW w:w="551" w:type="pct"/>
          </w:tcPr>
          <w:p w14:paraId="11CB463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30/3</w:t>
            </w:r>
          </w:p>
        </w:tc>
        <w:tc>
          <w:tcPr>
            <w:tcW w:w="752" w:type="pct"/>
          </w:tcPr>
          <w:p w14:paraId="3E50916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0.79 (0.18–3.51)</w:t>
            </w:r>
          </w:p>
        </w:tc>
        <w:tc>
          <w:tcPr>
            <w:tcW w:w="403" w:type="pct"/>
          </w:tcPr>
          <w:p w14:paraId="33E700D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0.752</w:t>
            </w:r>
          </w:p>
        </w:tc>
        <w:tc>
          <w:tcPr>
            <w:tcW w:w="750" w:type="pct"/>
          </w:tcPr>
          <w:p w14:paraId="4017616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C00F34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38984BBC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CCE879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0A3541EB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382E8A7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51/5</w:t>
            </w:r>
          </w:p>
        </w:tc>
        <w:tc>
          <w:tcPr>
            <w:tcW w:w="551" w:type="pct"/>
          </w:tcPr>
          <w:p w14:paraId="6C82FCF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10/2</w:t>
            </w:r>
          </w:p>
        </w:tc>
        <w:tc>
          <w:tcPr>
            <w:tcW w:w="752" w:type="pct"/>
          </w:tcPr>
          <w:p w14:paraId="782FE56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2.23 (0.43–11.51)</w:t>
            </w:r>
          </w:p>
        </w:tc>
        <w:tc>
          <w:tcPr>
            <w:tcW w:w="403" w:type="pct"/>
          </w:tcPr>
          <w:p w14:paraId="608161E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0.338</w:t>
            </w:r>
          </w:p>
        </w:tc>
        <w:tc>
          <w:tcPr>
            <w:tcW w:w="750" w:type="pct"/>
          </w:tcPr>
          <w:p w14:paraId="5E96F7D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0AF1A7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1CBA0B1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59E3DB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62B28E30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Yes vs no</w:t>
            </w:r>
          </w:p>
        </w:tc>
        <w:tc>
          <w:tcPr>
            <w:tcW w:w="540" w:type="pct"/>
          </w:tcPr>
          <w:p w14:paraId="7705B92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57/7</w:t>
            </w:r>
          </w:p>
        </w:tc>
        <w:tc>
          <w:tcPr>
            <w:tcW w:w="551" w:type="pct"/>
          </w:tcPr>
          <w:p w14:paraId="319DE93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4/0</w:t>
            </w:r>
          </w:p>
        </w:tc>
        <w:tc>
          <w:tcPr>
            <w:tcW w:w="752" w:type="pct"/>
          </w:tcPr>
          <w:p w14:paraId="12088BD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403" w:type="pct"/>
          </w:tcPr>
          <w:p w14:paraId="6CE8AA8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750" w:type="pct"/>
          </w:tcPr>
          <w:p w14:paraId="34E3534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0FFE172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15DD0B8F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BE07880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Induction regimen</w:t>
            </w:r>
          </w:p>
        </w:tc>
        <w:tc>
          <w:tcPr>
            <w:tcW w:w="784" w:type="pct"/>
          </w:tcPr>
          <w:p w14:paraId="0D7B83F2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DAE vs FLAG-IDA</w:t>
            </w:r>
          </w:p>
        </w:tc>
        <w:tc>
          <w:tcPr>
            <w:tcW w:w="540" w:type="pct"/>
          </w:tcPr>
          <w:p w14:paraId="56818C4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49/4</w:t>
            </w:r>
          </w:p>
        </w:tc>
        <w:tc>
          <w:tcPr>
            <w:tcW w:w="551" w:type="pct"/>
          </w:tcPr>
          <w:p w14:paraId="42EFE79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12/3</w:t>
            </w:r>
          </w:p>
        </w:tc>
        <w:tc>
          <w:tcPr>
            <w:tcW w:w="752" w:type="pct"/>
          </w:tcPr>
          <w:p w14:paraId="0895987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4.20 (0.94–18.84)</w:t>
            </w:r>
          </w:p>
        </w:tc>
        <w:tc>
          <w:tcPr>
            <w:tcW w:w="403" w:type="pct"/>
          </w:tcPr>
          <w:p w14:paraId="6E065DE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0.061</w:t>
            </w:r>
          </w:p>
        </w:tc>
        <w:tc>
          <w:tcPr>
            <w:tcW w:w="750" w:type="pct"/>
          </w:tcPr>
          <w:p w14:paraId="054C3C0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8A6E64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418F664D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C1137A7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1B90DF2E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1FCEB59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56/5</w:t>
            </w:r>
          </w:p>
        </w:tc>
        <w:tc>
          <w:tcPr>
            <w:tcW w:w="551" w:type="pct"/>
          </w:tcPr>
          <w:p w14:paraId="5818249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5/2</w:t>
            </w:r>
          </w:p>
        </w:tc>
        <w:tc>
          <w:tcPr>
            <w:tcW w:w="752" w:type="pct"/>
          </w:tcPr>
          <w:p w14:paraId="31406F1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5.37 (1.04–27.83)</w:t>
            </w:r>
          </w:p>
        </w:tc>
        <w:tc>
          <w:tcPr>
            <w:tcW w:w="403" w:type="pct"/>
          </w:tcPr>
          <w:p w14:paraId="0FF20AE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0.045</w:t>
            </w:r>
          </w:p>
        </w:tc>
        <w:tc>
          <w:tcPr>
            <w:tcW w:w="750" w:type="pct"/>
          </w:tcPr>
          <w:p w14:paraId="539972C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5.37 (1.04–27.83)</w:t>
            </w:r>
          </w:p>
        </w:tc>
        <w:tc>
          <w:tcPr>
            <w:tcW w:w="362" w:type="pct"/>
          </w:tcPr>
          <w:p w14:paraId="40D4DF8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0.045</w:t>
            </w:r>
          </w:p>
        </w:tc>
      </w:tr>
      <w:tr w:rsidR="00683EFC" w:rsidRPr="00477F13" w14:paraId="0FA406AD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5547D47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0556D674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6F6DC27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39/4</w:t>
            </w:r>
          </w:p>
        </w:tc>
        <w:tc>
          <w:tcPr>
            <w:tcW w:w="551" w:type="pct"/>
          </w:tcPr>
          <w:p w14:paraId="60C9E3A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19/2</w:t>
            </w:r>
          </w:p>
        </w:tc>
        <w:tc>
          <w:tcPr>
            <w:tcW w:w="752" w:type="pct"/>
          </w:tcPr>
          <w:p w14:paraId="3C30A10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1.18 (0.22–6.46)</w:t>
            </w:r>
          </w:p>
        </w:tc>
        <w:tc>
          <w:tcPr>
            <w:tcW w:w="403" w:type="pct"/>
          </w:tcPr>
          <w:p w14:paraId="309EEF2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0.846</w:t>
            </w:r>
          </w:p>
        </w:tc>
        <w:tc>
          <w:tcPr>
            <w:tcW w:w="750" w:type="pct"/>
          </w:tcPr>
          <w:p w14:paraId="5C48671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0A75CE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C8C16E0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2A0DEE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10935B3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00203CE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54/3</w:t>
            </w:r>
          </w:p>
        </w:tc>
        <w:tc>
          <w:tcPr>
            <w:tcW w:w="551" w:type="pct"/>
          </w:tcPr>
          <w:p w14:paraId="6FCC580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5/3</w:t>
            </w:r>
          </w:p>
        </w:tc>
        <w:tc>
          <w:tcPr>
            <w:tcW w:w="752" w:type="pct"/>
          </w:tcPr>
          <w:p w14:paraId="0D5A120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403" w:type="pct"/>
          </w:tcPr>
          <w:p w14:paraId="5371BC8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750" w:type="pct"/>
          </w:tcPr>
          <w:p w14:paraId="4D5B67A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46A46A3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EBEB846" w14:textId="77777777" w:rsidTr="004C4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1556671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Panel B. Non-</w:t>
            </w:r>
            <w:r w:rsidRPr="00F947E6">
              <w:rPr>
                <w:i/>
                <w:iCs/>
                <w:sz w:val="22"/>
              </w:rPr>
              <w:t>MLLT3</w:t>
            </w:r>
            <w:r w:rsidRPr="00477F13">
              <w:rPr>
                <w:sz w:val="22"/>
              </w:rPr>
              <w:t xml:space="preserve"> </w:t>
            </w:r>
            <w:r w:rsidRPr="00F947E6">
              <w:rPr>
                <w:i/>
                <w:iCs/>
                <w:sz w:val="22"/>
              </w:rPr>
              <w:t>KMT2A</w:t>
            </w:r>
            <w:r w:rsidRPr="00477F13">
              <w:rPr>
                <w:sz w:val="22"/>
              </w:rPr>
              <w:t>-rearranged AML</w:t>
            </w:r>
          </w:p>
        </w:tc>
      </w:tr>
      <w:tr w:rsidR="00683EFC" w:rsidRPr="00477F13" w14:paraId="330C7BFF" w14:textId="77777777" w:rsidTr="004C4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65B02F1E" w14:textId="70444B8B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EFS</w:t>
            </w:r>
            <w:r w:rsidR="002813C3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=83; events=24; one-covariate selected model (n=83, events=24); not an adjusted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54445526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0FDC746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22D26F8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7E0DFA4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7947E99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52" w:type="pct"/>
          </w:tcPr>
          <w:p w14:paraId="56D871D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403" w:type="pct"/>
          </w:tcPr>
          <w:p w14:paraId="4894ED7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750" w:type="pct"/>
          </w:tcPr>
          <w:p w14:paraId="1466172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62" w:type="pct"/>
          </w:tcPr>
          <w:p w14:paraId="2B937D8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77C0BDE1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C83853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3C9A9D32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128D579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10/4</w:t>
            </w:r>
          </w:p>
        </w:tc>
        <w:tc>
          <w:tcPr>
            <w:tcW w:w="551" w:type="pct"/>
          </w:tcPr>
          <w:p w14:paraId="5365055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73/20</w:t>
            </w:r>
          </w:p>
        </w:tc>
        <w:tc>
          <w:tcPr>
            <w:tcW w:w="752" w:type="pct"/>
          </w:tcPr>
          <w:p w14:paraId="658A556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0.73 (0.25–2.14)</w:t>
            </w:r>
          </w:p>
        </w:tc>
        <w:tc>
          <w:tcPr>
            <w:tcW w:w="403" w:type="pct"/>
          </w:tcPr>
          <w:p w14:paraId="06FC6F1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0.568</w:t>
            </w:r>
          </w:p>
        </w:tc>
        <w:tc>
          <w:tcPr>
            <w:tcW w:w="750" w:type="pct"/>
          </w:tcPr>
          <w:p w14:paraId="1D3DE706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AD490B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4E30B887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8415541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3D706379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1BA4F00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35/13</w:t>
            </w:r>
          </w:p>
        </w:tc>
        <w:tc>
          <w:tcPr>
            <w:tcW w:w="551" w:type="pct"/>
          </w:tcPr>
          <w:p w14:paraId="2198F29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48/11</w:t>
            </w:r>
          </w:p>
        </w:tc>
        <w:tc>
          <w:tcPr>
            <w:tcW w:w="752" w:type="pct"/>
          </w:tcPr>
          <w:p w14:paraId="039E7D1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0.55 (0.24–1.22)</w:t>
            </w:r>
          </w:p>
        </w:tc>
        <w:tc>
          <w:tcPr>
            <w:tcW w:w="403" w:type="pct"/>
          </w:tcPr>
          <w:p w14:paraId="7231C21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0.142</w:t>
            </w:r>
          </w:p>
        </w:tc>
        <w:tc>
          <w:tcPr>
            <w:tcW w:w="750" w:type="pct"/>
          </w:tcPr>
          <w:p w14:paraId="79EF7A9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733EE05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027FFBA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E23EDE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 xml:space="preserve">Presenting WBC </w:t>
            </w:r>
            <w:r w:rsidRPr="00477F13">
              <w:rPr>
                <w:sz w:val="22"/>
              </w:rPr>
              <w:lastRenderedPageBreak/>
              <w:t>count</w:t>
            </w:r>
          </w:p>
        </w:tc>
        <w:tc>
          <w:tcPr>
            <w:tcW w:w="784" w:type="pct"/>
          </w:tcPr>
          <w:p w14:paraId="036BA9F8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lastRenderedPageBreak/>
              <w:t>≥50 vs &lt;50 ×10⁹/L</w:t>
            </w:r>
          </w:p>
        </w:tc>
        <w:tc>
          <w:tcPr>
            <w:tcW w:w="540" w:type="pct"/>
          </w:tcPr>
          <w:p w14:paraId="54642EC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55/16</w:t>
            </w:r>
          </w:p>
        </w:tc>
        <w:tc>
          <w:tcPr>
            <w:tcW w:w="551" w:type="pct"/>
          </w:tcPr>
          <w:p w14:paraId="2263CED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28/8</w:t>
            </w:r>
          </w:p>
        </w:tc>
        <w:tc>
          <w:tcPr>
            <w:tcW w:w="752" w:type="pct"/>
          </w:tcPr>
          <w:p w14:paraId="6A03685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0.89 (0.38–2.07)</w:t>
            </w:r>
          </w:p>
        </w:tc>
        <w:tc>
          <w:tcPr>
            <w:tcW w:w="403" w:type="pct"/>
          </w:tcPr>
          <w:p w14:paraId="1FC7E2E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0.781</w:t>
            </w:r>
          </w:p>
        </w:tc>
        <w:tc>
          <w:tcPr>
            <w:tcW w:w="750" w:type="pct"/>
          </w:tcPr>
          <w:p w14:paraId="52594C7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46D7CED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0CC87D2E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98A5DA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4C38D79E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Yes vs no</w:t>
            </w:r>
          </w:p>
        </w:tc>
        <w:tc>
          <w:tcPr>
            <w:tcW w:w="540" w:type="pct"/>
          </w:tcPr>
          <w:p w14:paraId="3BB4A88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82/24</w:t>
            </w:r>
          </w:p>
        </w:tc>
        <w:tc>
          <w:tcPr>
            <w:tcW w:w="551" w:type="pct"/>
          </w:tcPr>
          <w:p w14:paraId="1CB244F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1/0</w:t>
            </w:r>
          </w:p>
        </w:tc>
        <w:tc>
          <w:tcPr>
            <w:tcW w:w="752" w:type="pct"/>
          </w:tcPr>
          <w:p w14:paraId="7E0CB69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403" w:type="pct"/>
          </w:tcPr>
          <w:p w14:paraId="48C55FD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750" w:type="pct"/>
          </w:tcPr>
          <w:p w14:paraId="56F9F87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4EBEE79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12E2E26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02770CF4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Induction regimen</w:t>
            </w:r>
          </w:p>
        </w:tc>
        <w:tc>
          <w:tcPr>
            <w:tcW w:w="784" w:type="pct"/>
          </w:tcPr>
          <w:p w14:paraId="2C38ABC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DAE vs FLAG-IDA</w:t>
            </w:r>
          </w:p>
        </w:tc>
        <w:tc>
          <w:tcPr>
            <w:tcW w:w="540" w:type="pct"/>
          </w:tcPr>
          <w:p w14:paraId="1523DC6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70/20</w:t>
            </w:r>
          </w:p>
        </w:tc>
        <w:tc>
          <w:tcPr>
            <w:tcW w:w="551" w:type="pct"/>
          </w:tcPr>
          <w:p w14:paraId="1BCB0861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13/4</w:t>
            </w:r>
          </w:p>
        </w:tc>
        <w:tc>
          <w:tcPr>
            <w:tcW w:w="752" w:type="pct"/>
          </w:tcPr>
          <w:p w14:paraId="570D241D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1.40 (0.48–4.09)</w:t>
            </w:r>
          </w:p>
        </w:tc>
        <w:tc>
          <w:tcPr>
            <w:tcW w:w="403" w:type="pct"/>
          </w:tcPr>
          <w:p w14:paraId="2E2F5330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0.544</w:t>
            </w:r>
          </w:p>
        </w:tc>
        <w:tc>
          <w:tcPr>
            <w:tcW w:w="750" w:type="pct"/>
          </w:tcPr>
          <w:p w14:paraId="68972C6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0A90698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56C7A5DD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3AD3F2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685D4CE1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5E5B420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68/16</w:t>
            </w:r>
          </w:p>
        </w:tc>
        <w:tc>
          <w:tcPr>
            <w:tcW w:w="551" w:type="pct"/>
          </w:tcPr>
          <w:p w14:paraId="6E01152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15/8</w:t>
            </w:r>
          </w:p>
        </w:tc>
        <w:tc>
          <w:tcPr>
            <w:tcW w:w="752" w:type="pct"/>
          </w:tcPr>
          <w:p w14:paraId="3A94863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2.88 (1.23–6.74)</w:t>
            </w:r>
          </w:p>
        </w:tc>
        <w:tc>
          <w:tcPr>
            <w:tcW w:w="403" w:type="pct"/>
          </w:tcPr>
          <w:p w14:paraId="6EEE46D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0.015</w:t>
            </w:r>
          </w:p>
        </w:tc>
        <w:tc>
          <w:tcPr>
            <w:tcW w:w="750" w:type="pct"/>
          </w:tcPr>
          <w:p w14:paraId="4620BC4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2.88 (1.23–6.74)</w:t>
            </w:r>
          </w:p>
        </w:tc>
        <w:tc>
          <w:tcPr>
            <w:tcW w:w="362" w:type="pct"/>
          </w:tcPr>
          <w:p w14:paraId="70E3307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0.015</w:t>
            </w:r>
          </w:p>
        </w:tc>
      </w:tr>
      <w:tr w:rsidR="00683EFC" w:rsidRPr="00477F13" w14:paraId="33115EA3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432FE8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1</w:t>
            </w:r>
          </w:p>
        </w:tc>
        <w:tc>
          <w:tcPr>
            <w:tcW w:w="784" w:type="pct"/>
          </w:tcPr>
          <w:p w14:paraId="735C5D4F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397483B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48/15</w:t>
            </w:r>
          </w:p>
        </w:tc>
        <w:tc>
          <w:tcPr>
            <w:tcW w:w="551" w:type="pct"/>
          </w:tcPr>
          <w:p w14:paraId="45EE634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31/9</w:t>
            </w:r>
          </w:p>
        </w:tc>
        <w:tc>
          <w:tcPr>
            <w:tcW w:w="752" w:type="pct"/>
          </w:tcPr>
          <w:p w14:paraId="6563FD39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1.04 (0.45–2.37)</w:t>
            </w:r>
          </w:p>
        </w:tc>
        <w:tc>
          <w:tcPr>
            <w:tcW w:w="403" w:type="pct"/>
          </w:tcPr>
          <w:p w14:paraId="47F670C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0.935</w:t>
            </w:r>
          </w:p>
        </w:tc>
        <w:tc>
          <w:tcPr>
            <w:tcW w:w="750" w:type="pct"/>
          </w:tcPr>
          <w:p w14:paraId="5450C8B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3A32346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3485FB33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C68596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0A3B65A5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23B7238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66/18</w:t>
            </w:r>
          </w:p>
        </w:tc>
        <w:tc>
          <w:tcPr>
            <w:tcW w:w="551" w:type="pct"/>
          </w:tcPr>
          <w:p w14:paraId="43DA37C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15/5</w:t>
            </w:r>
          </w:p>
        </w:tc>
        <w:tc>
          <w:tcPr>
            <w:tcW w:w="752" w:type="pct"/>
          </w:tcPr>
          <w:p w14:paraId="25998E7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1.42 (0.53–3.83)</w:t>
            </w:r>
          </w:p>
        </w:tc>
        <w:tc>
          <w:tcPr>
            <w:tcW w:w="403" w:type="pct"/>
          </w:tcPr>
          <w:p w14:paraId="0EFAB97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0.487</w:t>
            </w:r>
          </w:p>
        </w:tc>
        <w:tc>
          <w:tcPr>
            <w:tcW w:w="750" w:type="pct"/>
          </w:tcPr>
          <w:p w14:paraId="43AA662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7B1D77B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66C217D7" w14:textId="77777777" w:rsidTr="004C40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8"/>
          </w:tcPr>
          <w:p w14:paraId="1302A008" w14:textId="00ED76F4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OS</w:t>
            </w:r>
            <w:r w:rsidR="002813C3" w:rsidRPr="00477F13">
              <w:rPr>
                <w:sz w:val="22"/>
              </w:rPr>
              <w:t xml:space="preserve"> (n</w:t>
            </w:r>
            <w:r w:rsidRPr="00477F13">
              <w:rPr>
                <w:sz w:val="22"/>
              </w:rPr>
              <w:t>=83; events=19; no selected multivariable model</w:t>
            </w:r>
            <w:r w:rsidR="002813C3" w:rsidRPr="00477F13">
              <w:rPr>
                <w:sz w:val="22"/>
              </w:rPr>
              <w:t>)</w:t>
            </w:r>
          </w:p>
        </w:tc>
      </w:tr>
      <w:tr w:rsidR="00683EFC" w:rsidRPr="00477F13" w14:paraId="1368BD4D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F197124" w14:textId="77777777" w:rsidR="00683EFC" w:rsidRPr="00477F13" w:rsidRDefault="00000000">
            <w:pPr>
              <w:jc w:val="center"/>
              <w:rPr>
                <w:sz w:val="22"/>
              </w:rPr>
            </w:pPr>
            <w:r w:rsidRPr="00477F13">
              <w:rPr>
                <w:sz w:val="22"/>
              </w:rPr>
              <w:t>Variable</w:t>
            </w:r>
          </w:p>
        </w:tc>
        <w:tc>
          <w:tcPr>
            <w:tcW w:w="784" w:type="pct"/>
          </w:tcPr>
          <w:p w14:paraId="4E164A5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</w:t>
            </w:r>
          </w:p>
        </w:tc>
        <w:tc>
          <w:tcPr>
            <w:tcW w:w="540" w:type="pct"/>
          </w:tcPr>
          <w:p w14:paraId="482EEAC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Reference n/events</w:t>
            </w:r>
          </w:p>
        </w:tc>
        <w:tc>
          <w:tcPr>
            <w:tcW w:w="551" w:type="pct"/>
          </w:tcPr>
          <w:p w14:paraId="4AF0F7A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Comparison n/events</w:t>
            </w:r>
          </w:p>
        </w:tc>
        <w:tc>
          <w:tcPr>
            <w:tcW w:w="752" w:type="pct"/>
          </w:tcPr>
          <w:p w14:paraId="195ABAE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Univariable HR (95% CI)</w:t>
            </w:r>
          </w:p>
        </w:tc>
        <w:tc>
          <w:tcPr>
            <w:tcW w:w="403" w:type="pct"/>
          </w:tcPr>
          <w:p w14:paraId="48C22BCE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  <w:tc>
          <w:tcPr>
            <w:tcW w:w="750" w:type="pct"/>
          </w:tcPr>
          <w:p w14:paraId="5C17548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Selected multivariable HR (95% CI)</w:t>
            </w:r>
          </w:p>
        </w:tc>
        <w:tc>
          <w:tcPr>
            <w:tcW w:w="362" w:type="pct"/>
          </w:tcPr>
          <w:p w14:paraId="06129EF4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b/>
                <w:sz w:val="22"/>
              </w:rPr>
              <w:t>P value</w:t>
            </w:r>
          </w:p>
        </w:tc>
      </w:tr>
      <w:tr w:rsidR="00683EFC" w:rsidRPr="00477F13" w14:paraId="3CD1AF08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432F177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Age at diagnosis</w:t>
            </w:r>
          </w:p>
        </w:tc>
        <w:tc>
          <w:tcPr>
            <w:tcW w:w="784" w:type="pct"/>
          </w:tcPr>
          <w:p w14:paraId="21662871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 year vs &lt;1 year</w:t>
            </w:r>
          </w:p>
        </w:tc>
        <w:tc>
          <w:tcPr>
            <w:tcW w:w="540" w:type="pct"/>
          </w:tcPr>
          <w:p w14:paraId="672A321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10/3</w:t>
            </w:r>
          </w:p>
        </w:tc>
        <w:tc>
          <w:tcPr>
            <w:tcW w:w="551" w:type="pct"/>
          </w:tcPr>
          <w:p w14:paraId="58D0A1A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73/16</w:t>
            </w:r>
          </w:p>
        </w:tc>
        <w:tc>
          <w:tcPr>
            <w:tcW w:w="752" w:type="pct"/>
          </w:tcPr>
          <w:p w14:paraId="56D662D3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0.88 (0.26–3.03)</w:t>
            </w:r>
          </w:p>
        </w:tc>
        <w:tc>
          <w:tcPr>
            <w:tcW w:w="403" w:type="pct"/>
          </w:tcPr>
          <w:p w14:paraId="799A2CB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0.841</w:t>
            </w:r>
          </w:p>
        </w:tc>
        <w:tc>
          <w:tcPr>
            <w:tcW w:w="750" w:type="pct"/>
          </w:tcPr>
          <w:p w14:paraId="2AB2502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15BADD8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2A73B31A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53348CB6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Sex</w:t>
            </w:r>
          </w:p>
        </w:tc>
        <w:tc>
          <w:tcPr>
            <w:tcW w:w="784" w:type="pct"/>
          </w:tcPr>
          <w:p w14:paraId="220714E9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Male vs female</w:t>
            </w:r>
          </w:p>
        </w:tc>
        <w:tc>
          <w:tcPr>
            <w:tcW w:w="540" w:type="pct"/>
          </w:tcPr>
          <w:p w14:paraId="04B9EC9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35/11</w:t>
            </w:r>
          </w:p>
        </w:tc>
        <w:tc>
          <w:tcPr>
            <w:tcW w:w="551" w:type="pct"/>
          </w:tcPr>
          <w:p w14:paraId="6BB6FED3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48/8</w:t>
            </w:r>
          </w:p>
        </w:tc>
        <w:tc>
          <w:tcPr>
            <w:tcW w:w="752" w:type="pct"/>
          </w:tcPr>
          <w:p w14:paraId="665AE2E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0.49 (0.19–1.21)</w:t>
            </w:r>
          </w:p>
        </w:tc>
        <w:tc>
          <w:tcPr>
            <w:tcW w:w="403" w:type="pct"/>
          </w:tcPr>
          <w:p w14:paraId="47BFBAAB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0.122</w:t>
            </w:r>
          </w:p>
        </w:tc>
        <w:tc>
          <w:tcPr>
            <w:tcW w:w="750" w:type="pct"/>
          </w:tcPr>
          <w:p w14:paraId="21690A8A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5C6107F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F67A6E0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33AAB38E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Presenting WBC count</w:t>
            </w:r>
          </w:p>
        </w:tc>
        <w:tc>
          <w:tcPr>
            <w:tcW w:w="784" w:type="pct"/>
          </w:tcPr>
          <w:p w14:paraId="36B71086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≥50 vs &lt;50 ×10⁹/L</w:t>
            </w:r>
          </w:p>
        </w:tc>
        <w:tc>
          <w:tcPr>
            <w:tcW w:w="540" w:type="pct"/>
          </w:tcPr>
          <w:p w14:paraId="2801B88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55/12</w:t>
            </w:r>
          </w:p>
        </w:tc>
        <w:tc>
          <w:tcPr>
            <w:tcW w:w="551" w:type="pct"/>
          </w:tcPr>
          <w:p w14:paraId="6510D055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28/7</w:t>
            </w:r>
          </w:p>
        </w:tc>
        <w:tc>
          <w:tcPr>
            <w:tcW w:w="752" w:type="pct"/>
          </w:tcPr>
          <w:p w14:paraId="51153D0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0.97 (0.38–2.47)</w:t>
            </w:r>
          </w:p>
        </w:tc>
        <w:tc>
          <w:tcPr>
            <w:tcW w:w="403" w:type="pct"/>
          </w:tcPr>
          <w:p w14:paraId="36D3CBF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0.951</w:t>
            </w:r>
          </w:p>
        </w:tc>
        <w:tc>
          <w:tcPr>
            <w:tcW w:w="750" w:type="pct"/>
          </w:tcPr>
          <w:p w14:paraId="76450EC2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5254199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45C441F8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679CF78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Extramedullary involvement</w:t>
            </w:r>
          </w:p>
        </w:tc>
        <w:tc>
          <w:tcPr>
            <w:tcW w:w="784" w:type="pct"/>
          </w:tcPr>
          <w:p w14:paraId="4A18FE3E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Yes vs no</w:t>
            </w:r>
          </w:p>
        </w:tc>
        <w:tc>
          <w:tcPr>
            <w:tcW w:w="540" w:type="pct"/>
          </w:tcPr>
          <w:p w14:paraId="3BDE6D9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82/19</w:t>
            </w:r>
          </w:p>
        </w:tc>
        <w:tc>
          <w:tcPr>
            <w:tcW w:w="551" w:type="pct"/>
          </w:tcPr>
          <w:p w14:paraId="5F1EDDE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1/0</w:t>
            </w:r>
          </w:p>
        </w:tc>
        <w:tc>
          <w:tcPr>
            <w:tcW w:w="752" w:type="pct"/>
          </w:tcPr>
          <w:p w14:paraId="3E33823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NE</w:t>
            </w:r>
          </w:p>
        </w:tc>
        <w:tc>
          <w:tcPr>
            <w:tcW w:w="403" w:type="pct"/>
          </w:tcPr>
          <w:p w14:paraId="59167022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750" w:type="pct"/>
          </w:tcPr>
          <w:p w14:paraId="4CD8BC7D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31C3F61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448D15CB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1523A5BB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Induction regimen</w:t>
            </w:r>
          </w:p>
        </w:tc>
        <w:tc>
          <w:tcPr>
            <w:tcW w:w="784" w:type="pct"/>
          </w:tcPr>
          <w:p w14:paraId="1399BA39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DAE vs FLAG-IDA</w:t>
            </w:r>
          </w:p>
        </w:tc>
        <w:tc>
          <w:tcPr>
            <w:tcW w:w="540" w:type="pct"/>
          </w:tcPr>
          <w:p w14:paraId="0B89D48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70/15</w:t>
            </w:r>
          </w:p>
        </w:tc>
        <w:tc>
          <w:tcPr>
            <w:tcW w:w="551" w:type="pct"/>
          </w:tcPr>
          <w:p w14:paraId="41AB253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13/4</w:t>
            </w:r>
          </w:p>
        </w:tc>
        <w:tc>
          <w:tcPr>
            <w:tcW w:w="752" w:type="pct"/>
          </w:tcPr>
          <w:p w14:paraId="5DC0B26F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1.72 (0.57–5.20)</w:t>
            </w:r>
          </w:p>
        </w:tc>
        <w:tc>
          <w:tcPr>
            <w:tcW w:w="403" w:type="pct"/>
          </w:tcPr>
          <w:p w14:paraId="448A304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0.334</w:t>
            </w:r>
          </w:p>
        </w:tc>
        <w:tc>
          <w:tcPr>
            <w:tcW w:w="750" w:type="pct"/>
          </w:tcPr>
          <w:p w14:paraId="046AF97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16F15D18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797CD252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7389EFCC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Morphologic CR after course 1</w:t>
            </w:r>
          </w:p>
        </w:tc>
        <w:tc>
          <w:tcPr>
            <w:tcW w:w="784" w:type="pct"/>
          </w:tcPr>
          <w:p w14:paraId="0DC16A43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No vs yes</w:t>
            </w:r>
          </w:p>
        </w:tc>
        <w:tc>
          <w:tcPr>
            <w:tcW w:w="540" w:type="pct"/>
          </w:tcPr>
          <w:p w14:paraId="5016374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68/13</w:t>
            </w:r>
          </w:p>
        </w:tc>
        <w:tc>
          <w:tcPr>
            <w:tcW w:w="551" w:type="pct"/>
          </w:tcPr>
          <w:p w14:paraId="7F535556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15/6</w:t>
            </w:r>
          </w:p>
        </w:tc>
        <w:tc>
          <w:tcPr>
            <w:tcW w:w="752" w:type="pct"/>
          </w:tcPr>
          <w:p w14:paraId="3AFDCD7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2.02 (0.77–5.33)</w:t>
            </w:r>
          </w:p>
        </w:tc>
        <w:tc>
          <w:tcPr>
            <w:tcW w:w="403" w:type="pct"/>
          </w:tcPr>
          <w:p w14:paraId="35BF0BA5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0.153</w:t>
            </w:r>
          </w:p>
        </w:tc>
        <w:tc>
          <w:tcPr>
            <w:tcW w:w="750" w:type="pct"/>
          </w:tcPr>
          <w:p w14:paraId="7D2E7721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7A9D240C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0DE84B62" w14:textId="77777777" w:rsidTr="004751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449D9EA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lastRenderedPageBreak/>
              <w:t>MRD after course 1</w:t>
            </w:r>
          </w:p>
        </w:tc>
        <w:tc>
          <w:tcPr>
            <w:tcW w:w="784" w:type="pct"/>
          </w:tcPr>
          <w:p w14:paraId="6DDB76A7" w14:textId="77777777" w:rsidR="00683EFC" w:rsidRPr="00477F13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≥1% vs &lt;1%</w:t>
            </w:r>
          </w:p>
        </w:tc>
        <w:tc>
          <w:tcPr>
            <w:tcW w:w="540" w:type="pct"/>
          </w:tcPr>
          <w:p w14:paraId="1763E1A7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48/12</w:t>
            </w:r>
          </w:p>
        </w:tc>
        <w:tc>
          <w:tcPr>
            <w:tcW w:w="551" w:type="pct"/>
          </w:tcPr>
          <w:p w14:paraId="6DD4763E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31/7</w:t>
            </w:r>
          </w:p>
        </w:tc>
        <w:tc>
          <w:tcPr>
            <w:tcW w:w="752" w:type="pct"/>
          </w:tcPr>
          <w:p w14:paraId="0AC919AB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0.90 (0.35–2.29)</w:t>
            </w:r>
          </w:p>
        </w:tc>
        <w:tc>
          <w:tcPr>
            <w:tcW w:w="403" w:type="pct"/>
          </w:tcPr>
          <w:p w14:paraId="5FEA733C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0.824</w:t>
            </w:r>
          </w:p>
        </w:tc>
        <w:tc>
          <w:tcPr>
            <w:tcW w:w="750" w:type="pct"/>
          </w:tcPr>
          <w:p w14:paraId="4053B4E4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664F5E7A" w14:textId="77777777" w:rsidR="00683EFC" w:rsidRPr="00477F13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  <w:tr w:rsidR="00683EFC" w:rsidRPr="00477F13" w14:paraId="3462FB3C" w14:textId="77777777" w:rsidTr="00475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pct"/>
          </w:tcPr>
          <w:p w14:paraId="23A0B902" w14:textId="77777777" w:rsidR="00683EFC" w:rsidRPr="00477F13" w:rsidRDefault="00000000">
            <w:pPr>
              <w:rPr>
                <w:sz w:val="22"/>
              </w:rPr>
            </w:pPr>
            <w:r w:rsidRPr="00477F13">
              <w:rPr>
                <w:sz w:val="22"/>
              </w:rPr>
              <w:t>MRD after course 2</w:t>
            </w:r>
          </w:p>
        </w:tc>
        <w:tc>
          <w:tcPr>
            <w:tcW w:w="784" w:type="pct"/>
          </w:tcPr>
          <w:p w14:paraId="67E6435D" w14:textId="77777777" w:rsidR="00683EFC" w:rsidRPr="00477F13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≥0.1% vs &lt;0.1%</w:t>
            </w:r>
          </w:p>
        </w:tc>
        <w:tc>
          <w:tcPr>
            <w:tcW w:w="540" w:type="pct"/>
          </w:tcPr>
          <w:p w14:paraId="07B3252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66/15</w:t>
            </w:r>
          </w:p>
        </w:tc>
        <w:tc>
          <w:tcPr>
            <w:tcW w:w="551" w:type="pct"/>
          </w:tcPr>
          <w:p w14:paraId="7EA3E409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15/3</w:t>
            </w:r>
          </w:p>
        </w:tc>
        <w:tc>
          <w:tcPr>
            <w:tcW w:w="752" w:type="pct"/>
          </w:tcPr>
          <w:p w14:paraId="70701BF0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1.04 (0.30–3.59)</w:t>
            </w:r>
          </w:p>
        </w:tc>
        <w:tc>
          <w:tcPr>
            <w:tcW w:w="403" w:type="pct"/>
          </w:tcPr>
          <w:p w14:paraId="17ECAAF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0.952</w:t>
            </w:r>
          </w:p>
        </w:tc>
        <w:tc>
          <w:tcPr>
            <w:tcW w:w="750" w:type="pct"/>
          </w:tcPr>
          <w:p w14:paraId="6D67AB68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  <w:tc>
          <w:tcPr>
            <w:tcW w:w="362" w:type="pct"/>
          </w:tcPr>
          <w:p w14:paraId="3D27A147" w14:textId="77777777" w:rsidR="00683EFC" w:rsidRPr="00477F13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477F13">
              <w:rPr>
                <w:sz w:val="22"/>
              </w:rPr>
              <w:t>—</w:t>
            </w:r>
          </w:p>
        </w:tc>
      </w:tr>
    </w:tbl>
    <w:p w14:paraId="52C0CC13" w14:textId="77777777" w:rsidR="002813C3" w:rsidRPr="00477F13" w:rsidRDefault="00000000">
      <w:pPr>
        <w:spacing w:before="20"/>
        <w:rPr>
          <w:sz w:val="22"/>
        </w:rPr>
      </w:pPr>
      <w:r w:rsidRPr="00477F13">
        <w:rPr>
          <w:sz w:val="22"/>
        </w:rPr>
        <w:t>Data are HRs (95% CIs). Variables with univariable Wald P</w:t>
      </w:r>
      <w:r w:rsidR="002813C3" w:rsidRPr="00477F13">
        <w:rPr>
          <w:sz w:val="22"/>
        </w:rPr>
        <w:t xml:space="preserve"> </w:t>
      </w:r>
      <w:r w:rsidRPr="00477F13">
        <w:rPr>
          <w:sz w:val="22"/>
        </w:rPr>
        <w:t>&lt;</w:t>
      </w:r>
      <w:r w:rsidR="002813C3" w:rsidRPr="00477F13">
        <w:rPr>
          <w:sz w:val="22"/>
        </w:rPr>
        <w:t xml:space="preserve"> </w:t>
      </w:r>
      <w:r w:rsidRPr="00477F13">
        <w:rPr>
          <w:sz w:val="22"/>
        </w:rPr>
        <w:t xml:space="preserve">0.05 entered the selected model. NE, not reliably estimable because of zero events in one category or model singularity; —, not entered/no selected model. </w:t>
      </w:r>
      <w:r w:rsidRPr="00F947E6">
        <w:rPr>
          <w:i/>
          <w:iCs/>
          <w:sz w:val="22"/>
        </w:rPr>
        <w:t>MLLT3</w:t>
      </w:r>
      <w:r w:rsidRPr="00477F13">
        <w:rPr>
          <w:sz w:val="22"/>
        </w:rPr>
        <w:t xml:space="preserve"> denotes </w:t>
      </w:r>
      <w:r w:rsidRPr="00F947E6">
        <w:rPr>
          <w:i/>
          <w:iCs/>
          <w:sz w:val="22"/>
        </w:rPr>
        <w:t>KMT2A::MLLT3; KMT2A::MLLT11</w:t>
      </w:r>
      <w:r w:rsidRPr="00477F13">
        <w:rPr>
          <w:sz w:val="22"/>
        </w:rPr>
        <w:t xml:space="preserve"> was grouped as non-</w:t>
      </w:r>
      <w:r w:rsidRPr="00F947E6">
        <w:rPr>
          <w:i/>
          <w:iCs/>
          <w:sz w:val="22"/>
        </w:rPr>
        <w:t>MLLT3</w:t>
      </w:r>
      <w:r w:rsidRPr="00477F13">
        <w:rPr>
          <w:sz w:val="22"/>
        </w:rPr>
        <w:t>.</w:t>
      </w:r>
    </w:p>
    <w:p w14:paraId="1B436F3A" w14:textId="30F92EEE" w:rsidR="007B0397" w:rsidRDefault="00000000">
      <w:pPr>
        <w:spacing w:before="20"/>
        <w:rPr>
          <w:sz w:val="22"/>
        </w:rPr>
      </w:pPr>
      <w:r w:rsidRPr="00F947E6">
        <w:rPr>
          <w:b/>
          <w:bCs/>
          <w:sz w:val="22"/>
        </w:rPr>
        <w:t>Abbreviations:</w:t>
      </w:r>
      <w:r w:rsidRPr="00477F13">
        <w:rPr>
          <w:sz w:val="22"/>
        </w:rPr>
        <w:t xml:space="preserve"> CI, confidence interval; CR, complete remission; DAE, daunorubicin, cytarabine, and etoposide; EFS, event-free survival; FLAG-IDA, fludarabine, high-dose cytarabine, granulocyte colony-stimulating factor, and idarubicin; HR, hazard ratio; MRD, measurable residual disease; OS, overall survival; WBC, white blood cell.</w:t>
      </w:r>
    </w:p>
    <w:p w14:paraId="30AE8CB9" w14:textId="77777777" w:rsidR="007B0397" w:rsidRDefault="007B0397">
      <w:pPr>
        <w:widowControl/>
        <w:ind w:firstLine="0"/>
        <w:jc w:val="left"/>
        <w:rPr>
          <w:sz w:val="22"/>
        </w:rPr>
      </w:pPr>
    </w:p>
    <w:p w14:paraId="045A26D6" w14:textId="77777777" w:rsidR="007B0397" w:rsidRDefault="007B0397">
      <w:pPr>
        <w:widowControl/>
        <w:ind w:firstLine="0"/>
        <w:jc w:val="left"/>
        <w:rPr>
          <w:sz w:val="22"/>
        </w:rPr>
      </w:pPr>
    </w:p>
    <w:p w14:paraId="2DCBBDBE" w14:textId="2DE55C46" w:rsidR="00683EFC" w:rsidRDefault="00683EFC" w:rsidP="00EC2A33">
      <w:pPr>
        <w:ind w:firstLine="0"/>
        <w:jc w:val="left"/>
        <w:rPr>
          <w:sz w:val="22"/>
        </w:rPr>
      </w:pPr>
    </w:p>
    <w:sectPr w:rsidR="00683EFC" w:rsidSect="007B0397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58787" w14:textId="77777777" w:rsidR="006836C6" w:rsidRDefault="006836C6">
      <w:pPr>
        <w:spacing w:line="240" w:lineRule="auto"/>
      </w:pPr>
      <w:r>
        <w:separator/>
      </w:r>
    </w:p>
  </w:endnote>
  <w:endnote w:type="continuationSeparator" w:id="0">
    <w:p w14:paraId="2D27CA5E" w14:textId="77777777" w:rsidR="006836C6" w:rsidRDefault="00683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1D517" w14:textId="77777777" w:rsidR="00683EFC" w:rsidRDefault="00683EFC">
    <w:pPr>
      <w:pStyle w:val="Footer"/>
      <w:jc w:val="center"/>
    </w:pPr>
  </w:p>
  <w:p w14:paraId="25987DD7" w14:textId="77777777" w:rsidR="00683EFC" w:rsidRDefault="00683EFC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19339" w14:textId="77777777" w:rsidR="006836C6" w:rsidRDefault="006836C6">
      <w:pPr>
        <w:spacing w:line="240" w:lineRule="auto"/>
      </w:pPr>
      <w:r>
        <w:separator/>
      </w:r>
    </w:p>
  </w:footnote>
  <w:footnote w:type="continuationSeparator" w:id="0">
    <w:p w14:paraId="2AFBFE8B" w14:textId="77777777" w:rsidR="006836C6" w:rsidRDefault="00683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B339" w14:textId="77777777" w:rsidR="00683EFC" w:rsidRDefault="00683EFC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9051A"/>
    <w:multiLevelType w:val="multilevel"/>
    <w:tmpl w:val="B3262EB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DAE660E"/>
    <w:multiLevelType w:val="multilevel"/>
    <w:tmpl w:val="F56CF5C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222B7DBE"/>
    <w:multiLevelType w:val="multilevel"/>
    <w:tmpl w:val="4BE2AD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27C912E0"/>
    <w:multiLevelType w:val="multilevel"/>
    <w:tmpl w:val="AC76CD3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3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4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5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6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7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</w:abstractNum>
  <w:abstractNum w:abstractNumId="4" w15:restartNumberingAfterBreak="0">
    <w:nsid w:val="78C86404"/>
    <w:multiLevelType w:val="multilevel"/>
    <w:tmpl w:val="7EB8CC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1281567984">
    <w:abstractNumId w:val="4"/>
  </w:num>
  <w:num w:numId="2" w16cid:durableId="163398834">
    <w:abstractNumId w:val="2"/>
  </w:num>
  <w:num w:numId="3" w16cid:durableId="384647559">
    <w:abstractNumId w:val="0"/>
  </w:num>
  <w:num w:numId="4" w16cid:durableId="1892964147">
    <w:abstractNumId w:val="3"/>
  </w:num>
  <w:num w:numId="5" w16cid:durableId="1819613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EFC"/>
    <w:rsid w:val="00081D7B"/>
    <w:rsid w:val="001E0E59"/>
    <w:rsid w:val="001E7BBF"/>
    <w:rsid w:val="002047FA"/>
    <w:rsid w:val="002813C3"/>
    <w:rsid w:val="00475188"/>
    <w:rsid w:val="00477F13"/>
    <w:rsid w:val="004C4000"/>
    <w:rsid w:val="00585103"/>
    <w:rsid w:val="005F3E6E"/>
    <w:rsid w:val="006244CC"/>
    <w:rsid w:val="006836C6"/>
    <w:rsid w:val="00683EFC"/>
    <w:rsid w:val="0071739E"/>
    <w:rsid w:val="00770DEA"/>
    <w:rsid w:val="007B0397"/>
    <w:rsid w:val="008170A1"/>
    <w:rsid w:val="00827765"/>
    <w:rsid w:val="008B07EE"/>
    <w:rsid w:val="008E30B8"/>
    <w:rsid w:val="00912F13"/>
    <w:rsid w:val="00A955AE"/>
    <w:rsid w:val="00BD57DE"/>
    <w:rsid w:val="00BD5919"/>
    <w:rsid w:val="00C36C29"/>
    <w:rsid w:val="00C5643E"/>
    <w:rsid w:val="00C57B51"/>
    <w:rsid w:val="00C75653"/>
    <w:rsid w:val="00CF1DED"/>
    <w:rsid w:val="00DA18A9"/>
    <w:rsid w:val="00DB260A"/>
    <w:rsid w:val="00DD770D"/>
    <w:rsid w:val="00EA2D44"/>
    <w:rsid w:val="00EC2A33"/>
    <w:rsid w:val="00EC40D7"/>
    <w:rsid w:val="00F1343C"/>
    <w:rsid w:val="00F9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43083"/>
  <w15:docId w15:val="{F2CC58D7-AF9B-1A4A-AF80-E17DC350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pPr>
      <w:widowControl w:val="0"/>
      <w:spacing w:line="360" w:lineRule="auto"/>
      <w:ind w:firstLine="200"/>
      <w:jc w:val="both"/>
    </w:pPr>
    <w:rPr>
      <w:rFonts w:ascii="Times New Roman" w:eastAsia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pPr>
      <w:spacing w:after="160"/>
      <w:ind w:left="1440" w:right="1440" w:firstLine="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next w:val="Normal"/>
    <w:pPr>
      <w:keepNext/>
      <w:keepLines/>
      <w:ind w:left="1440"/>
      <w:outlineLvl w:val="8"/>
    </w:pPr>
    <w:rPr>
      <w:sz w:val="22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paragraph" w:customStyle="1" w:styleId="Annotation">
    <w:name w:val="Annotation"/>
    <w:basedOn w:val="Normal"/>
    <w:pPr>
      <w:spacing w:after="160"/>
      <w:ind w:left="400" w:firstLine="0"/>
      <w:jc w:val="left"/>
    </w:pPr>
    <w:rPr>
      <w:rFonts w:ascii="Calibri" w:eastAsia="Calibri" w:hAnsi="Calibri" w:cs="Calibr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Subject">
    <w:name w:val="annotation subject"/>
    <w:basedOn w:val="CommentText"/>
    <w:pPr>
      <w:spacing w:line="240" w:lineRule="auto"/>
      <w:ind w:firstLine="200"/>
      <w:jc w:val="both"/>
    </w:pPr>
    <w:rPr>
      <w:rFonts w:ascii="Times New Roman" w:eastAsia="Times New Roman" w:hAnsi="Times New Roman" w:cs="Times New Roman"/>
      <w:b/>
    </w:rPr>
  </w:style>
  <w:style w:type="paragraph" w:styleId="CommentText">
    <w:name w:val="annotation text"/>
    <w:basedOn w:val="Normal"/>
    <w:uiPriority w:val="99"/>
    <w:semiHidden/>
    <w:unhideWhenUsed/>
    <w:pPr>
      <w:ind w:firstLine="0"/>
      <w:jc w:val="left"/>
    </w:pPr>
    <w:rPr>
      <w:rFonts w:ascii="Calibri" w:eastAsia="Calibri" w:hAnsi="Calibri" w:cs="Calibri"/>
      <w:sz w:val="20"/>
    </w:rPr>
  </w:style>
  <w:style w:type="character" w:customStyle="1" w:styleId="ArticleTitle">
    <w:name w:val="Article Title"/>
    <w:basedOn w:val="DefaultParagraphFont"/>
    <w:qFormat/>
  </w:style>
  <w:style w:type="paragraph" w:customStyle="1" w:styleId="Authors">
    <w:name w:val="Authors"/>
    <w:basedOn w:val="Normal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</w:rPr>
  </w:style>
  <w:style w:type="paragraph" w:styleId="BlockText">
    <w:name w:val="Block Text"/>
    <w:basedOn w:val="Normal"/>
    <w:pPr>
      <w:spacing w:after="160"/>
      <w:ind w:left="1200"/>
    </w:pPr>
    <w:rPr>
      <w:rFonts w:ascii="Calibri" w:eastAsia="Calibri" w:hAnsi="Calibri" w:cs="Calibri"/>
      <w:sz w:val="22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character" w:customStyle="1" w:styleId="City">
    <w:name w:val="City"/>
    <w:basedOn w:val="DefaultParagraphFont"/>
  </w:style>
  <w:style w:type="character" w:customStyle="1" w:styleId="Conference">
    <w:name w:val="Conference"/>
    <w:basedOn w:val="DefaultParagraphFont"/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</w:rPr>
  </w:style>
  <w:style w:type="character" w:customStyle="1" w:styleId="Country">
    <w:name w:val="Country"/>
    <w:basedOn w:val="DefaultParagraphFont"/>
  </w:style>
  <w:style w:type="character" w:customStyle="1" w:styleId="Cross-reference">
    <w:name w:val="Cross-reference"/>
    <w:basedOn w:val="DefaultParagraphFont"/>
  </w:style>
  <w:style w:type="character" w:customStyle="1" w:styleId="DatabaseLink">
    <w:name w:val="Database Link"/>
    <w:basedOn w:val="DefaultParagraphFont"/>
  </w:style>
  <w:style w:type="character" w:customStyle="1" w:styleId="Edition">
    <w:name w:val="Edition"/>
    <w:basedOn w:val="DefaultParagraphFont"/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character" w:customStyle="1" w:styleId="FamilyName">
    <w:name w:val="Family Name"/>
    <w:basedOn w:val="DefaultParagraphFont"/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Formula">
    <w:name w:val="Formula"/>
    <w:basedOn w:val="Normal"/>
    <w:pPr>
      <w:shd w:val="clear" w:color="auto" w:fill="FFF5ED"/>
      <w:spacing w:before="120" w:after="120"/>
      <w:jc w:val="left"/>
    </w:pPr>
    <w:rPr>
      <w:rFonts w:ascii="Calibri" w:eastAsia="Calibri" w:hAnsi="Calibri" w:cs="Calibri"/>
      <w:sz w:val="22"/>
    </w:rPr>
  </w:style>
  <w:style w:type="character" w:customStyle="1" w:styleId="GeneSequence">
    <w:name w:val="Gene Sequence"/>
    <w:basedOn w:val="DefaultParagraphFont"/>
  </w:style>
  <w:style w:type="character" w:customStyle="1" w:styleId="GivenName">
    <w:name w:val="Given Name"/>
    <w:basedOn w:val="DefaultParagraphFont"/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</w:rPr>
  </w:style>
  <w:style w:type="character" w:customStyle="1" w:styleId="GlossaryTerm">
    <w:name w:val="Glossary Term"/>
    <w:basedOn w:val="DefaultParagraphFont"/>
  </w:style>
  <w:style w:type="character" w:customStyle="1" w:styleId="GrantID">
    <w:name w:val="Grant ID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ing">
    <w:name w:val="Heading:"/>
    <w:basedOn w:val="DefaultParagraphFont"/>
    <w:rPr>
      <w:color w:val="5B89C1"/>
    </w:rPr>
  </w:style>
  <w:style w:type="character" w:styleId="Hyperlink">
    <w:name w:val="Hyperlink"/>
    <w:basedOn w:val="DefaultParagraphFont"/>
    <w:rPr>
      <w:color w:val="0563C1"/>
    </w:rPr>
  </w:style>
  <w:style w:type="character" w:customStyle="1" w:styleId="IssueNumber">
    <w:name w:val="Issue Number"/>
    <w:basedOn w:val="DefaultParagraphFont"/>
  </w:style>
  <w:style w:type="paragraph" w:customStyle="1" w:styleId="Keywords">
    <w:name w:val="Keywords"/>
    <w:basedOn w:val="Normal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Label">
    <w:name w:val="Label"/>
    <w:basedOn w:val="DefaultParagraphFont"/>
    <w:rPr>
      <w:vertAlign w:val="baseline"/>
    </w:rPr>
  </w:style>
  <w:style w:type="paragraph" w:styleId="List">
    <w:name w:val="List"/>
    <w:basedOn w:val="Normal"/>
    <w:pPr>
      <w:ind w:left="400" w:hanging="400"/>
    </w:pPr>
    <w:rPr>
      <w:rFonts w:ascii="Calibri" w:eastAsia="Calibri" w:hAnsi="Calibri" w:cs="Calibri"/>
      <w:sz w:val="22"/>
    </w:rPr>
  </w:style>
  <w:style w:type="paragraph" w:customStyle="1" w:styleId="List1">
    <w:name w:val="List 1"/>
    <w:basedOn w:val="Normal"/>
    <w:pPr>
      <w:ind w:left="1200" w:hanging="600"/>
    </w:pPr>
    <w:rPr>
      <w:sz w:val="22"/>
    </w:rPr>
  </w:style>
  <w:style w:type="paragraph" w:styleId="List2">
    <w:name w:val="List 2"/>
    <w:basedOn w:val="Normal"/>
    <w:pPr>
      <w:ind w:left="800" w:hanging="400"/>
    </w:pPr>
    <w:rPr>
      <w:rFonts w:ascii="Calibri" w:eastAsia="Calibri" w:hAnsi="Calibri" w:cs="Calibri"/>
      <w:sz w:val="22"/>
    </w:rPr>
  </w:style>
  <w:style w:type="paragraph" w:styleId="List3">
    <w:name w:val="List 3"/>
    <w:basedOn w:val="Normal"/>
    <w:pPr>
      <w:ind w:left="1200" w:hanging="400"/>
    </w:pPr>
    <w:rPr>
      <w:rFonts w:ascii="Calibri" w:eastAsia="Calibri" w:hAnsi="Calibri" w:cs="Calibri"/>
      <w:sz w:val="22"/>
    </w:rPr>
  </w:style>
  <w:style w:type="paragraph" w:styleId="List4">
    <w:name w:val="List 4"/>
    <w:basedOn w:val="Normal"/>
    <w:pPr>
      <w:ind w:left="1600" w:hanging="400"/>
    </w:pPr>
    <w:rPr>
      <w:rFonts w:ascii="Calibri" w:eastAsia="Calibri" w:hAnsi="Calibri" w:cs="Calibri"/>
      <w:sz w:val="22"/>
    </w:rPr>
  </w:style>
  <w:style w:type="paragraph" w:styleId="List5">
    <w:name w:val="List 5"/>
    <w:basedOn w:val="Normal"/>
    <w:pPr>
      <w:ind w:left="1800" w:hanging="400"/>
    </w:pPr>
    <w:rPr>
      <w:rFonts w:ascii="Calibri" w:eastAsia="Calibri" w:hAnsi="Calibri" w:cs="Calibri"/>
      <w:sz w:val="22"/>
    </w:rPr>
  </w:style>
  <w:style w:type="paragraph" w:customStyle="1" w:styleId="List6">
    <w:name w:val="List 6"/>
    <w:basedOn w:val="Normal"/>
    <w:pPr>
      <w:ind w:left="1860" w:hanging="400"/>
    </w:pPr>
    <w:rPr>
      <w:rFonts w:ascii="Calibri" w:eastAsia="Calibri" w:hAnsi="Calibri" w:cs="Calibri"/>
      <w:sz w:val="22"/>
    </w:rPr>
  </w:style>
  <w:style w:type="paragraph" w:customStyle="1" w:styleId="List7">
    <w:name w:val="List 7"/>
    <w:basedOn w:val="Normal"/>
    <w:pPr>
      <w:ind w:left="192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Normal"/>
    <w:pPr>
      <w:ind w:left="1980" w:hanging="400"/>
    </w:pPr>
    <w:rPr>
      <w:rFonts w:ascii="Calibri" w:eastAsia="Calibri" w:hAnsi="Calibri" w:cs="Calibri"/>
      <w:sz w:val="22"/>
    </w:rPr>
  </w:style>
  <w:style w:type="paragraph" w:customStyle="1" w:styleId="List9">
    <w:name w:val="List 9"/>
    <w:basedOn w:val="Normal"/>
    <w:pPr>
      <w:ind w:left="1200" w:hanging="600"/>
    </w:pPr>
    <w:rPr>
      <w:sz w:val="22"/>
    </w:rPr>
  </w:style>
  <w:style w:type="character" w:customStyle="1" w:styleId="Location">
    <w:name w:val="Location"/>
    <w:basedOn w:val="DefaultParagraphFont"/>
  </w:style>
  <w:style w:type="character" w:customStyle="1" w:styleId="Miscellaneous">
    <w:name w:val="Miscellaneous"/>
    <w:basedOn w:val="DefaultParagraphFont"/>
  </w:style>
  <w:style w:type="character" w:customStyle="1" w:styleId="NameScientific">
    <w:name w:val="Name Scientific"/>
    <w:basedOn w:val="DefaultParagraphFont"/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z w:val="20"/>
    </w:rPr>
  </w:style>
  <w:style w:type="table" w:customStyle="1" w:styleId="OldDefaultTableStyle">
    <w:name w:val="Old Default Table Style"/>
    <w:tblPr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Organization">
    <w:name w:val="Organization"/>
    <w:basedOn w:val="DefaultParagraphFont"/>
  </w:style>
  <w:style w:type="character" w:customStyle="1" w:styleId="PageNumbers">
    <w:name w:val="Page Numbers"/>
    <w:basedOn w:val="DefaultParagraphFont"/>
  </w:style>
  <w:style w:type="character" w:customStyle="1" w:styleId="Postcode">
    <w:name w:val="Postcode"/>
    <w:basedOn w:val="DefaultParagraphFont"/>
  </w:style>
  <w:style w:type="character" w:customStyle="1" w:styleId="Publisher">
    <w:name w:val="Publisher"/>
    <w:basedOn w:val="DefaultParagraphFont"/>
  </w:style>
  <w:style w:type="paragraph" w:customStyle="1" w:styleId="Quotation">
    <w:name w:val="Quotation"/>
    <w:basedOn w:val="Normal"/>
    <w:pPr>
      <w:spacing w:after="160"/>
      <w:ind w:left="1200" w:right="1200"/>
    </w:pPr>
    <w:rPr>
      <w:rFonts w:ascii="Calibri" w:eastAsia="Calibri" w:hAnsi="Calibri" w:cs="Calibri"/>
      <w:sz w:val="22"/>
    </w:rPr>
  </w:style>
  <w:style w:type="paragraph" w:customStyle="1" w:styleId="QuotationSource">
    <w:name w:val="Quotation Source"/>
    <w:basedOn w:val="Normal"/>
    <w:pPr>
      <w:spacing w:after="170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/>
      <w:ind w:left="400" w:hanging="400"/>
    </w:pPr>
    <w:rPr>
      <w:rFonts w:ascii="Calibri" w:eastAsia="Calibri" w:hAnsi="Calibri" w:cs="Calibri"/>
      <w:sz w:val="22"/>
    </w:rPr>
  </w:style>
  <w:style w:type="character" w:customStyle="1" w:styleId="Region">
    <w:name w:val="Region"/>
    <w:basedOn w:val="DefaultParagraphFont"/>
  </w:style>
  <w:style w:type="paragraph" w:styleId="Revision">
    <w:name w:val="Revision"/>
    <w:rPr>
      <w:rFonts w:ascii="Times New Roman" w:eastAsia="Times New Roman" w:hAnsi="Times New Roman" w:cs="Times New Roman"/>
      <w:sz w:val="24"/>
    </w:rPr>
  </w:style>
  <w:style w:type="character" w:customStyle="1" w:styleId="Source">
    <w:name w:val="Source"/>
    <w:basedOn w:val="DefaultParagraphFont"/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paragraph" w:styleId="Subtitle">
    <w:name w:val="Sub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Surtitle">
    <w:name w:val="Surtitle"/>
    <w:basedOn w:val="Normal"/>
    <w:qFormat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Body">
    <w:name w:val="Table Body"/>
    <w:basedOn w:val="Normal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table" w:styleId="TableGrid">
    <w:name w:val="Table Grid"/>
    <w:basedOn w:val="TableNormal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TableHead">
    <w:name w:val="Table Head"/>
    <w:basedOn w:val="Normal"/>
    <w:pPr>
      <w:shd w:val="clear" w:color="auto" w:fill="FFEDFA"/>
      <w:jc w:val="left"/>
    </w:pPr>
    <w:rPr>
      <w:rFonts w:ascii="Calibri" w:eastAsia="Calibri" w:hAnsi="Calibri" w:cs="Calibri"/>
      <w:sz w:val="20"/>
    </w:rPr>
  </w:style>
  <w:style w:type="paragraph" w:customStyle="1" w:styleId="TableHeadSpan">
    <w:name w:val="Table Head Span"/>
    <w:basedOn w:val="Normal"/>
    <w:pPr>
      <w:shd w:val="clear" w:color="auto" w:fill="FFEDFA"/>
      <w:jc w:val="left"/>
    </w:pPr>
    <w:rPr>
      <w:rFonts w:ascii="Calibri" w:eastAsia="Calibri" w:hAnsi="Calibri" w:cs="Calibri"/>
    </w:rPr>
  </w:style>
  <w:style w:type="paragraph" w:customStyle="1" w:styleId="TableList">
    <w:name w:val="Table List"/>
    <w:basedOn w:val="Normal"/>
    <w:pPr>
      <w:ind w:left="300" w:hanging="300"/>
      <w:jc w:val="left"/>
    </w:pPr>
    <w:rPr>
      <w:rFonts w:ascii="Calibri" w:eastAsia="Calibri" w:hAnsi="Calibri" w:cs="Calibri"/>
      <w:sz w:val="20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Normal"/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rPr>
      <w:color w:val="605E5C"/>
    </w:rPr>
  </w:style>
  <w:style w:type="character" w:customStyle="1" w:styleId="VolumeNumber">
    <w:name w:val="Volume Number"/>
    <w:basedOn w:val="DefaultParagraphFont"/>
  </w:style>
  <w:style w:type="character" w:customStyle="1" w:styleId="Year">
    <w:name w:val="Year"/>
    <w:basedOn w:val="DefaultParagraphFont"/>
  </w:style>
  <w:style w:type="paragraph" w:customStyle="1" w:styleId="1">
    <w:name w:val="列出段落1"/>
    <w:basedOn w:val="Normal"/>
    <w:pPr>
      <w:spacing w:after="200" w:line="276" w:lineRule="auto"/>
      <w:ind w:left="480" w:firstLine="0"/>
      <w:jc w:val="left"/>
    </w:pPr>
    <w:rPr>
      <w:rFonts w:ascii="Calibri" w:eastAsia="Calibri" w:hAnsi="Calibri" w:cs="Calibri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PlainTable2">
    <w:name w:val="Plain Table 2"/>
    <w:basedOn w:val="TableNormal"/>
    <w:uiPriority w:val="99"/>
    <w:rsid w:val="004C40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  <cp:revision>23</cp:revision>
  <dcterms:created xsi:type="dcterms:W3CDTF">2026-08-19T03:38:00Z</dcterms:created>
  <dcterms:modified xsi:type="dcterms:W3CDTF">2026-08-26T04:45:00Z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2426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2</vt:lpwstr>
  </property>
  <property fmtid="{D5CDD505-2E9C-101B-9397-08002B2CF9AE}" pid="20" name="Merops figures count">
    <vt:lpwstr>8</vt:lpwstr>
  </property>
  <property fmtid="{D5CDD505-2E9C-101B-9397-08002B2CF9AE}" pid="21" name="Merops graphics count">
    <vt:lpwstr>8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merops/preset-v1/biomed-central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crm_eaebc350-e636-456e-9726-41cdf2f3dbea.docx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MG-Session/On-20260817/I:f81ca0c6-0dcc-45a8-a9ac-74e879ad9131</vt:lpwstr>
  </property>
  <property fmtid="{D5CDD505-2E9C-101B-9397-08002B2CF9AE}" pid="32" name="Merops processed date">
    <vt:lpwstr>2026/08/17 02:16:45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GrammarlyDocumentId">
    <vt:lpwstr>08c900c7-74ef-4b18-8ff5-9db3ee693da1</vt:lpwstr>
  </property>
  <property fmtid="{D5CDD505-2E9C-101B-9397-08002B2CF9AE}" pid="36" name="Merops comment count">
    <vt:lpwstr>0</vt:lpwstr>
  </property>
  <property fmtid="{D5CDD505-2E9C-101B-9397-08002B2CF9AE}" pid="37" name="Merops change count">
    <vt:lpwstr>0</vt:lpwstr>
  </property>
</Properties>
</file>