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6503B" w14:textId="77777777" w:rsidR="00284E47" w:rsidRDefault="00313996" w:rsidP="00EE34D7">
      <w:pPr>
        <w:ind w:firstLine="0"/>
        <w:jc w:val="left"/>
        <w:rPr>
          <w:b/>
          <w:bCs/>
          <w:sz w:val="22"/>
        </w:rPr>
      </w:pPr>
      <w:r w:rsidRPr="00477F13">
        <w:rPr>
          <w:b/>
          <w:bCs/>
          <w:sz w:val="22"/>
        </w:rPr>
        <w:t xml:space="preserve">Additional file </w:t>
      </w:r>
      <w:r w:rsidR="00994F4D">
        <w:rPr>
          <w:b/>
          <w:bCs/>
          <w:sz w:val="22"/>
        </w:rPr>
        <w:t>4</w:t>
      </w:r>
    </w:p>
    <w:p w14:paraId="76DCC868" w14:textId="4F27A5C3" w:rsidR="00284E47" w:rsidRDefault="00284E47" w:rsidP="00EE34D7">
      <w:pPr>
        <w:ind w:firstLine="0"/>
        <w:jc w:val="left"/>
        <w:rPr>
          <w:b/>
          <w:bCs/>
          <w:sz w:val="22"/>
        </w:rPr>
      </w:pPr>
      <w:r>
        <w:rPr>
          <w:b/>
          <w:bCs/>
          <w:noProof/>
          <w:sz w:val="22"/>
        </w:rPr>
        <w:drawing>
          <wp:inline distT="0" distB="0" distL="0" distR="0" wp14:anchorId="3F0F081A" wp14:editId="22CE7071">
            <wp:extent cx="5731510" cy="2531745"/>
            <wp:effectExtent l="0" t="0" r="2540" b="1905"/>
            <wp:docPr id="3838910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891052" name="Picture 38389105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5A53B" w14:textId="527E4821" w:rsidR="00313996" w:rsidRPr="00477F13" w:rsidRDefault="00284E47" w:rsidP="00EE34D7">
      <w:pPr>
        <w:ind w:firstLine="0"/>
        <w:jc w:val="left"/>
        <w:rPr>
          <w:sz w:val="22"/>
        </w:rPr>
      </w:pPr>
      <w:r>
        <w:rPr>
          <w:b/>
          <w:bCs/>
          <w:sz w:val="22"/>
        </w:rPr>
        <w:t>Figure S3</w:t>
      </w:r>
      <w:r w:rsidR="00313996" w:rsidRPr="00477F13">
        <w:rPr>
          <w:b/>
          <w:bCs/>
          <w:sz w:val="22"/>
        </w:rPr>
        <w:t xml:space="preserve">. </w:t>
      </w:r>
      <w:r w:rsidR="00313996" w:rsidRPr="00477F13">
        <w:rPr>
          <w:b/>
          <w:sz w:val="22"/>
        </w:rPr>
        <w:t xml:space="preserve">Outcomes according to </w:t>
      </w:r>
      <w:r w:rsidR="00313996" w:rsidRPr="00D61B67">
        <w:rPr>
          <w:b/>
          <w:i/>
          <w:iCs/>
          <w:sz w:val="22"/>
        </w:rPr>
        <w:t>KMT2A</w:t>
      </w:r>
      <w:r w:rsidR="00313996" w:rsidRPr="00477F13">
        <w:rPr>
          <w:b/>
          <w:sz w:val="22"/>
        </w:rPr>
        <w:t xml:space="preserve"> fusion partner.</w:t>
      </w:r>
      <w:r w:rsidR="00313996" w:rsidRPr="00477F13">
        <w:rPr>
          <w:sz w:val="22"/>
        </w:rPr>
        <w:br/>
        <w:t xml:space="preserve">Event-free survival (EFS; </w:t>
      </w:r>
      <w:r w:rsidR="00313996" w:rsidRPr="00477F13">
        <w:rPr>
          <w:b/>
          <w:sz w:val="22"/>
        </w:rPr>
        <w:t>A</w:t>
      </w:r>
      <w:r w:rsidR="00313996" w:rsidRPr="00477F13">
        <w:rPr>
          <w:sz w:val="22"/>
        </w:rPr>
        <w:t xml:space="preserve">), overall survival (OS; </w:t>
      </w:r>
      <w:r w:rsidR="00313996" w:rsidRPr="00477F13">
        <w:rPr>
          <w:b/>
          <w:sz w:val="22"/>
        </w:rPr>
        <w:t>B</w:t>
      </w:r>
      <w:r w:rsidR="00313996" w:rsidRPr="00477F13">
        <w:rPr>
          <w:sz w:val="22"/>
        </w:rPr>
        <w:t xml:space="preserve">), and cumulative incidence of relapse (CIR; </w:t>
      </w:r>
      <w:r w:rsidR="00313996" w:rsidRPr="00477F13">
        <w:rPr>
          <w:b/>
          <w:sz w:val="22"/>
        </w:rPr>
        <w:t>C</w:t>
      </w:r>
      <w:r w:rsidR="00313996" w:rsidRPr="00477F13">
        <w:rPr>
          <w:sz w:val="22"/>
        </w:rPr>
        <w:t xml:space="preserve">) were compared across the </w:t>
      </w:r>
      <w:r w:rsidR="00313996" w:rsidRPr="00477F13">
        <w:rPr>
          <w:i/>
          <w:sz w:val="22"/>
        </w:rPr>
        <w:t>MLLT3</w:t>
      </w:r>
      <w:r w:rsidR="00313996" w:rsidRPr="00477F13">
        <w:rPr>
          <w:sz w:val="22"/>
        </w:rPr>
        <w:t xml:space="preserve"> (n = 64), </w:t>
      </w:r>
      <w:r w:rsidR="00313996" w:rsidRPr="00477F13">
        <w:rPr>
          <w:i/>
          <w:sz w:val="22"/>
        </w:rPr>
        <w:t>MLLT10</w:t>
      </w:r>
      <w:r w:rsidR="00313996" w:rsidRPr="00477F13">
        <w:rPr>
          <w:sz w:val="22"/>
        </w:rPr>
        <w:t xml:space="preserve"> (n = 23), </w:t>
      </w:r>
      <w:r w:rsidR="00313996" w:rsidRPr="00477F13">
        <w:rPr>
          <w:i/>
          <w:sz w:val="22"/>
        </w:rPr>
        <w:t>AFDN</w:t>
      </w:r>
      <w:r w:rsidR="00313996" w:rsidRPr="00477F13">
        <w:rPr>
          <w:sz w:val="22"/>
        </w:rPr>
        <w:t xml:space="preserve"> (formerly </w:t>
      </w:r>
      <w:r w:rsidR="00313996" w:rsidRPr="00477F13">
        <w:rPr>
          <w:i/>
          <w:sz w:val="22"/>
        </w:rPr>
        <w:t>MLLT4</w:t>
      </w:r>
      <w:r w:rsidR="00313996" w:rsidRPr="00477F13">
        <w:rPr>
          <w:sz w:val="22"/>
        </w:rPr>
        <w:t xml:space="preserve">; n = 14), </w:t>
      </w:r>
      <w:r w:rsidR="00313996" w:rsidRPr="00477F13">
        <w:rPr>
          <w:i/>
          <w:sz w:val="22"/>
        </w:rPr>
        <w:t>ELL</w:t>
      </w:r>
      <w:r w:rsidR="00313996" w:rsidRPr="00477F13">
        <w:rPr>
          <w:sz w:val="22"/>
        </w:rPr>
        <w:t xml:space="preserve"> (n = 10), </w:t>
      </w:r>
      <w:r w:rsidR="00313996" w:rsidRPr="00477F13">
        <w:rPr>
          <w:i/>
          <w:sz w:val="22"/>
        </w:rPr>
        <w:t>MLLT1</w:t>
      </w:r>
      <w:r w:rsidR="00313996" w:rsidRPr="00477F13">
        <w:rPr>
          <w:sz w:val="22"/>
        </w:rPr>
        <w:t>/</w:t>
      </w:r>
      <w:r w:rsidR="00313996" w:rsidRPr="00477F13">
        <w:rPr>
          <w:i/>
          <w:sz w:val="22"/>
        </w:rPr>
        <w:t>ENL</w:t>
      </w:r>
      <w:r w:rsidR="00313996" w:rsidRPr="00477F13">
        <w:rPr>
          <w:sz w:val="22"/>
        </w:rPr>
        <w:t xml:space="preserve"> (n = 8), </w:t>
      </w:r>
      <w:r w:rsidR="00313996" w:rsidRPr="00477F13">
        <w:rPr>
          <w:i/>
          <w:sz w:val="22"/>
        </w:rPr>
        <w:t>MLLT11</w:t>
      </w:r>
      <w:r w:rsidR="00313996" w:rsidRPr="00477F13">
        <w:rPr>
          <w:sz w:val="22"/>
        </w:rPr>
        <w:t xml:space="preserve"> (n = 4), </w:t>
      </w:r>
      <w:r w:rsidR="00313996" w:rsidRPr="00477F13">
        <w:rPr>
          <w:i/>
          <w:sz w:val="22"/>
        </w:rPr>
        <w:t>AFF1</w:t>
      </w:r>
      <w:r w:rsidR="00313996" w:rsidRPr="00477F13">
        <w:rPr>
          <w:sz w:val="22"/>
        </w:rPr>
        <w:t xml:space="preserve"> (n = 2), and other or molecularly unclassified partner groups (n = 28). The 5-year EFS/OS/CIR estimates were 77.4% (95% CI, 67.0–89.4%)/87.6% (95% CI, 79.3–96.7%)/12.2% (95% CI, 2.6–21.8%) for </w:t>
      </w:r>
      <w:r w:rsidR="00313996" w:rsidRPr="00477F13">
        <w:rPr>
          <w:i/>
          <w:sz w:val="22"/>
        </w:rPr>
        <w:t>KMT2A::MLLT3</w:t>
      </w:r>
      <w:r w:rsidR="00313996" w:rsidRPr="00477F13">
        <w:rPr>
          <w:sz w:val="22"/>
        </w:rPr>
        <w:t xml:space="preserve">; 81.3% (95% CI, 66.4–99.7%)/78.9% (95% CI, 62.4–99.9%)/14.2% (95% CI, 0.0–29.4%) for </w:t>
      </w:r>
      <w:r w:rsidR="00313996" w:rsidRPr="00477F13">
        <w:rPr>
          <w:i/>
          <w:sz w:val="22"/>
        </w:rPr>
        <w:t>KMT2A::MLLT10</w:t>
      </w:r>
      <w:r w:rsidR="00313996" w:rsidRPr="00477F13">
        <w:rPr>
          <w:sz w:val="22"/>
        </w:rPr>
        <w:t xml:space="preserve">; 48.0% (95% CI, 25.5–90.5%)/49.5% (95% CI, 27.3–89.4%)/30.0% (95% CI, 0.0–60.2%) for </w:t>
      </w:r>
      <w:r w:rsidR="00313996" w:rsidRPr="00477F13">
        <w:rPr>
          <w:i/>
          <w:sz w:val="22"/>
        </w:rPr>
        <w:t>KMT2A::AFDN</w:t>
      </w:r>
      <w:r w:rsidR="00313996" w:rsidRPr="00477F13">
        <w:rPr>
          <w:sz w:val="22"/>
        </w:rPr>
        <w:t xml:space="preserve">; 78.8% (95% CI, 56.4–100.0%)/90.0% (95% CI, 73.2–100.0%)/12.5% (95% CI, 0.0–37.0%) for </w:t>
      </w:r>
      <w:r w:rsidR="00313996" w:rsidRPr="00477F13">
        <w:rPr>
          <w:i/>
          <w:sz w:val="22"/>
        </w:rPr>
        <w:t>KMT2A::ELL</w:t>
      </w:r>
      <w:r w:rsidR="00313996" w:rsidRPr="00477F13">
        <w:rPr>
          <w:sz w:val="22"/>
        </w:rPr>
        <w:t xml:space="preserve">; and 56.5% (95% CI, 39.9–80.1%)/74.0% (95% CI, 58.1–94.4%)/22.2% (95% CI, 4.4–39.9%) for other or unclassified partners. Five-year Kaplan–Meier estimates were not reported for the very small </w:t>
      </w:r>
      <w:r w:rsidR="00313996" w:rsidRPr="00477F13">
        <w:rPr>
          <w:i/>
          <w:sz w:val="22"/>
        </w:rPr>
        <w:t>MLLT11</w:t>
      </w:r>
      <w:r w:rsidR="00313996" w:rsidRPr="00477F13">
        <w:rPr>
          <w:sz w:val="22"/>
        </w:rPr>
        <w:t xml:space="preserve">, </w:t>
      </w:r>
      <w:r w:rsidR="00313996" w:rsidRPr="00477F13">
        <w:rPr>
          <w:i/>
          <w:sz w:val="22"/>
        </w:rPr>
        <w:t>MLLT1</w:t>
      </w:r>
      <w:r w:rsidR="00313996" w:rsidRPr="00477F13">
        <w:rPr>
          <w:sz w:val="22"/>
        </w:rPr>
        <w:t xml:space="preserve">, and </w:t>
      </w:r>
      <w:r w:rsidR="00313996" w:rsidRPr="00477F13">
        <w:rPr>
          <w:i/>
          <w:sz w:val="22"/>
        </w:rPr>
        <w:t>AFF1</w:t>
      </w:r>
      <w:r w:rsidR="00313996" w:rsidRPr="00477F13">
        <w:rPr>
          <w:sz w:val="22"/>
        </w:rPr>
        <w:t xml:space="preserve"> groups because of sparse events and insufficient numbers remaining at risk; their curves and CIR estimates should be interpreted with particular caution. Global differences were significant for EFS, OS, and CIR (all </w:t>
      </w:r>
      <w:r w:rsidR="00313996" w:rsidRPr="00477F13">
        <w:rPr>
          <w:i/>
          <w:sz w:val="22"/>
        </w:rPr>
        <w:t>P</w:t>
      </w:r>
      <w:r w:rsidR="00313996" w:rsidRPr="00477F13">
        <w:rPr>
          <w:sz w:val="22"/>
        </w:rPr>
        <w:t xml:space="preserve"> &lt; 0.001). EFS and OS were compared using global log-rank tests, and CIR was compared using Gray’s test. Numbers at risk are shown below each panel. CI, confidence interval.</w:t>
      </w:r>
    </w:p>
    <w:p w14:paraId="2D5593A0" w14:textId="77777777" w:rsidR="00B8300F" w:rsidRDefault="00B8300F" w:rsidP="00EE34D7">
      <w:pPr>
        <w:jc w:val="left"/>
      </w:pPr>
    </w:p>
    <w:sectPr w:rsidR="00B830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96"/>
    <w:rsid w:val="001058FA"/>
    <w:rsid w:val="00284E47"/>
    <w:rsid w:val="00313996"/>
    <w:rsid w:val="007A5671"/>
    <w:rsid w:val="008170A1"/>
    <w:rsid w:val="00994F4D"/>
    <w:rsid w:val="00A6758C"/>
    <w:rsid w:val="00B8300F"/>
    <w:rsid w:val="00C36C29"/>
    <w:rsid w:val="00C76A5D"/>
    <w:rsid w:val="00D61B67"/>
    <w:rsid w:val="00EE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10229"/>
  <w15:chartTrackingRefBased/>
  <w15:docId w15:val="{6F30D313-F1ED-384D-8182-67A06546C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996"/>
    <w:pPr>
      <w:widowControl w:val="0"/>
      <w:spacing w:after="0" w:line="360" w:lineRule="auto"/>
      <w:ind w:firstLine="200"/>
      <w:jc w:val="both"/>
    </w:pPr>
    <w:rPr>
      <w:rFonts w:ascii="Times New Roman" w:eastAsia="Times New Roman" w:hAnsi="Times New Roman" w:cs="Times New Roman"/>
      <w:szCs w:val="22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3996"/>
    <w:pPr>
      <w:keepNext/>
      <w:keepLines/>
      <w:widowControl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E" w:eastAsia="ko-KR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996"/>
    <w:pPr>
      <w:keepNext/>
      <w:keepLines/>
      <w:widowControl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E" w:eastAsia="ko-K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996"/>
    <w:pPr>
      <w:keepNext/>
      <w:keepLines/>
      <w:widowControl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E" w:eastAsia="ko-K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996"/>
    <w:pPr>
      <w:keepNext/>
      <w:keepLines/>
      <w:widowControl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4"/>
      <w:lang w:val="en-IE" w:eastAsia="ko-K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996"/>
    <w:pPr>
      <w:keepNext/>
      <w:keepLines/>
      <w:widowControl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4"/>
      <w:lang w:val="en-IE" w:eastAsia="ko-K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996"/>
    <w:pPr>
      <w:keepNext/>
      <w:keepLines/>
      <w:widowControl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4"/>
      <w:lang w:val="en-IE" w:eastAsia="ko-KR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996"/>
    <w:pPr>
      <w:keepNext/>
      <w:keepLines/>
      <w:widowControl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4"/>
      <w:lang w:val="en-IE" w:eastAsia="ko-KR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996"/>
    <w:pPr>
      <w:keepNext/>
      <w:keepLines/>
      <w:widowControl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4"/>
      <w:lang w:val="en-IE" w:eastAsia="ko-KR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996"/>
    <w:pPr>
      <w:keepNext/>
      <w:keepLines/>
      <w:widowControl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4"/>
      <w:lang w:val="en-IE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9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9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9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9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9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9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9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9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9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996"/>
    <w:pPr>
      <w:widowControl/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 w:eastAsia="ko-KR"/>
    </w:rPr>
  </w:style>
  <w:style w:type="character" w:customStyle="1" w:styleId="TitleChar">
    <w:name w:val="Title Char"/>
    <w:basedOn w:val="DefaultParagraphFont"/>
    <w:link w:val="Title"/>
    <w:uiPriority w:val="10"/>
    <w:rsid w:val="003139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996"/>
    <w:pPr>
      <w:widowControl/>
      <w:numPr>
        <w:ilvl w:val="1"/>
      </w:numPr>
      <w:spacing w:after="160" w:line="278" w:lineRule="auto"/>
      <w:ind w:firstLine="20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E"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3139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996"/>
    <w:pPr>
      <w:widowControl/>
      <w:spacing w:before="160" w:after="160" w:line="278" w:lineRule="auto"/>
      <w:ind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4"/>
      <w:lang w:val="en-IE" w:eastAsia="ko-KR"/>
    </w:rPr>
  </w:style>
  <w:style w:type="character" w:customStyle="1" w:styleId="QuoteChar">
    <w:name w:val="Quote Char"/>
    <w:basedOn w:val="DefaultParagraphFont"/>
    <w:link w:val="Quote"/>
    <w:uiPriority w:val="29"/>
    <w:rsid w:val="003139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996"/>
    <w:pPr>
      <w:widowControl/>
      <w:spacing w:after="160" w:line="278" w:lineRule="auto"/>
      <w:ind w:left="720" w:firstLine="0"/>
      <w:contextualSpacing/>
      <w:jc w:val="left"/>
    </w:pPr>
    <w:rPr>
      <w:rFonts w:asciiTheme="minorHAnsi" w:eastAsiaTheme="minorEastAsia" w:hAnsiTheme="minorHAnsi" w:cstheme="minorBidi"/>
      <w:szCs w:val="24"/>
      <w:lang w:val="en-IE" w:eastAsia="ko-KR"/>
    </w:rPr>
  </w:style>
  <w:style w:type="character" w:styleId="IntenseEmphasis">
    <w:name w:val="Intense Emphasis"/>
    <w:basedOn w:val="DefaultParagraphFont"/>
    <w:uiPriority w:val="21"/>
    <w:qFormat/>
    <w:rsid w:val="003139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99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4"/>
      <w:lang w:val="en-IE" w:eastAsia="ko-KR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9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99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994F4D"/>
    <w:pPr>
      <w:spacing w:after="0" w:line="240" w:lineRule="auto"/>
    </w:pPr>
    <w:rPr>
      <w:rFonts w:ascii="Times New Roman" w:eastAsia="Times New Roman" w:hAnsi="Times New Roman" w:cs="Times New Roman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1235</Characters>
  <Application>Microsoft Office Word</Application>
  <DocSecurity>0</DocSecurity>
  <Lines>23</Lines>
  <Paragraphs>9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Author</cp:lastModifiedBy>
  <cp:revision>6</cp:revision>
  <dcterms:created xsi:type="dcterms:W3CDTF">2026-08-19T04:34:00Z</dcterms:created>
  <dcterms:modified xsi:type="dcterms:W3CDTF">2026-08-29T14:56:00Z</dcterms:modified>
</cp:coreProperties>
</file>