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B44C3" w14:textId="4757CE4D" w:rsidR="00E66EC3" w:rsidRDefault="00E66EC3" w:rsidP="007338A9">
      <w:pPr>
        <w:ind w:firstLine="0"/>
        <w:jc w:val="left"/>
        <w:rPr>
          <w:b/>
          <w:bCs/>
          <w:sz w:val="22"/>
        </w:rPr>
      </w:pPr>
      <w:r w:rsidRPr="00AD1499">
        <w:rPr>
          <w:b/>
          <w:bCs/>
          <w:sz w:val="22"/>
        </w:rPr>
        <w:t xml:space="preserve">Additional file </w:t>
      </w:r>
      <w:r>
        <w:rPr>
          <w:b/>
          <w:bCs/>
          <w:sz w:val="22"/>
        </w:rPr>
        <w:t>3</w:t>
      </w:r>
    </w:p>
    <w:p w14:paraId="00C95894" w14:textId="0ED441E6" w:rsidR="00E66EC3" w:rsidRDefault="00E66EC3" w:rsidP="007338A9">
      <w:pPr>
        <w:ind w:firstLine="0"/>
        <w:jc w:val="left"/>
        <w:rPr>
          <w:b/>
          <w:bCs/>
          <w:sz w:val="22"/>
        </w:rPr>
      </w:pPr>
      <w:r>
        <w:rPr>
          <w:b/>
          <w:bCs/>
          <w:noProof/>
          <w:sz w:val="22"/>
        </w:rPr>
        <w:drawing>
          <wp:inline distT="0" distB="0" distL="0" distR="0" wp14:anchorId="7FF0D118" wp14:editId="5B3CF44B">
            <wp:extent cx="5731510" cy="2026920"/>
            <wp:effectExtent l="0" t="0" r="2540" b="0"/>
            <wp:docPr id="20012721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272114" name="Picture 200127211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1D34A" w14:textId="3C93AED6" w:rsidR="00830C74" w:rsidRDefault="00E66EC3" w:rsidP="007338A9">
      <w:pPr>
        <w:ind w:firstLine="0"/>
        <w:jc w:val="left"/>
        <w:rPr>
          <w:sz w:val="22"/>
        </w:rPr>
      </w:pPr>
      <w:r>
        <w:rPr>
          <w:b/>
          <w:bCs/>
          <w:sz w:val="22"/>
        </w:rPr>
        <w:t>Figure S2</w:t>
      </w:r>
      <w:r w:rsidR="00830C74" w:rsidRPr="009E43CE">
        <w:rPr>
          <w:b/>
          <w:bCs/>
          <w:sz w:val="22"/>
        </w:rPr>
        <w:t>.</w:t>
      </w:r>
      <w:r w:rsidR="00830C74" w:rsidRPr="009E43CE">
        <w:rPr>
          <w:sz w:val="22"/>
        </w:rPr>
        <w:t xml:space="preserve"> </w:t>
      </w:r>
      <w:r w:rsidR="00830C74" w:rsidRPr="009E43CE">
        <w:rPr>
          <w:b/>
          <w:sz w:val="22"/>
        </w:rPr>
        <w:t>Outcomes</w:t>
      </w:r>
      <w:r w:rsidR="00830C74">
        <w:rPr>
          <w:b/>
          <w:sz w:val="22"/>
        </w:rPr>
        <w:t xml:space="preserve"> of </w:t>
      </w:r>
      <w:r w:rsidR="00830C74" w:rsidRPr="00AD1499">
        <w:rPr>
          <w:b/>
          <w:i/>
          <w:iCs/>
          <w:sz w:val="22"/>
        </w:rPr>
        <w:t>KMT2A</w:t>
      </w:r>
      <w:r w:rsidR="00830C74">
        <w:rPr>
          <w:b/>
          <w:sz w:val="22"/>
        </w:rPr>
        <w:t>-rearranged and non–</w:t>
      </w:r>
      <w:r w:rsidR="00830C74" w:rsidRPr="00AD1499">
        <w:rPr>
          <w:b/>
          <w:i/>
          <w:iCs/>
          <w:sz w:val="22"/>
        </w:rPr>
        <w:t>KMT2A</w:t>
      </w:r>
      <w:r w:rsidR="00830C74">
        <w:rPr>
          <w:b/>
          <w:sz w:val="22"/>
        </w:rPr>
        <w:t>-rearranged acute myeloid leukemia.</w:t>
      </w:r>
      <w:r w:rsidR="00830C74">
        <w:rPr>
          <w:sz w:val="22"/>
        </w:rPr>
        <w:br/>
        <w:t xml:space="preserve">Event-free survival (EFS; </w:t>
      </w:r>
      <w:r w:rsidR="00830C74">
        <w:rPr>
          <w:b/>
          <w:sz w:val="22"/>
        </w:rPr>
        <w:t>A</w:t>
      </w:r>
      <w:r w:rsidR="00830C74">
        <w:rPr>
          <w:sz w:val="22"/>
        </w:rPr>
        <w:t xml:space="preserve">), overall survival (OS; </w:t>
      </w:r>
      <w:r w:rsidR="00830C74">
        <w:rPr>
          <w:b/>
          <w:sz w:val="22"/>
        </w:rPr>
        <w:t>B</w:t>
      </w:r>
      <w:r w:rsidR="00830C74">
        <w:rPr>
          <w:sz w:val="22"/>
        </w:rPr>
        <w:t xml:space="preserve">), and cumulative incidence of relapse (CIR; </w:t>
      </w:r>
      <w:r w:rsidR="00830C74">
        <w:rPr>
          <w:b/>
          <w:sz w:val="22"/>
        </w:rPr>
        <w:t>C</w:t>
      </w:r>
      <w:r w:rsidR="00830C74">
        <w:rPr>
          <w:sz w:val="22"/>
        </w:rPr>
        <w:t xml:space="preserve">) were compared according to </w:t>
      </w:r>
      <w:r w:rsidR="00830C74" w:rsidRPr="00AD1499">
        <w:rPr>
          <w:i/>
          <w:iCs/>
          <w:sz w:val="22"/>
        </w:rPr>
        <w:t>KMT2A</w:t>
      </w:r>
      <w:r w:rsidR="00830C74">
        <w:rPr>
          <w:sz w:val="22"/>
        </w:rPr>
        <w:t xml:space="preserve"> rearrangement status. Five-year EFS was 69.4% (95% CI, 61.8–77.8%) in </w:t>
      </w:r>
      <w:r w:rsidR="00830C74" w:rsidRPr="00AD1499">
        <w:rPr>
          <w:i/>
          <w:iCs/>
          <w:sz w:val="22"/>
        </w:rPr>
        <w:t>KMT2A</w:t>
      </w:r>
      <w:r w:rsidR="00830C74">
        <w:rPr>
          <w:sz w:val="22"/>
        </w:rPr>
        <w:t>-r AML (n = 153) and 65.7% (95% CI, 62.2–69.4%) in non–</w:t>
      </w:r>
      <w:r w:rsidR="00830C74" w:rsidRPr="00AD1499">
        <w:rPr>
          <w:i/>
          <w:iCs/>
          <w:sz w:val="22"/>
        </w:rPr>
        <w:t>KMT2A</w:t>
      </w:r>
      <w:r w:rsidR="00830C74">
        <w:rPr>
          <w:sz w:val="22"/>
        </w:rPr>
        <w:t xml:space="preserve">-r AML (n = 722; </w:t>
      </w:r>
      <w:r w:rsidR="00830C74">
        <w:rPr>
          <w:i/>
          <w:sz w:val="22"/>
        </w:rPr>
        <w:t>P</w:t>
      </w:r>
      <w:r w:rsidR="00830C74">
        <w:rPr>
          <w:sz w:val="22"/>
        </w:rPr>
        <w:t xml:space="preserve"> = 0.212). Five-year OS was 78.6% (95% CI, 71.7–86.2%) in </w:t>
      </w:r>
      <w:r w:rsidR="00830C74" w:rsidRPr="00AD1499">
        <w:rPr>
          <w:i/>
          <w:iCs/>
          <w:sz w:val="22"/>
        </w:rPr>
        <w:t>KMT2A</w:t>
      </w:r>
      <w:r w:rsidR="00830C74">
        <w:rPr>
          <w:sz w:val="22"/>
        </w:rPr>
        <w:t>-r AML (n = 153) and 77.0% (95% CI, 73.7–80.4%) in non–</w:t>
      </w:r>
      <w:r w:rsidR="00830C74" w:rsidRPr="00AD1499">
        <w:rPr>
          <w:i/>
          <w:iCs/>
          <w:sz w:val="22"/>
        </w:rPr>
        <w:t>KMT2A</w:t>
      </w:r>
      <w:r w:rsidR="00830C74">
        <w:rPr>
          <w:sz w:val="22"/>
        </w:rPr>
        <w:t xml:space="preserve">-r AML (n = 719; </w:t>
      </w:r>
      <w:r w:rsidR="00830C74">
        <w:rPr>
          <w:i/>
          <w:sz w:val="22"/>
        </w:rPr>
        <w:t>P</w:t>
      </w:r>
      <w:r w:rsidR="00830C74">
        <w:rPr>
          <w:sz w:val="22"/>
        </w:rPr>
        <w:t xml:space="preserve"> = 0.509). Five-year CIR was 18.2% (95% CI, 11.0–25.3%) in </w:t>
      </w:r>
      <w:r w:rsidR="00830C74" w:rsidRPr="00AD1499">
        <w:rPr>
          <w:i/>
          <w:iCs/>
          <w:sz w:val="22"/>
        </w:rPr>
        <w:t>KMT2A</w:t>
      </w:r>
      <w:r w:rsidR="00830C74">
        <w:rPr>
          <w:sz w:val="22"/>
        </w:rPr>
        <w:t>-r AML (n = 143) and 19.3% (95% CI, 16.1–22.5%) in non–</w:t>
      </w:r>
      <w:r w:rsidR="00830C74" w:rsidRPr="00AD1499">
        <w:rPr>
          <w:i/>
          <w:iCs/>
          <w:sz w:val="22"/>
        </w:rPr>
        <w:t>KMT2A</w:t>
      </w:r>
      <w:r w:rsidR="00830C74">
        <w:rPr>
          <w:sz w:val="22"/>
        </w:rPr>
        <w:t xml:space="preserve">-r AML (n = 657; Gray’s test, </w:t>
      </w:r>
      <w:r w:rsidR="00830C74">
        <w:rPr>
          <w:i/>
          <w:sz w:val="22"/>
        </w:rPr>
        <w:t>P</w:t>
      </w:r>
      <w:r w:rsidR="00830C74">
        <w:rPr>
          <w:sz w:val="22"/>
        </w:rPr>
        <w:t xml:space="preserve"> = 0.588). Kaplan–Meier curves were compared using the log-rank test, and cumulative incidence functions were compared using Gray’s test. Shaded bands in panels A and B represent 95% CIs, and numbers at risk are shown below each panel. AML, acute myeloid leukemia; CI, confidence interval; </w:t>
      </w:r>
      <w:r w:rsidR="00830C74" w:rsidRPr="00AD1499">
        <w:rPr>
          <w:i/>
          <w:iCs/>
          <w:sz w:val="22"/>
        </w:rPr>
        <w:t>KMT2A</w:t>
      </w:r>
      <w:r w:rsidR="00830C74">
        <w:rPr>
          <w:sz w:val="22"/>
        </w:rPr>
        <w:t xml:space="preserve">-r, </w:t>
      </w:r>
      <w:r w:rsidR="00830C74" w:rsidRPr="00AD1499">
        <w:rPr>
          <w:i/>
          <w:iCs/>
          <w:sz w:val="22"/>
        </w:rPr>
        <w:t>KMT2A</w:t>
      </w:r>
      <w:r w:rsidR="00830C74">
        <w:rPr>
          <w:sz w:val="22"/>
        </w:rPr>
        <w:t>-rearranged.</w:t>
      </w:r>
    </w:p>
    <w:p w14:paraId="2A819677" w14:textId="77777777" w:rsidR="00B8300F" w:rsidRDefault="00B8300F" w:rsidP="007338A9">
      <w:pPr>
        <w:jc w:val="left"/>
      </w:pPr>
    </w:p>
    <w:sectPr w:rsidR="00B83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C74"/>
    <w:rsid w:val="000A27C3"/>
    <w:rsid w:val="001058FA"/>
    <w:rsid w:val="007338A9"/>
    <w:rsid w:val="007A5671"/>
    <w:rsid w:val="008170A1"/>
    <w:rsid w:val="00830C74"/>
    <w:rsid w:val="009D2B6C"/>
    <w:rsid w:val="009E43CE"/>
    <w:rsid w:val="00A6758C"/>
    <w:rsid w:val="00AD1499"/>
    <w:rsid w:val="00B8300F"/>
    <w:rsid w:val="00C36C29"/>
    <w:rsid w:val="00CA3523"/>
    <w:rsid w:val="00E66EC3"/>
    <w:rsid w:val="00E7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EDC54"/>
  <w15:chartTrackingRefBased/>
  <w15:docId w15:val="{701C598B-A3E9-0A4E-AF1B-C6ADC0E8D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C74"/>
    <w:pPr>
      <w:widowControl w:val="0"/>
      <w:spacing w:after="0" w:line="360" w:lineRule="auto"/>
      <w:ind w:firstLine="200"/>
      <w:jc w:val="both"/>
    </w:pPr>
    <w:rPr>
      <w:rFonts w:ascii="Times New Roman" w:eastAsia="Times New Roman" w:hAnsi="Times New Roman" w:cs="Times New Roman"/>
      <w:szCs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C74"/>
    <w:pPr>
      <w:keepNext/>
      <w:keepLines/>
      <w:widowControl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E" w:eastAsia="ko-K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0C74"/>
    <w:pPr>
      <w:keepNext/>
      <w:keepLines/>
      <w:widowControl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E" w:eastAsia="ko-K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0C74"/>
    <w:pPr>
      <w:keepNext/>
      <w:keepLines/>
      <w:widowControl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E"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C74"/>
    <w:pPr>
      <w:keepNext/>
      <w:keepLines/>
      <w:widowControl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E"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C74"/>
    <w:pPr>
      <w:keepNext/>
      <w:keepLines/>
      <w:widowControl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E"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C74"/>
    <w:pPr>
      <w:keepNext/>
      <w:keepLines/>
      <w:widowControl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E"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C74"/>
    <w:pPr>
      <w:keepNext/>
      <w:keepLines/>
      <w:widowControl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E"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C74"/>
    <w:pPr>
      <w:keepNext/>
      <w:keepLines/>
      <w:widowControl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E"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C74"/>
    <w:pPr>
      <w:keepNext/>
      <w:keepLines/>
      <w:widowControl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E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0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0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C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C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C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C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C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C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0C74"/>
    <w:pPr>
      <w:widowControl/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 w:eastAsia="ko-KR"/>
    </w:rPr>
  </w:style>
  <w:style w:type="character" w:customStyle="1" w:styleId="TitleChar">
    <w:name w:val="Title Char"/>
    <w:basedOn w:val="DefaultParagraphFont"/>
    <w:link w:val="Title"/>
    <w:uiPriority w:val="10"/>
    <w:rsid w:val="00830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C74"/>
    <w:pPr>
      <w:widowControl/>
      <w:numPr>
        <w:ilvl w:val="1"/>
      </w:numPr>
      <w:spacing w:after="160" w:line="278" w:lineRule="auto"/>
      <w:ind w:firstLine="20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E"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830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0C74"/>
    <w:pPr>
      <w:widowControl/>
      <w:spacing w:before="160" w:after="160" w:line="278" w:lineRule="auto"/>
      <w:ind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:lang w:val="en-IE" w:eastAsia="ko-KR"/>
    </w:rPr>
  </w:style>
  <w:style w:type="character" w:customStyle="1" w:styleId="QuoteChar">
    <w:name w:val="Quote Char"/>
    <w:basedOn w:val="DefaultParagraphFont"/>
    <w:link w:val="Quote"/>
    <w:uiPriority w:val="29"/>
    <w:rsid w:val="00830C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0C74"/>
    <w:pPr>
      <w:widowControl/>
      <w:spacing w:after="160" w:line="278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Cs w:val="24"/>
      <w:lang w:val="en-IE" w:eastAsia="ko-KR"/>
    </w:rPr>
  </w:style>
  <w:style w:type="character" w:styleId="IntenseEmphasis">
    <w:name w:val="Intense Emphasis"/>
    <w:basedOn w:val="DefaultParagraphFont"/>
    <w:uiPriority w:val="21"/>
    <w:qFormat/>
    <w:rsid w:val="00830C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C7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:lang w:val="en-IE"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C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0C7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71991"/>
    <w:pPr>
      <w:spacing w:after="0" w:line="240" w:lineRule="auto"/>
    </w:pPr>
    <w:rPr>
      <w:rFonts w:ascii="Times New Roman" w:eastAsia="Times New Roman" w:hAnsi="Times New Roman" w:cs="Times New Roman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875</Characters>
  <Application>Microsoft Office Word</Application>
  <DocSecurity>0</DocSecurity>
  <Lines>16</Lines>
  <Paragraphs>7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9</cp:revision>
  <dcterms:created xsi:type="dcterms:W3CDTF">2026-08-19T04:33:00Z</dcterms:created>
  <dcterms:modified xsi:type="dcterms:W3CDTF">2026-08-29T14:56:00Z</dcterms:modified>
</cp:coreProperties>
</file>