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C0CEB" w14:textId="3E136E6F" w:rsidR="00531E7C" w:rsidRPr="00E534F5" w:rsidRDefault="00000000" w:rsidP="00E534F5">
      <w:pPr>
        <w:spacing w:line="360" w:lineRule="auto"/>
        <w:jc w:val="center"/>
        <w:rPr>
          <w:rFonts w:ascii="Times New Roman" w:eastAsia="Times New Roman" w:hAnsi="Times New Roman" w:cs="Times New Roman"/>
          <w:sz w:val="22"/>
        </w:rPr>
      </w:pPr>
      <w:r w:rsidRPr="00E534F5">
        <w:rPr>
          <w:rFonts w:ascii="Times New Roman" w:eastAsia="Times New Roman" w:hAnsi="Times New Roman" w:cs="Times New Roman"/>
          <w:b/>
          <w:sz w:val="22"/>
        </w:rPr>
        <w:t xml:space="preserve">Additional File </w:t>
      </w:r>
      <w:r w:rsidR="000C0EBC" w:rsidRPr="00E534F5">
        <w:rPr>
          <w:rFonts w:ascii="Times New Roman" w:eastAsia="Times New Roman" w:hAnsi="Times New Roman" w:cs="Times New Roman"/>
          <w:b/>
          <w:sz w:val="22"/>
        </w:rPr>
        <w:t>2</w:t>
      </w:r>
    </w:p>
    <w:p w14:paraId="0A11B389" w14:textId="77777777" w:rsidR="00781B1F" w:rsidRPr="00E534F5" w:rsidRDefault="00000000">
      <w:pPr>
        <w:spacing w:line="360" w:lineRule="auto"/>
        <w:rPr>
          <w:rFonts w:ascii="Times New Roman" w:eastAsia="Times New Roman" w:hAnsi="Times New Roman" w:cs="Times New Roman"/>
          <w:sz w:val="22"/>
        </w:rPr>
      </w:pPr>
      <w:r w:rsidRPr="00E534F5">
        <w:rPr>
          <w:rFonts w:ascii="Times New Roman" w:eastAsia="Times New Roman" w:hAnsi="Times New Roman" w:cs="Times New Roman"/>
          <w:b/>
          <w:sz w:val="22"/>
        </w:rPr>
        <w:t>Detailed propensity-score matching and postbaseline HSCT analyses</w:t>
      </w:r>
    </w:p>
    <w:p w14:paraId="64215101" w14:textId="0A807F21" w:rsidR="00781B1F" w:rsidRPr="00E534F5" w:rsidRDefault="00000000">
      <w:pPr>
        <w:spacing w:line="360" w:lineRule="auto"/>
        <w:rPr>
          <w:rFonts w:ascii="Times New Roman" w:eastAsia="Times New Roman" w:hAnsi="Times New Roman" w:cs="Times New Roman"/>
          <w:sz w:val="22"/>
        </w:rPr>
      </w:pPr>
      <w:r w:rsidRPr="00E534F5">
        <w:rPr>
          <w:rFonts w:ascii="Times New Roman" w:eastAsia="Times New Roman" w:hAnsi="Times New Roman" w:cs="Times New Roman"/>
          <w:b/>
          <w:sz w:val="22"/>
        </w:rPr>
        <w:t>Propensity score estim</w:t>
      </w:r>
      <w:r w:rsidR="00531E7C" w:rsidRPr="00E534F5">
        <w:rPr>
          <w:rFonts w:ascii="Times New Roman" w:eastAsia="Times New Roman" w:hAnsi="Times New Roman" w:cs="Times New Roman"/>
          <w:b/>
          <w:sz w:val="22"/>
        </w:rPr>
        <w:t xml:space="preserve">ates </w:t>
      </w:r>
      <w:r w:rsidRPr="00E534F5">
        <w:rPr>
          <w:rFonts w:ascii="Times New Roman" w:eastAsia="Times New Roman" w:hAnsi="Times New Roman" w:cs="Times New Roman"/>
          <w:b/>
          <w:sz w:val="22"/>
        </w:rPr>
        <w:t>and model</w:t>
      </w:r>
    </w:p>
    <w:p w14:paraId="6D2D8314" w14:textId="6DE2C0EF" w:rsidR="00781B1F" w:rsidRPr="00E534F5" w:rsidRDefault="00531E7C">
      <w:pPr>
        <w:spacing w:line="360" w:lineRule="auto"/>
        <w:rPr>
          <w:rFonts w:ascii="Times New Roman" w:eastAsia="Times New Roman" w:hAnsi="Times New Roman" w:cs="Times New Roman"/>
          <w:sz w:val="22"/>
        </w:rPr>
      </w:pPr>
      <w:r w:rsidRPr="00E534F5">
        <w:rPr>
          <w:rFonts w:ascii="Times New Roman" w:eastAsia="Times New Roman" w:hAnsi="Times New Roman" w:cs="Times New Roman"/>
          <w:sz w:val="22"/>
        </w:rPr>
        <w:t xml:space="preserve">Given that induction treatment was not randomly assigned and the number of patients receiving </w:t>
      </w:r>
      <w:r w:rsidR="008A2416" w:rsidRPr="00E534F5">
        <w:rPr>
          <w:rFonts w:ascii="Times New Roman" w:eastAsia="Times New Roman" w:hAnsi="Times New Roman" w:cs="Times New Roman"/>
          <w:sz w:val="22"/>
        </w:rPr>
        <w:t>daunorubicin, cytarabine, and etoposide (</w:t>
      </w:r>
      <w:r w:rsidRPr="00E534F5">
        <w:rPr>
          <w:rFonts w:ascii="Times New Roman" w:eastAsia="Times New Roman" w:hAnsi="Times New Roman" w:cs="Times New Roman"/>
          <w:sz w:val="22"/>
        </w:rPr>
        <w:t>DAE</w:t>
      </w:r>
      <w:r w:rsidR="008A2416" w:rsidRPr="00E534F5">
        <w:rPr>
          <w:rFonts w:ascii="Times New Roman" w:eastAsia="Times New Roman" w:hAnsi="Times New Roman" w:cs="Times New Roman"/>
          <w:sz w:val="22"/>
        </w:rPr>
        <w:t>)</w:t>
      </w:r>
      <w:r w:rsidRPr="00E534F5">
        <w:rPr>
          <w:rFonts w:ascii="Times New Roman" w:eastAsia="Times New Roman" w:hAnsi="Times New Roman" w:cs="Times New Roman"/>
          <w:sz w:val="22"/>
        </w:rPr>
        <w:t xml:space="preserve"> was smaller than that receiving </w:t>
      </w:r>
      <w:r w:rsidR="008A2416" w:rsidRPr="00E534F5">
        <w:rPr>
          <w:rFonts w:ascii="Times New Roman" w:eastAsia="Times New Roman" w:hAnsi="Times New Roman" w:cs="Times New Roman"/>
          <w:sz w:val="22"/>
        </w:rPr>
        <w:t>fludarabine, high-dose cytarabine, granulocyte colony-stimulating factor, and idarubicin (</w:t>
      </w:r>
      <w:r w:rsidRPr="00E534F5">
        <w:rPr>
          <w:rFonts w:ascii="Times New Roman" w:eastAsia="Times New Roman" w:hAnsi="Times New Roman" w:cs="Times New Roman"/>
          <w:sz w:val="22"/>
        </w:rPr>
        <w:t>FLAG-IDA</w:t>
      </w:r>
      <w:r w:rsidR="008A2416" w:rsidRPr="00E534F5">
        <w:rPr>
          <w:rFonts w:ascii="Times New Roman" w:eastAsia="Times New Roman" w:hAnsi="Times New Roman" w:cs="Times New Roman"/>
          <w:sz w:val="22"/>
        </w:rPr>
        <w:t>)</w:t>
      </w:r>
      <w:r w:rsidRPr="00E534F5">
        <w:rPr>
          <w:rFonts w:ascii="Times New Roman" w:eastAsia="Times New Roman" w:hAnsi="Times New Roman" w:cs="Times New Roman"/>
          <w:sz w:val="22"/>
        </w:rPr>
        <w:t>, propensity score matching was used for the primary adjusted comparison. DAE was designated as the treated group. Propensity scores were defined as each patient's estimated probability of receiving DAE; therefore, the matched analysis targeted the average treatment effect among patients treated with DAE.</w:t>
      </w:r>
    </w:p>
    <w:p w14:paraId="060A8FCE" w14:textId="2617B3A4" w:rsidR="00781B1F" w:rsidRPr="00E534F5" w:rsidRDefault="00000000" w:rsidP="001E0D93">
      <w:pPr>
        <w:spacing w:line="360" w:lineRule="auto"/>
        <w:ind w:firstLine="420"/>
        <w:rPr>
          <w:rFonts w:ascii="Times New Roman" w:eastAsia="Times New Roman" w:hAnsi="Times New Roman" w:cs="Times New Roman"/>
          <w:sz w:val="22"/>
        </w:rPr>
      </w:pPr>
      <w:r w:rsidRPr="00E534F5">
        <w:rPr>
          <w:rFonts w:ascii="Times New Roman" w:eastAsia="Times New Roman" w:hAnsi="Times New Roman" w:cs="Times New Roman"/>
          <w:sz w:val="22"/>
        </w:rPr>
        <w:t>Propensity scores were estimated using ridge-penalized multivariable logistic regression. The penalty parameter was selected by 5-fold cross-validation. Prespecified pretreatment covariates were age at diagnosis, sex, log-transformed presenting leukocyte count {</w:t>
      </w:r>
      <w:proofErr w:type="gramStart"/>
      <w:r w:rsidRPr="00E534F5">
        <w:rPr>
          <w:rFonts w:ascii="Times New Roman" w:eastAsia="Times New Roman" w:hAnsi="Times New Roman" w:cs="Times New Roman"/>
          <w:sz w:val="22"/>
        </w:rPr>
        <w:t>log[</w:t>
      </w:r>
      <w:proofErr w:type="gramEnd"/>
      <w:r w:rsidRPr="00E534F5">
        <w:rPr>
          <w:rFonts w:ascii="Times New Roman" w:eastAsia="Times New Roman" w:hAnsi="Times New Roman" w:cs="Times New Roman"/>
          <w:sz w:val="22"/>
        </w:rPr>
        <w:t xml:space="preserve">1 + </w:t>
      </w:r>
      <w:r w:rsidR="008A2416" w:rsidRPr="00E534F5">
        <w:rPr>
          <w:rFonts w:ascii="Times New Roman" w:eastAsia="Times New Roman" w:hAnsi="Times New Roman" w:cs="Times New Roman"/>
          <w:sz w:val="22"/>
        </w:rPr>
        <w:t>white blood cell count</w:t>
      </w:r>
      <w:r w:rsidRPr="00E534F5">
        <w:rPr>
          <w:rFonts w:ascii="Times New Roman" w:eastAsia="Times New Roman" w:hAnsi="Times New Roman" w:cs="Times New Roman"/>
          <w:sz w:val="22"/>
        </w:rPr>
        <w:t>]}, baseline clinical risk classification, central nervous system involvement, non-</w:t>
      </w:r>
      <w:r w:rsidR="008A2416" w:rsidRPr="00E534F5">
        <w:rPr>
          <w:rFonts w:ascii="Times New Roman" w:eastAsia="Times New Roman" w:hAnsi="Times New Roman" w:cs="Times New Roman"/>
          <w:sz w:val="22"/>
        </w:rPr>
        <w:t xml:space="preserve">central nervous system </w:t>
      </w:r>
      <w:r w:rsidRPr="00E534F5">
        <w:rPr>
          <w:rFonts w:ascii="Times New Roman" w:eastAsia="Times New Roman" w:hAnsi="Times New Roman" w:cs="Times New Roman"/>
          <w:sz w:val="22"/>
        </w:rPr>
        <w:t xml:space="preserve">extramedullary involvement, </w:t>
      </w:r>
      <w:r w:rsidRPr="00E534F5">
        <w:rPr>
          <w:rFonts w:ascii="Times New Roman" w:eastAsia="Times New Roman" w:hAnsi="Times New Roman" w:cs="Times New Roman"/>
          <w:i/>
          <w:sz w:val="22"/>
        </w:rPr>
        <w:t>KMT2A</w:t>
      </w:r>
      <w:r w:rsidRPr="00E534F5">
        <w:rPr>
          <w:rFonts w:ascii="Times New Roman" w:eastAsia="Times New Roman" w:hAnsi="Times New Roman" w:cs="Times New Roman"/>
          <w:sz w:val="22"/>
        </w:rPr>
        <w:t xml:space="preserve"> fusion category, and treating center. The fusion category was defined as </w:t>
      </w:r>
      <w:r w:rsidRPr="00E534F5">
        <w:rPr>
          <w:rFonts w:ascii="Times New Roman" w:eastAsia="Times New Roman" w:hAnsi="Times New Roman" w:cs="Times New Roman"/>
          <w:i/>
          <w:sz w:val="22"/>
        </w:rPr>
        <w:t>KMT2</w:t>
      </w:r>
      <w:proofErr w:type="gramStart"/>
      <w:r w:rsidRPr="00E534F5">
        <w:rPr>
          <w:rFonts w:ascii="Times New Roman" w:eastAsia="Times New Roman" w:hAnsi="Times New Roman" w:cs="Times New Roman"/>
          <w:i/>
          <w:sz w:val="22"/>
        </w:rPr>
        <w:t>A::</w:t>
      </w:r>
      <w:proofErr w:type="gramEnd"/>
      <w:r w:rsidRPr="00E534F5">
        <w:rPr>
          <w:rFonts w:ascii="Times New Roman" w:eastAsia="Times New Roman" w:hAnsi="Times New Roman" w:cs="Times New Roman"/>
          <w:i/>
          <w:sz w:val="22"/>
        </w:rPr>
        <w:t>MLLT3</w:t>
      </w:r>
      <w:r w:rsidRPr="00E534F5">
        <w:rPr>
          <w:rFonts w:ascii="Times New Roman" w:eastAsia="Times New Roman" w:hAnsi="Times New Roman" w:cs="Times New Roman"/>
          <w:sz w:val="22"/>
        </w:rPr>
        <w:t xml:space="preserve"> or </w:t>
      </w:r>
      <w:r w:rsidRPr="00E534F5">
        <w:rPr>
          <w:rFonts w:ascii="Times New Roman" w:eastAsia="Times New Roman" w:hAnsi="Times New Roman" w:cs="Times New Roman"/>
          <w:i/>
          <w:sz w:val="22"/>
        </w:rPr>
        <w:t>KMT2</w:t>
      </w:r>
      <w:proofErr w:type="gramStart"/>
      <w:r w:rsidRPr="00E534F5">
        <w:rPr>
          <w:rFonts w:ascii="Times New Roman" w:eastAsia="Times New Roman" w:hAnsi="Times New Roman" w:cs="Times New Roman"/>
          <w:i/>
          <w:sz w:val="22"/>
        </w:rPr>
        <w:t>A::</w:t>
      </w:r>
      <w:proofErr w:type="gramEnd"/>
      <w:r w:rsidRPr="00E534F5">
        <w:rPr>
          <w:rFonts w:ascii="Times New Roman" w:eastAsia="Times New Roman" w:hAnsi="Times New Roman" w:cs="Times New Roman"/>
          <w:i/>
          <w:sz w:val="22"/>
        </w:rPr>
        <w:t>MLLT11</w:t>
      </w:r>
      <w:r w:rsidRPr="00E534F5">
        <w:rPr>
          <w:rFonts w:ascii="Times New Roman" w:eastAsia="Times New Roman" w:hAnsi="Times New Roman" w:cs="Times New Roman"/>
          <w:sz w:val="22"/>
        </w:rPr>
        <w:t xml:space="preserve"> versus other </w:t>
      </w:r>
      <w:r w:rsidRPr="00E534F5">
        <w:rPr>
          <w:rFonts w:ascii="Times New Roman" w:eastAsia="Times New Roman" w:hAnsi="Times New Roman" w:cs="Times New Roman"/>
          <w:i/>
          <w:sz w:val="22"/>
        </w:rPr>
        <w:t>KMT2A</w:t>
      </w:r>
      <w:r w:rsidRPr="00E534F5">
        <w:rPr>
          <w:rFonts w:ascii="Times New Roman" w:eastAsia="Times New Roman" w:hAnsi="Times New Roman" w:cs="Times New Roman"/>
          <w:sz w:val="22"/>
        </w:rPr>
        <w:t xml:space="preserve"> fusion partners. Only variables measured before the start of induction therapy were included in the propensity score model.</w:t>
      </w:r>
    </w:p>
    <w:p w14:paraId="5E3B76C6" w14:textId="77777777" w:rsidR="00781B1F" w:rsidRPr="00E534F5" w:rsidRDefault="00000000">
      <w:pPr>
        <w:spacing w:line="360" w:lineRule="auto"/>
        <w:rPr>
          <w:rFonts w:ascii="Times New Roman" w:eastAsia="Times New Roman" w:hAnsi="Times New Roman" w:cs="Times New Roman"/>
          <w:sz w:val="22"/>
        </w:rPr>
      </w:pPr>
      <w:r w:rsidRPr="00E534F5">
        <w:rPr>
          <w:rFonts w:ascii="Times New Roman" w:eastAsia="Times New Roman" w:hAnsi="Times New Roman" w:cs="Times New Roman"/>
          <w:b/>
          <w:sz w:val="22"/>
        </w:rPr>
        <w:t>Matching and assessment of covariate balance</w:t>
      </w:r>
    </w:p>
    <w:p w14:paraId="2A4878D3" w14:textId="7653685A" w:rsidR="00781B1F" w:rsidRPr="00E534F5" w:rsidRDefault="00000000">
      <w:pPr>
        <w:spacing w:line="360" w:lineRule="auto"/>
        <w:rPr>
          <w:rFonts w:ascii="Times New Roman" w:eastAsia="Times New Roman" w:hAnsi="Times New Roman" w:cs="Times New Roman"/>
          <w:sz w:val="22"/>
        </w:rPr>
      </w:pPr>
      <w:r w:rsidRPr="00E534F5">
        <w:rPr>
          <w:rFonts w:ascii="Times New Roman" w:eastAsia="Times New Roman" w:hAnsi="Times New Roman" w:cs="Times New Roman"/>
          <w:sz w:val="22"/>
        </w:rPr>
        <w:t xml:space="preserve">Patients receiving DAE were matched to patients receiving FLAG-IDA </w:t>
      </w:r>
      <w:r w:rsidR="00405BC9" w:rsidRPr="00E534F5">
        <w:rPr>
          <w:rFonts w:ascii="Times New Roman" w:eastAsia="Times New Roman" w:hAnsi="Times New Roman" w:cs="Times New Roman"/>
          <w:sz w:val="22"/>
        </w:rPr>
        <w:t xml:space="preserve">using </w:t>
      </w:r>
      <w:r w:rsidRPr="00E534F5">
        <w:rPr>
          <w:rFonts w:ascii="Times New Roman" w:eastAsia="Times New Roman" w:hAnsi="Times New Roman" w:cs="Times New Roman"/>
          <w:sz w:val="22"/>
        </w:rPr>
        <w:t xml:space="preserve">nearest-neighbor matching without replacement. Matching was performed on the logit of the propensity score using a caliper width of 0.20 standard deviations of the logit of the propensity score. Exact matching was additionally required for the </w:t>
      </w:r>
      <w:r w:rsidRPr="00E534F5">
        <w:rPr>
          <w:rFonts w:ascii="Times New Roman" w:eastAsia="Times New Roman" w:hAnsi="Times New Roman" w:cs="Times New Roman"/>
          <w:i/>
          <w:sz w:val="22"/>
        </w:rPr>
        <w:t>KMT2</w:t>
      </w:r>
      <w:proofErr w:type="gramStart"/>
      <w:r w:rsidRPr="00E534F5">
        <w:rPr>
          <w:rFonts w:ascii="Times New Roman" w:eastAsia="Times New Roman" w:hAnsi="Times New Roman" w:cs="Times New Roman"/>
          <w:i/>
          <w:sz w:val="22"/>
        </w:rPr>
        <w:t>A::</w:t>
      </w:r>
      <w:proofErr w:type="gramEnd"/>
      <w:r w:rsidRPr="00E534F5">
        <w:rPr>
          <w:rFonts w:ascii="Times New Roman" w:eastAsia="Times New Roman" w:hAnsi="Times New Roman" w:cs="Times New Roman"/>
          <w:i/>
          <w:sz w:val="22"/>
        </w:rPr>
        <w:t>MLLT3</w:t>
      </w:r>
      <w:r w:rsidRPr="00E534F5">
        <w:rPr>
          <w:rFonts w:ascii="Times New Roman" w:eastAsia="Times New Roman" w:hAnsi="Times New Roman" w:cs="Times New Roman"/>
          <w:sz w:val="22"/>
        </w:rPr>
        <w:t>/</w:t>
      </w:r>
      <w:r w:rsidRPr="00E534F5">
        <w:rPr>
          <w:rFonts w:ascii="Times New Roman" w:eastAsia="Times New Roman" w:hAnsi="Times New Roman" w:cs="Times New Roman"/>
          <w:i/>
          <w:sz w:val="22"/>
        </w:rPr>
        <w:t>KMT2</w:t>
      </w:r>
      <w:proofErr w:type="gramStart"/>
      <w:r w:rsidRPr="00E534F5">
        <w:rPr>
          <w:rFonts w:ascii="Times New Roman" w:eastAsia="Times New Roman" w:hAnsi="Times New Roman" w:cs="Times New Roman"/>
          <w:i/>
          <w:sz w:val="22"/>
        </w:rPr>
        <w:t>A::</w:t>
      </w:r>
      <w:proofErr w:type="gramEnd"/>
      <w:r w:rsidRPr="00E534F5">
        <w:rPr>
          <w:rFonts w:ascii="Times New Roman" w:eastAsia="Times New Roman" w:hAnsi="Times New Roman" w:cs="Times New Roman"/>
          <w:i/>
          <w:sz w:val="22"/>
        </w:rPr>
        <w:t>MLLT11</w:t>
      </w:r>
      <w:r w:rsidRPr="00E534F5">
        <w:rPr>
          <w:rFonts w:ascii="Times New Roman" w:eastAsia="Times New Roman" w:hAnsi="Times New Roman" w:cs="Times New Roman"/>
          <w:sz w:val="22"/>
        </w:rPr>
        <w:t xml:space="preserve"> fusion category. Candidate DAE-to-FLAG-IDA matching ratios from 1:1 through 1:3 were evaluated; a 1:2 ratio was used for the primary matched analysis. Patients outside the region of common support or for whom no eligible match was available within the caliper did not contribute to the matched analysis.</w:t>
      </w:r>
    </w:p>
    <w:p w14:paraId="395009E6" w14:textId="2F5EFA2D" w:rsidR="00781B1F" w:rsidRPr="00E534F5" w:rsidRDefault="00000000" w:rsidP="001E0D93">
      <w:pPr>
        <w:spacing w:line="360" w:lineRule="auto"/>
        <w:ind w:firstLine="420"/>
        <w:rPr>
          <w:rFonts w:ascii="Times New Roman" w:eastAsia="Times New Roman" w:hAnsi="Times New Roman" w:cs="Times New Roman"/>
          <w:sz w:val="22"/>
        </w:rPr>
      </w:pPr>
      <w:r w:rsidRPr="00E534F5">
        <w:rPr>
          <w:rFonts w:ascii="Times New Roman" w:eastAsia="Times New Roman" w:hAnsi="Times New Roman" w:cs="Times New Roman"/>
          <w:sz w:val="22"/>
        </w:rPr>
        <w:t xml:space="preserve">Propensity-score distributions and common support were examined before matching. Covariate balance was assessed using absolute </w:t>
      </w:r>
      <w:r w:rsidR="00E963A3" w:rsidRPr="00E534F5">
        <w:rPr>
          <w:rFonts w:ascii="Times New Roman" w:eastAsia="Times New Roman" w:hAnsi="Times New Roman" w:cs="Times New Roman"/>
          <w:sz w:val="22"/>
        </w:rPr>
        <w:t>standardized mean differences (</w:t>
      </w:r>
      <w:r w:rsidRPr="00E534F5">
        <w:rPr>
          <w:rFonts w:ascii="Times New Roman" w:eastAsia="Times New Roman" w:hAnsi="Times New Roman" w:cs="Times New Roman"/>
          <w:sz w:val="22"/>
        </w:rPr>
        <w:t>SMDs</w:t>
      </w:r>
      <w:r w:rsidR="00E963A3" w:rsidRPr="00E534F5">
        <w:rPr>
          <w:rFonts w:ascii="Times New Roman" w:eastAsia="Times New Roman" w:hAnsi="Times New Roman" w:cs="Times New Roman"/>
          <w:sz w:val="22"/>
        </w:rPr>
        <w:t>)</w:t>
      </w:r>
      <w:r w:rsidRPr="00E534F5">
        <w:rPr>
          <w:rFonts w:ascii="Times New Roman" w:eastAsia="Times New Roman" w:hAnsi="Times New Roman" w:cs="Times New Roman"/>
          <w:sz w:val="22"/>
        </w:rPr>
        <w:t xml:space="preserve"> and graphical balance diagnostics. An absolute SMD &lt; 0.10 was considered indicative of </w:t>
      </w:r>
      <w:r w:rsidRPr="00E534F5">
        <w:rPr>
          <w:rFonts w:ascii="Times New Roman" w:eastAsia="Times New Roman" w:hAnsi="Times New Roman" w:cs="Times New Roman"/>
          <w:sz w:val="22"/>
        </w:rPr>
        <w:lastRenderedPageBreak/>
        <w:t>satisfactory balance.</w:t>
      </w:r>
    </w:p>
    <w:p w14:paraId="4E988ED3" w14:textId="77777777" w:rsidR="00781B1F" w:rsidRPr="00E534F5" w:rsidRDefault="00000000">
      <w:pPr>
        <w:spacing w:line="360" w:lineRule="auto"/>
        <w:rPr>
          <w:rFonts w:ascii="Times New Roman" w:eastAsia="Times New Roman" w:hAnsi="Times New Roman" w:cs="Times New Roman"/>
          <w:sz w:val="22"/>
        </w:rPr>
      </w:pPr>
      <w:r w:rsidRPr="00E534F5">
        <w:rPr>
          <w:rFonts w:ascii="Times New Roman" w:eastAsia="Times New Roman" w:hAnsi="Times New Roman" w:cs="Times New Roman"/>
          <w:b/>
          <w:sz w:val="22"/>
        </w:rPr>
        <w:t>Outcome analyses</w:t>
      </w:r>
    </w:p>
    <w:p w14:paraId="4DAC1F6D" w14:textId="3DF788FE" w:rsidR="00781B1F" w:rsidRPr="00E534F5" w:rsidRDefault="00000000">
      <w:pPr>
        <w:spacing w:line="360" w:lineRule="auto"/>
        <w:rPr>
          <w:rFonts w:ascii="Times New Roman" w:eastAsia="Times New Roman" w:hAnsi="Times New Roman" w:cs="Times New Roman"/>
          <w:sz w:val="22"/>
        </w:rPr>
      </w:pPr>
      <w:r w:rsidRPr="00E534F5">
        <w:rPr>
          <w:rFonts w:ascii="Times New Roman" w:eastAsia="Times New Roman" w:hAnsi="Times New Roman" w:cs="Times New Roman"/>
          <w:sz w:val="22"/>
        </w:rPr>
        <w:t>In the propensity score-matched cohort, weighted Kaplan</w:t>
      </w:r>
      <w:r w:rsidR="00531E7C" w:rsidRPr="00E534F5">
        <w:rPr>
          <w:rFonts w:ascii="Times New Roman" w:eastAsia="Times New Roman" w:hAnsi="Times New Roman" w:cs="Times New Roman"/>
          <w:sz w:val="22"/>
        </w:rPr>
        <w:t>–</w:t>
      </w:r>
      <w:r w:rsidRPr="00E534F5">
        <w:rPr>
          <w:rFonts w:ascii="Times New Roman" w:eastAsia="Times New Roman" w:hAnsi="Times New Roman" w:cs="Times New Roman"/>
          <w:sz w:val="22"/>
        </w:rPr>
        <w:t xml:space="preserve">Meier estimates were used to describe </w:t>
      </w:r>
      <w:r w:rsidR="00E963A3" w:rsidRPr="00E534F5">
        <w:rPr>
          <w:rFonts w:ascii="Times New Roman" w:eastAsia="Times New Roman" w:hAnsi="Times New Roman" w:cs="Times New Roman"/>
          <w:sz w:val="22"/>
        </w:rPr>
        <w:t>overall survival (</w:t>
      </w:r>
      <w:r w:rsidRPr="00E534F5">
        <w:rPr>
          <w:rFonts w:ascii="Times New Roman" w:eastAsia="Times New Roman" w:hAnsi="Times New Roman" w:cs="Times New Roman"/>
          <w:sz w:val="22"/>
        </w:rPr>
        <w:t>OS</w:t>
      </w:r>
      <w:r w:rsidR="00E963A3" w:rsidRPr="00E534F5">
        <w:rPr>
          <w:rFonts w:ascii="Times New Roman" w:eastAsia="Times New Roman" w:hAnsi="Times New Roman" w:cs="Times New Roman"/>
          <w:sz w:val="22"/>
        </w:rPr>
        <w:t>)</w:t>
      </w:r>
      <w:r w:rsidRPr="00E534F5">
        <w:rPr>
          <w:rFonts w:ascii="Times New Roman" w:eastAsia="Times New Roman" w:hAnsi="Times New Roman" w:cs="Times New Roman"/>
          <w:sz w:val="22"/>
        </w:rPr>
        <w:t xml:space="preserve"> and </w:t>
      </w:r>
      <w:r w:rsidR="00E963A3" w:rsidRPr="00E534F5">
        <w:rPr>
          <w:rFonts w:ascii="Times New Roman" w:eastAsia="Times New Roman" w:hAnsi="Times New Roman" w:cs="Times New Roman"/>
          <w:sz w:val="22"/>
        </w:rPr>
        <w:t>event-free survival (</w:t>
      </w:r>
      <w:r w:rsidRPr="00E534F5">
        <w:rPr>
          <w:rFonts w:ascii="Times New Roman" w:eastAsia="Times New Roman" w:hAnsi="Times New Roman" w:cs="Times New Roman"/>
          <w:sz w:val="22"/>
        </w:rPr>
        <w:t>EFS</w:t>
      </w:r>
      <w:r w:rsidR="00E963A3" w:rsidRPr="00E534F5">
        <w:rPr>
          <w:rFonts w:ascii="Times New Roman" w:eastAsia="Times New Roman" w:hAnsi="Times New Roman" w:cs="Times New Roman"/>
          <w:sz w:val="22"/>
        </w:rPr>
        <w:t>)</w:t>
      </w:r>
      <w:r w:rsidRPr="00E534F5">
        <w:rPr>
          <w:rFonts w:ascii="Times New Roman" w:eastAsia="Times New Roman" w:hAnsi="Times New Roman" w:cs="Times New Roman"/>
          <w:sz w:val="22"/>
        </w:rPr>
        <w:t xml:space="preserve">. Treatment effects were estimated using Cox proportional hazards models that incorporated matching weights and robust sandwich variance estimators clustered by matched set. </w:t>
      </w:r>
      <w:r w:rsidR="00E963A3" w:rsidRPr="00E534F5">
        <w:rPr>
          <w:rFonts w:ascii="Times New Roman" w:eastAsia="Times New Roman" w:hAnsi="Times New Roman" w:cs="Times New Roman"/>
          <w:sz w:val="22"/>
        </w:rPr>
        <w:t>Cumulative incidence of relapse (</w:t>
      </w:r>
      <w:r w:rsidRPr="00E534F5">
        <w:rPr>
          <w:rFonts w:ascii="Times New Roman" w:eastAsia="Times New Roman" w:hAnsi="Times New Roman" w:cs="Times New Roman"/>
          <w:sz w:val="22"/>
        </w:rPr>
        <w:t>CIR</w:t>
      </w:r>
      <w:r w:rsidR="00E963A3" w:rsidRPr="00E534F5">
        <w:rPr>
          <w:rFonts w:ascii="Times New Roman" w:eastAsia="Times New Roman" w:hAnsi="Times New Roman" w:cs="Times New Roman"/>
          <w:sz w:val="22"/>
        </w:rPr>
        <w:t>)</w:t>
      </w:r>
      <w:r w:rsidRPr="00E534F5">
        <w:rPr>
          <w:rFonts w:ascii="Times New Roman" w:eastAsia="Times New Roman" w:hAnsi="Times New Roman" w:cs="Times New Roman"/>
          <w:sz w:val="22"/>
        </w:rPr>
        <w:t xml:space="preserve"> was evaluated among patients who achieved </w:t>
      </w:r>
      <w:r w:rsidR="00E963A3" w:rsidRPr="00E534F5">
        <w:rPr>
          <w:rFonts w:ascii="Times New Roman" w:eastAsia="Times New Roman" w:hAnsi="Times New Roman" w:cs="Times New Roman"/>
          <w:sz w:val="22"/>
        </w:rPr>
        <w:t>complete remission (</w:t>
      </w:r>
      <w:r w:rsidRPr="00E534F5">
        <w:rPr>
          <w:rFonts w:ascii="Times New Roman" w:eastAsia="Times New Roman" w:hAnsi="Times New Roman" w:cs="Times New Roman"/>
          <w:sz w:val="22"/>
        </w:rPr>
        <w:t>CR</w:t>
      </w:r>
      <w:r w:rsidR="00E963A3" w:rsidRPr="00E534F5">
        <w:rPr>
          <w:rFonts w:ascii="Times New Roman" w:eastAsia="Times New Roman" w:hAnsi="Times New Roman" w:cs="Times New Roman"/>
          <w:sz w:val="22"/>
        </w:rPr>
        <w:t>)</w:t>
      </w:r>
      <w:r w:rsidRPr="00E534F5">
        <w:rPr>
          <w:rFonts w:ascii="Times New Roman" w:eastAsia="Times New Roman" w:hAnsi="Times New Roman" w:cs="Times New Roman"/>
          <w:sz w:val="22"/>
        </w:rPr>
        <w:t xml:space="preserve"> and had evaluable relapse and competing-event data. Weighted cumulative incidence functions were used for descriptive presentation, and treatment effects were estimated using Fine</w:t>
      </w:r>
      <w:r w:rsidR="00531E7C" w:rsidRPr="00E534F5">
        <w:rPr>
          <w:rFonts w:ascii="Times New Roman" w:eastAsia="Times New Roman" w:hAnsi="Times New Roman" w:cs="Times New Roman"/>
          <w:sz w:val="22"/>
        </w:rPr>
        <w:t>–</w:t>
      </w:r>
      <w:r w:rsidRPr="00E534F5">
        <w:rPr>
          <w:rFonts w:ascii="Times New Roman" w:eastAsia="Times New Roman" w:hAnsi="Times New Roman" w:cs="Times New Roman"/>
          <w:sz w:val="22"/>
        </w:rPr>
        <w:t xml:space="preserve">Gray </w:t>
      </w:r>
      <w:proofErr w:type="spellStart"/>
      <w:r w:rsidRPr="00E534F5">
        <w:rPr>
          <w:rFonts w:ascii="Times New Roman" w:eastAsia="Times New Roman" w:hAnsi="Times New Roman" w:cs="Times New Roman"/>
          <w:sz w:val="22"/>
        </w:rPr>
        <w:t>subdistribution</w:t>
      </w:r>
      <w:proofErr w:type="spellEnd"/>
      <w:r w:rsidRPr="00E534F5">
        <w:rPr>
          <w:rFonts w:ascii="Times New Roman" w:eastAsia="Times New Roman" w:hAnsi="Times New Roman" w:cs="Times New Roman"/>
          <w:sz w:val="22"/>
        </w:rPr>
        <w:t xml:space="preserve"> hazards regression that accounted for the matching weights and matched-set clustering. Gray's test and unadjusted Cox or Fine</w:t>
      </w:r>
      <w:r w:rsidR="00531E7C" w:rsidRPr="00E534F5">
        <w:rPr>
          <w:rFonts w:ascii="Times New Roman" w:eastAsia="Times New Roman" w:hAnsi="Times New Roman" w:cs="Times New Roman"/>
          <w:sz w:val="22"/>
        </w:rPr>
        <w:t>–</w:t>
      </w:r>
      <w:r w:rsidRPr="00E534F5">
        <w:rPr>
          <w:rFonts w:ascii="Times New Roman" w:eastAsia="Times New Roman" w:hAnsi="Times New Roman" w:cs="Times New Roman"/>
          <w:sz w:val="22"/>
        </w:rPr>
        <w:t>Gray models, as appropriate, were used for the corresponding unadjusted comparisons in the overall eligible cohort.</w:t>
      </w:r>
    </w:p>
    <w:p w14:paraId="5F3E6C37" w14:textId="5C4F3E7B" w:rsidR="00781B1F" w:rsidRPr="00E534F5" w:rsidRDefault="00000000">
      <w:pPr>
        <w:spacing w:line="360" w:lineRule="auto"/>
        <w:rPr>
          <w:rFonts w:ascii="Times New Roman" w:eastAsia="Times New Roman" w:hAnsi="Times New Roman" w:cs="Times New Roman"/>
          <w:sz w:val="22"/>
        </w:rPr>
      </w:pPr>
      <w:r w:rsidRPr="00E534F5">
        <w:rPr>
          <w:rFonts w:ascii="Times New Roman" w:eastAsia="Times New Roman" w:hAnsi="Times New Roman" w:cs="Times New Roman"/>
          <w:b/>
          <w:sz w:val="22"/>
        </w:rPr>
        <w:t xml:space="preserve">Postbaseline </w:t>
      </w:r>
      <w:r w:rsidR="00E963A3" w:rsidRPr="00E534F5">
        <w:rPr>
          <w:rFonts w:ascii="Times New Roman" w:eastAsia="Times New Roman" w:hAnsi="Times New Roman" w:cs="Times New Roman"/>
          <w:b/>
          <w:sz w:val="22"/>
        </w:rPr>
        <w:t xml:space="preserve">hematopoietic stem cell transplantation </w:t>
      </w:r>
      <w:r w:rsidRPr="00E534F5">
        <w:rPr>
          <w:rFonts w:ascii="Times New Roman" w:eastAsia="Times New Roman" w:hAnsi="Times New Roman" w:cs="Times New Roman"/>
          <w:b/>
          <w:sz w:val="22"/>
        </w:rPr>
        <w:t>analyses</w:t>
      </w:r>
    </w:p>
    <w:p w14:paraId="78CA6F17" w14:textId="711000E8" w:rsidR="00781B1F" w:rsidRPr="00E534F5" w:rsidRDefault="00000000">
      <w:pPr>
        <w:spacing w:line="360" w:lineRule="auto"/>
        <w:rPr>
          <w:rFonts w:ascii="Times New Roman" w:eastAsia="Times New Roman" w:hAnsi="Times New Roman" w:cs="Times New Roman"/>
          <w:sz w:val="22"/>
        </w:rPr>
      </w:pPr>
      <w:r w:rsidRPr="00E534F5">
        <w:rPr>
          <w:rFonts w:ascii="Times New Roman" w:eastAsia="Times New Roman" w:hAnsi="Times New Roman" w:cs="Times New Roman"/>
          <w:sz w:val="22"/>
        </w:rPr>
        <w:t>Hematopoietic stem cell transplantation (HSCT) was administered after induction and was therefore a postbaseline exposure; it was not included in the propensity score model for induction treatment. In separate exploratory analyses of the association between HSCT and survival, HSCT was modeled as a time-dependent covariate in Cox regression. Patients were considered unexposed before transplantation and exposed thereafter. Robust variance estimates clustered by patient were used.</w:t>
      </w:r>
    </w:p>
    <w:p w14:paraId="0914C1E4" w14:textId="77777777" w:rsidR="00781B1F" w:rsidRPr="00E534F5" w:rsidRDefault="00000000" w:rsidP="001E0D93">
      <w:pPr>
        <w:spacing w:line="360" w:lineRule="auto"/>
        <w:ind w:firstLine="420"/>
        <w:rPr>
          <w:rFonts w:ascii="Times New Roman" w:eastAsia="Times New Roman" w:hAnsi="Times New Roman" w:cs="Times New Roman"/>
          <w:sz w:val="22"/>
        </w:rPr>
      </w:pPr>
      <w:r w:rsidRPr="00E534F5">
        <w:rPr>
          <w:rFonts w:ascii="Times New Roman" w:eastAsia="Times New Roman" w:hAnsi="Times New Roman" w:cs="Times New Roman"/>
          <w:sz w:val="22"/>
        </w:rPr>
        <w:t>A 6-month post-CR landmark analysis was performed as a sensitivity analysis to further address immortal-time bias. Patients alive at the landmark were eligible for the OS analysis, and patients alive and event-free at the landmark were eligible for the EFS analysis. HSCT exposure was classified according to whether transplantation had occurred by the landmark, and follow-up for the landmark analyses began at 6 months after CR.</w:t>
      </w:r>
    </w:p>
    <w:p w14:paraId="7C5EF6F4" w14:textId="77777777" w:rsidR="00781B1F" w:rsidRPr="00E534F5" w:rsidRDefault="00000000">
      <w:pPr>
        <w:spacing w:line="360" w:lineRule="auto"/>
        <w:rPr>
          <w:rFonts w:ascii="Times New Roman" w:eastAsia="Times New Roman" w:hAnsi="Times New Roman" w:cs="Times New Roman"/>
          <w:sz w:val="22"/>
        </w:rPr>
      </w:pPr>
      <w:r w:rsidRPr="00E534F5">
        <w:rPr>
          <w:rFonts w:ascii="Times New Roman" w:eastAsia="Times New Roman" w:hAnsi="Times New Roman" w:cs="Times New Roman"/>
          <w:b/>
          <w:sz w:val="22"/>
        </w:rPr>
        <w:t>Subgroup analyses</w:t>
      </w:r>
    </w:p>
    <w:p w14:paraId="6234F882" w14:textId="671CD617" w:rsidR="00781B1F" w:rsidRPr="00E534F5" w:rsidRDefault="00000000">
      <w:pPr>
        <w:spacing w:line="360" w:lineRule="auto"/>
        <w:rPr>
          <w:rFonts w:ascii="Times New Roman" w:eastAsia="Times New Roman" w:hAnsi="Times New Roman" w:cs="Times New Roman"/>
          <w:sz w:val="22"/>
        </w:rPr>
      </w:pPr>
      <w:r w:rsidRPr="00E534F5">
        <w:rPr>
          <w:rFonts w:ascii="Times New Roman" w:eastAsia="Times New Roman" w:hAnsi="Times New Roman" w:cs="Times New Roman"/>
          <w:sz w:val="22"/>
        </w:rPr>
        <w:t xml:space="preserve">Exploratory subgroup analyses were conducted according to individual </w:t>
      </w:r>
      <w:r w:rsidRPr="00E534F5">
        <w:rPr>
          <w:rFonts w:ascii="Times New Roman" w:eastAsia="Times New Roman" w:hAnsi="Times New Roman" w:cs="Times New Roman"/>
          <w:i/>
          <w:sz w:val="22"/>
        </w:rPr>
        <w:t>KMT2A</w:t>
      </w:r>
      <w:r w:rsidRPr="00E534F5">
        <w:rPr>
          <w:rFonts w:ascii="Times New Roman" w:eastAsia="Times New Roman" w:hAnsi="Times New Roman" w:cs="Times New Roman"/>
          <w:sz w:val="22"/>
        </w:rPr>
        <w:t xml:space="preserve"> fusion partners and the prespecified fusion-based risk classification. Treatment-by-subgroup interactions were assessed by including the corresponding interaction terms in the regression models. </w:t>
      </w:r>
      <w:r w:rsidR="00531E7C" w:rsidRPr="00E534F5">
        <w:rPr>
          <w:rFonts w:ascii="Times New Roman" w:eastAsia="Times New Roman" w:hAnsi="Times New Roman" w:cs="Times New Roman"/>
          <w:sz w:val="22"/>
        </w:rPr>
        <w:t>Given</w:t>
      </w:r>
      <w:r w:rsidRPr="00E534F5">
        <w:rPr>
          <w:rFonts w:ascii="Times New Roman" w:eastAsia="Times New Roman" w:hAnsi="Times New Roman" w:cs="Times New Roman"/>
          <w:sz w:val="22"/>
        </w:rPr>
        <w:t xml:space="preserve"> the limited sample size and number of events in some subgroups, these analyses were considered exploratory.</w:t>
      </w:r>
    </w:p>
    <w:p w14:paraId="252E7576" w14:textId="77777777" w:rsidR="00781B1F" w:rsidRPr="00E534F5" w:rsidRDefault="00000000">
      <w:pPr>
        <w:spacing w:line="360" w:lineRule="auto"/>
        <w:rPr>
          <w:rFonts w:ascii="Times New Roman" w:eastAsia="Times New Roman" w:hAnsi="Times New Roman" w:cs="Times New Roman"/>
          <w:sz w:val="22"/>
        </w:rPr>
      </w:pPr>
      <w:r w:rsidRPr="00E534F5">
        <w:rPr>
          <w:rFonts w:ascii="Times New Roman" w:eastAsia="Times New Roman" w:hAnsi="Times New Roman" w:cs="Times New Roman"/>
          <w:b/>
          <w:sz w:val="22"/>
        </w:rPr>
        <w:lastRenderedPageBreak/>
        <w:t>Missing data and software</w:t>
      </w:r>
    </w:p>
    <w:p w14:paraId="0FF13ADD" w14:textId="584E0F4A" w:rsidR="00483EB1" w:rsidRPr="00E534F5" w:rsidRDefault="00000000">
      <w:pPr>
        <w:spacing w:line="360" w:lineRule="auto"/>
        <w:rPr>
          <w:rFonts w:ascii="Times New Roman" w:eastAsia="Times New Roman" w:hAnsi="Times New Roman" w:cs="Times New Roman"/>
          <w:sz w:val="22"/>
        </w:rPr>
      </w:pPr>
      <w:r w:rsidRPr="00E534F5">
        <w:rPr>
          <w:rFonts w:ascii="Times New Roman" w:eastAsia="Times New Roman" w:hAnsi="Times New Roman" w:cs="Times New Roman"/>
          <w:sz w:val="22"/>
        </w:rPr>
        <w:t xml:space="preserve">The propensity score analysis was restricted to complete cases for all variables included in the propensity score model. Endpoint-specific analyses included patients with available treatment assignment, follow-up time, and event status for the relevant outcome. Missing values were not imputed. All tests were two-sided, and </w:t>
      </w:r>
      <w:r w:rsidRPr="00E534F5">
        <w:rPr>
          <w:rFonts w:ascii="Times New Roman" w:eastAsia="Times New Roman" w:hAnsi="Times New Roman" w:cs="Times New Roman"/>
          <w:i/>
          <w:sz w:val="22"/>
        </w:rPr>
        <w:t>P</w:t>
      </w:r>
      <w:r w:rsidRPr="00E534F5">
        <w:rPr>
          <w:rFonts w:ascii="Times New Roman" w:eastAsia="Times New Roman" w:hAnsi="Times New Roman" w:cs="Times New Roman"/>
          <w:sz w:val="22"/>
        </w:rPr>
        <w:t xml:space="preserve"> &lt; 0.05 was considered statistically significant. No adjustment for multiple comparisons was made for exploratory analyses.</w:t>
      </w:r>
    </w:p>
    <w:p w14:paraId="414B0FFA" w14:textId="77777777" w:rsidR="00781B1F" w:rsidRPr="00E534F5" w:rsidRDefault="00000000" w:rsidP="001E0D93">
      <w:pPr>
        <w:spacing w:line="360" w:lineRule="auto"/>
        <w:ind w:firstLine="420"/>
        <w:rPr>
          <w:rFonts w:ascii="Times New Roman" w:eastAsia="Times New Roman" w:hAnsi="Times New Roman" w:cs="Times New Roman"/>
          <w:sz w:val="22"/>
        </w:rPr>
      </w:pPr>
      <w:r w:rsidRPr="00E534F5">
        <w:rPr>
          <w:rFonts w:ascii="Times New Roman" w:eastAsia="Times New Roman" w:hAnsi="Times New Roman" w:cs="Times New Roman"/>
          <w:sz w:val="22"/>
        </w:rPr>
        <w:t xml:space="preserve">Analyses were performed using R, version 4.5.3, with the </w:t>
      </w:r>
      <w:proofErr w:type="spellStart"/>
      <w:r w:rsidRPr="00E534F5">
        <w:rPr>
          <w:rFonts w:ascii="Times New Roman" w:eastAsia="Times New Roman" w:hAnsi="Times New Roman" w:cs="Times New Roman"/>
          <w:sz w:val="22"/>
        </w:rPr>
        <w:t>readxl</w:t>
      </w:r>
      <w:proofErr w:type="spellEnd"/>
      <w:r w:rsidRPr="00E534F5">
        <w:rPr>
          <w:rFonts w:ascii="Times New Roman" w:eastAsia="Times New Roman" w:hAnsi="Times New Roman" w:cs="Times New Roman"/>
          <w:sz w:val="22"/>
        </w:rPr>
        <w:t xml:space="preserve">, </w:t>
      </w:r>
      <w:proofErr w:type="spellStart"/>
      <w:r w:rsidRPr="00E534F5">
        <w:rPr>
          <w:rFonts w:ascii="Times New Roman" w:eastAsia="Times New Roman" w:hAnsi="Times New Roman" w:cs="Times New Roman"/>
          <w:sz w:val="22"/>
        </w:rPr>
        <w:t>dplyr</w:t>
      </w:r>
      <w:proofErr w:type="spellEnd"/>
      <w:r w:rsidRPr="00E534F5">
        <w:rPr>
          <w:rFonts w:ascii="Times New Roman" w:eastAsia="Times New Roman" w:hAnsi="Times New Roman" w:cs="Times New Roman"/>
          <w:sz w:val="22"/>
        </w:rPr>
        <w:t xml:space="preserve">, survival, </w:t>
      </w:r>
      <w:proofErr w:type="spellStart"/>
      <w:r w:rsidRPr="00E534F5">
        <w:rPr>
          <w:rFonts w:ascii="Times New Roman" w:eastAsia="Times New Roman" w:hAnsi="Times New Roman" w:cs="Times New Roman"/>
          <w:sz w:val="22"/>
        </w:rPr>
        <w:t>cmprsk</w:t>
      </w:r>
      <w:proofErr w:type="spellEnd"/>
      <w:r w:rsidRPr="00E534F5">
        <w:rPr>
          <w:rFonts w:ascii="Times New Roman" w:eastAsia="Times New Roman" w:hAnsi="Times New Roman" w:cs="Times New Roman"/>
          <w:sz w:val="22"/>
        </w:rPr>
        <w:t xml:space="preserve">, </w:t>
      </w:r>
      <w:proofErr w:type="spellStart"/>
      <w:r w:rsidRPr="00E534F5">
        <w:rPr>
          <w:rFonts w:ascii="Times New Roman" w:eastAsia="Times New Roman" w:hAnsi="Times New Roman" w:cs="Times New Roman"/>
          <w:sz w:val="22"/>
        </w:rPr>
        <w:t>glmnet</w:t>
      </w:r>
      <w:proofErr w:type="spellEnd"/>
      <w:r w:rsidRPr="00E534F5">
        <w:rPr>
          <w:rFonts w:ascii="Times New Roman" w:eastAsia="Times New Roman" w:hAnsi="Times New Roman" w:cs="Times New Roman"/>
          <w:sz w:val="22"/>
        </w:rPr>
        <w:t xml:space="preserve">, </w:t>
      </w:r>
      <w:proofErr w:type="spellStart"/>
      <w:r w:rsidRPr="00E534F5">
        <w:rPr>
          <w:rFonts w:ascii="Times New Roman" w:eastAsia="Times New Roman" w:hAnsi="Times New Roman" w:cs="Times New Roman"/>
          <w:sz w:val="22"/>
        </w:rPr>
        <w:t>MatchIt</w:t>
      </w:r>
      <w:proofErr w:type="spellEnd"/>
      <w:r w:rsidRPr="00E534F5">
        <w:rPr>
          <w:rFonts w:ascii="Times New Roman" w:eastAsia="Times New Roman" w:hAnsi="Times New Roman" w:cs="Times New Roman"/>
          <w:sz w:val="22"/>
        </w:rPr>
        <w:t xml:space="preserve">, cobalt, ggplot2, </w:t>
      </w:r>
      <w:proofErr w:type="spellStart"/>
      <w:r w:rsidRPr="00E534F5">
        <w:rPr>
          <w:rFonts w:ascii="Times New Roman" w:eastAsia="Times New Roman" w:hAnsi="Times New Roman" w:cs="Times New Roman"/>
          <w:sz w:val="22"/>
        </w:rPr>
        <w:t>survminer</w:t>
      </w:r>
      <w:proofErr w:type="spellEnd"/>
      <w:r w:rsidRPr="00E534F5">
        <w:rPr>
          <w:rFonts w:ascii="Times New Roman" w:eastAsia="Times New Roman" w:hAnsi="Times New Roman" w:cs="Times New Roman"/>
          <w:sz w:val="22"/>
        </w:rPr>
        <w:t>, and patchwork packages.</w:t>
      </w:r>
    </w:p>
    <w:p w14:paraId="77B0BBA4" w14:textId="77777777" w:rsidR="00781B1F" w:rsidRPr="00E534F5" w:rsidRDefault="00781B1F">
      <w:pPr>
        <w:spacing w:line="360" w:lineRule="auto"/>
        <w:rPr>
          <w:rFonts w:ascii="Times New Roman" w:eastAsia="Times New Roman" w:hAnsi="Times New Roman" w:cs="Times New Roman"/>
          <w:sz w:val="22"/>
        </w:rPr>
      </w:pPr>
    </w:p>
    <w:sectPr w:rsidR="00781B1F" w:rsidRPr="00E534F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B1F"/>
    <w:rsid w:val="000C0EBC"/>
    <w:rsid w:val="001E0D93"/>
    <w:rsid w:val="00405BC9"/>
    <w:rsid w:val="00483EB1"/>
    <w:rsid w:val="00531E7C"/>
    <w:rsid w:val="005943FD"/>
    <w:rsid w:val="006318B3"/>
    <w:rsid w:val="00781B1F"/>
    <w:rsid w:val="008170A1"/>
    <w:rsid w:val="00817442"/>
    <w:rsid w:val="008256F5"/>
    <w:rsid w:val="008A2416"/>
    <w:rsid w:val="00C36C29"/>
    <w:rsid w:val="00DD770D"/>
    <w:rsid w:val="00E073B5"/>
    <w:rsid w:val="00E534F5"/>
    <w:rsid w:val="00E963A3"/>
  </w:rsids>
  <m:mathPr>
    <m:mathFont m:val="Cambria Math"/>
    <m:brkBin m:val="before"/>
    <m:brkBinSub m:val="--"/>
    <m:smallFrac m:val="0"/>
    <m:dispDef/>
    <m:lMargin m:val="0"/>
    <m:rMargin m:val="0"/>
    <m:defJc m:val="centerGroup"/>
    <m:wrapIndent m:val="1440"/>
    <m:intLim m:val="subSup"/>
    <m:naryLim m:val="undOvr"/>
  </m:mathPr>
  <w:themeFontLang w:val="en-I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25F80"/>
  <w15:docId w15:val="{F2CC58D7-AF9B-1A4A-AF80-E17DC3506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uiPriority w:val="9"/>
    <w:qFormat/>
    <w:pPr>
      <w:keepNext/>
      <w:keepLines/>
      <w:spacing w:before="480" w:after="80"/>
      <w:outlineLvl w:val="0"/>
    </w:pPr>
    <w:rPr>
      <w:rFonts w:ascii="DengXian Light" w:eastAsia="DengXian Light" w:hAnsi="DengXian Light" w:cs="DengXian Light"/>
      <w:color w:val="0F4761"/>
      <w:sz w:val="48"/>
    </w:rPr>
  </w:style>
  <w:style w:type="paragraph" w:styleId="Heading2">
    <w:name w:val="heading 2"/>
    <w:basedOn w:val="Normal"/>
    <w:next w:val="Normal"/>
    <w:uiPriority w:val="9"/>
    <w:semiHidden/>
    <w:unhideWhenUsed/>
    <w:qFormat/>
    <w:pPr>
      <w:keepNext/>
      <w:keepLines/>
      <w:spacing w:before="160" w:after="80"/>
      <w:outlineLvl w:val="1"/>
    </w:pPr>
    <w:rPr>
      <w:rFonts w:ascii="DengXian Light" w:eastAsia="DengXian Light" w:hAnsi="DengXian Light" w:cs="DengXian Light"/>
      <w:color w:val="0F4761"/>
      <w:sz w:val="40"/>
    </w:rPr>
  </w:style>
  <w:style w:type="paragraph" w:styleId="Heading3">
    <w:name w:val="heading 3"/>
    <w:basedOn w:val="Normal"/>
    <w:next w:val="Normal"/>
    <w:uiPriority w:val="9"/>
    <w:semiHidden/>
    <w:unhideWhenUsed/>
    <w:qFormat/>
    <w:pPr>
      <w:keepNext/>
      <w:keepLines/>
      <w:spacing w:before="160" w:after="80"/>
      <w:outlineLvl w:val="2"/>
    </w:pPr>
    <w:rPr>
      <w:rFonts w:ascii="DengXian Light" w:eastAsia="DengXian Light" w:hAnsi="DengXian Light" w:cs="DengXian Light"/>
      <w:color w:val="0F4761"/>
      <w:sz w:val="32"/>
    </w:rPr>
  </w:style>
  <w:style w:type="paragraph" w:styleId="Heading4">
    <w:name w:val="heading 4"/>
    <w:basedOn w:val="Normal"/>
    <w:next w:val="Normal"/>
    <w:uiPriority w:val="9"/>
    <w:semiHidden/>
    <w:unhideWhenUsed/>
    <w:qFormat/>
    <w:pPr>
      <w:keepNext/>
      <w:keepLines/>
      <w:spacing w:before="80" w:after="40"/>
      <w:outlineLvl w:val="3"/>
    </w:pPr>
    <w:rPr>
      <w:color w:val="0F4761"/>
      <w:sz w:val="28"/>
    </w:rPr>
  </w:style>
  <w:style w:type="paragraph" w:styleId="Heading5">
    <w:name w:val="heading 5"/>
    <w:basedOn w:val="Normal"/>
    <w:next w:val="Normal"/>
    <w:uiPriority w:val="9"/>
    <w:semiHidden/>
    <w:unhideWhenUsed/>
    <w:qFormat/>
    <w:pPr>
      <w:keepNext/>
      <w:keepLines/>
      <w:spacing w:before="80" w:after="40"/>
      <w:outlineLvl w:val="4"/>
    </w:pPr>
    <w:rPr>
      <w:color w:val="0F4761"/>
      <w:sz w:val="24"/>
    </w:rPr>
  </w:style>
  <w:style w:type="paragraph" w:styleId="Heading6">
    <w:name w:val="heading 6"/>
    <w:basedOn w:val="Normal"/>
    <w:next w:val="Normal"/>
    <w:uiPriority w:val="9"/>
    <w:semiHidden/>
    <w:unhideWhenUsed/>
    <w:qFormat/>
    <w:pPr>
      <w:keepNext/>
      <w:keepLines/>
      <w:spacing w:before="40"/>
      <w:outlineLvl w:val="5"/>
    </w:pPr>
    <w:rPr>
      <w:b/>
      <w:color w:val="0F4761"/>
    </w:rPr>
  </w:style>
  <w:style w:type="paragraph" w:styleId="Heading7">
    <w:name w:val="heading 7"/>
    <w:basedOn w:val="Normal"/>
    <w:next w:val="Normal"/>
    <w:uiPriority w:val="9"/>
    <w:semiHidden/>
    <w:unhideWhenUsed/>
    <w:qFormat/>
    <w:pPr>
      <w:keepNext/>
      <w:keepLines/>
      <w:spacing w:before="40"/>
      <w:outlineLvl w:val="6"/>
    </w:pPr>
    <w:rPr>
      <w:b/>
      <w:color w:val="595959"/>
    </w:rPr>
  </w:style>
  <w:style w:type="paragraph" w:styleId="Heading8">
    <w:name w:val="heading 8"/>
    <w:basedOn w:val="Normal"/>
    <w:next w:val="Normal"/>
    <w:uiPriority w:val="9"/>
    <w:semiHidden/>
    <w:unhideWhenUsed/>
    <w:qFormat/>
    <w:pPr>
      <w:keepNext/>
      <w:keepLines/>
      <w:outlineLvl w:val="7"/>
    </w:pPr>
    <w:rPr>
      <w:color w:val="595959"/>
    </w:rPr>
  </w:style>
  <w:style w:type="paragraph" w:styleId="Heading9">
    <w:name w:val="heading 9"/>
    <w:basedOn w:val="Normal"/>
    <w:next w:val="Normal"/>
    <w:uiPriority w:val="9"/>
    <w:semiHidden/>
    <w:unhideWhenUsed/>
    <w:qFormat/>
    <w:pPr>
      <w:keepNext/>
      <w:keepLines/>
      <w:outlineLvl w:val="8"/>
    </w:pPr>
    <w:rPr>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jc w:val="center"/>
    </w:pPr>
    <w:rPr>
      <w:rFonts w:ascii="DengXian Light" w:eastAsia="DengXian Light" w:hAnsi="DengXian Light" w:cs="DengXian Light"/>
      <w:sz w:val="56"/>
    </w:rPr>
  </w:style>
  <w:style w:type="paragraph" w:styleId="Subtitle">
    <w:name w:val="Subtitle"/>
    <w:basedOn w:val="Normal"/>
    <w:next w:val="Normal"/>
    <w:uiPriority w:val="11"/>
    <w:qFormat/>
    <w:pPr>
      <w:spacing w:after="160"/>
      <w:jc w:val="center"/>
    </w:pPr>
    <w:rPr>
      <w:rFonts w:ascii="DengXian Light" w:eastAsia="DengXian Light" w:hAnsi="DengXian Light" w:cs="DengXian Light"/>
      <w:color w:val="595959"/>
      <w:sz w:val="28"/>
    </w:rPr>
  </w:style>
  <w:style w:type="paragraph" w:customStyle="1" w:styleId="Abstract">
    <w:name w:val="Abstract"/>
    <w:basedOn w:val="Normal"/>
    <w:uiPriority w:val="16"/>
    <w:semiHidden/>
    <w:unhideWhenUsed/>
    <w:pPr>
      <w:spacing w:after="160" w:line="360" w:lineRule="auto"/>
      <w:ind w:left="1440" w:right="1440"/>
    </w:pPr>
    <w:rPr>
      <w:rFonts w:ascii="Calibri" w:eastAsia="Calibri" w:hAnsi="Calibri" w:cs="Calibri"/>
      <w:sz w:val="22"/>
    </w:rPr>
  </w:style>
  <w:style w:type="paragraph" w:customStyle="1" w:styleId="AbstractSubheading">
    <w:name w:val="Abstract Subheading"/>
    <w:basedOn w:val="Normal"/>
    <w:next w:val="Normal"/>
    <w:uiPriority w:val="16"/>
    <w:semiHidden/>
    <w:unhideWhenUsed/>
    <w:pPr>
      <w:keepNext/>
      <w:keepLines/>
      <w:numPr>
        <w:ilvl w:val="8"/>
      </w:numPr>
      <w:ind w:left="1440"/>
      <w:outlineLvl w:val="8"/>
    </w:pPr>
    <w:rPr>
      <w:sz w:val="22"/>
    </w:rPr>
  </w:style>
  <w:style w:type="paragraph" w:customStyle="1" w:styleId="Acknowledgements">
    <w:name w:val="Acknowledgements"/>
    <w:basedOn w:val="Normal"/>
    <w:uiPriority w:val="16"/>
    <w:semiHidden/>
    <w:unhideWhenUsed/>
    <w:pPr>
      <w:shd w:val="clear" w:color="auto" w:fill="F9EDFF"/>
      <w:spacing w:after="160" w:line="396" w:lineRule="auto"/>
    </w:pPr>
    <w:rPr>
      <w:rFonts w:ascii="Calibri" w:eastAsia="Calibri" w:hAnsi="Calibri" w:cs="Calibri"/>
      <w:sz w:val="20"/>
    </w:rPr>
  </w:style>
  <w:style w:type="paragraph" w:customStyle="1" w:styleId="Affiliation">
    <w:name w:val="Affiliation"/>
    <w:basedOn w:val="Normal"/>
    <w:uiPriority w:val="16"/>
    <w:semiHidden/>
    <w:unhideWhenUsed/>
    <w:pPr>
      <w:shd w:val="clear" w:color="auto" w:fill="F4FFED"/>
      <w:spacing w:before="240" w:after="120" w:line="396" w:lineRule="auto"/>
      <w:ind w:left="400" w:hanging="400"/>
      <w:jc w:val="left"/>
    </w:pPr>
    <w:rPr>
      <w:rFonts w:ascii="Calibri" w:eastAsia="Calibri" w:hAnsi="Calibri" w:cs="Calibri"/>
      <w:sz w:val="20"/>
    </w:rPr>
  </w:style>
  <w:style w:type="paragraph" w:customStyle="1" w:styleId="Annotation">
    <w:name w:val="Annotation"/>
    <w:basedOn w:val="Normal"/>
    <w:uiPriority w:val="16"/>
    <w:semiHidden/>
    <w:unhideWhenUsed/>
    <w:pPr>
      <w:spacing w:after="160" w:line="360" w:lineRule="auto"/>
      <w:ind w:left="400"/>
      <w:jc w:val="left"/>
    </w:pPr>
    <w:rPr>
      <w:rFonts w:ascii="Calibri" w:eastAsia="Calibri" w:hAnsi="Calibri" w:cs="Calibri"/>
      <w:sz w:val="22"/>
    </w:rPr>
  </w:style>
  <w:style w:type="paragraph" w:customStyle="1" w:styleId="Authors">
    <w:name w:val="Authors"/>
    <w:basedOn w:val="Normal"/>
    <w:uiPriority w:val="16"/>
    <w:semiHidden/>
    <w:unhideWhenUsed/>
    <w:pPr>
      <w:spacing w:before="360" w:after="120" w:line="283" w:lineRule="auto"/>
      <w:jc w:val="left"/>
    </w:pPr>
    <w:rPr>
      <w:rFonts w:ascii="Calibri" w:eastAsia="Calibri" w:hAnsi="Calibri" w:cs="Calibri"/>
      <w:sz w:val="28"/>
    </w:rPr>
  </w:style>
  <w:style w:type="paragraph" w:customStyle="1" w:styleId="Biography">
    <w:name w:val="Biography"/>
    <w:basedOn w:val="Normal"/>
    <w:uiPriority w:val="16"/>
    <w:semiHidden/>
    <w:unhideWhenUsed/>
    <w:pPr>
      <w:shd w:val="clear" w:color="auto" w:fill="EEFEF4"/>
      <w:spacing w:after="160" w:line="396" w:lineRule="auto"/>
    </w:pPr>
    <w:rPr>
      <w:rFonts w:ascii="Calibri" w:eastAsia="Calibri" w:hAnsi="Calibri" w:cs="Calibri"/>
      <w:sz w:val="20"/>
    </w:rPr>
  </w:style>
  <w:style w:type="paragraph" w:styleId="BlockText">
    <w:name w:val="Block Text"/>
    <w:basedOn w:val="Normal"/>
    <w:uiPriority w:val="16"/>
    <w:semiHidden/>
    <w:unhideWhenUsed/>
    <w:pPr>
      <w:spacing w:after="160" w:line="360" w:lineRule="auto"/>
      <w:ind w:left="1200"/>
    </w:pPr>
    <w:rPr>
      <w:rFonts w:ascii="Calibri" w:eastAsia="Calibri" w:hAnsi="Calibri" w:cs="Calibri"/>
      <w:sz w:val="22"/>
    </w:rPr>
  </w:style>
  <w:style w:type="paragraph" w:styleId="Caption">
    <w:name w:val="caption"/>
    <w:basedOn w:val="Normal"/>
    <w:uiPriority w:val="16"/>
    <w:semiHidden/>
    <w:unhideWhenUsed/>
    <w:pPr>
      <w:shd w:val="clear" w:color="auto" w:fill="FFF5ED"/>
      <w:spacing w:before="240" w:line="349" w:lineRule="auto"/>
    </w:pPr>
    <w:rPr>
      <w:rFonts w:ascii="Calibri" w:eastAsia="Calibri" w:hAnsi="Calibri" w:cs="Calibri"/>
      <w:sz w:val="22"/>
    </w:rPr>
  </w:style>
  <w:style w:type="paragraph" w:customStyle="1" w:styleId="ChapterNumber">
    <w:name w:val="Chapter Number"/>
    <w:basedOn w:val="Normal"/>
    <w:uiPriority w:val="16"/>
    <w:semiHidden/>
    <w:unhideWhenUsed/>
    <w:rPr>
      <w:rFonts w:ascii="Calibri" w:eastAsia="Calibri" w:hAnsi="Calibri" w:cs="Calibri"/>
    </w:rPr>
  </w:style>
  <w:style w:type="paragraph" w:customStyle="1" w:styleId="Copyright">
    <w:name w:val="Copyright"/>
    <w:basedOn w:val="Normal"/>
    <w:uiPriority w:val="16"/>
    <w:semiHidden/>
    <w:unhideWhenUsed/>
    <w:pPr>
      <w:shd w:val="clear" w:color="auto" w:fill="E9F9FF"/>
    </w:pPr>
    <w:rPr>
      <w:rFonts w:ascii="Calibri" w:eastAsia="Calibri" w:hAnsi="Calibri" w:cs="Calibri"/>
      <w:sz w:val="18"/>
    </w:rPr>
  </w:style>
  <w:style w:type="paragraph" w:customStyle="1" w:styleId="Correspondence">
    <w:name w:val="Correspondence"/>
    <w:basedOn w:val="Normal"/>
    <w:uiPriority w:val="16"/>
    <w:semiHidden/>
    <w:unhideWhenUsed/>
    <w:pPr>
      <w:shd w:val="clear" w:color="auto" w:fill="F3F7F9"/>
      <w:spacing w:before="240" w:after="120" w:line="396" w:lineRule="auto"/>
      <w:ind w:left="400" w:hanging="400"/>
      <w:jc w:val="left"/>
    </w:pPr>
    <w:rPr>
      <w:rFonts w:ascii="Calibri" w:eastAsia="Calibri" w:hAnsi="Calibri" w:cs="Calibri"/>
      <w:sz w:val="20"/>
    </w:rPr>
  </w:style>
  <w:style w:type="paragraph" w:customStyle="1" w:styleId="Formula">
    <w:name w:val="Formula"/>
    <w:basedOn w:val="Normal"/>
    <w:uiPriority w:val="16"/>
    <w:semiHidden/>
    <w:unhideWhenUsed/>
    <w:pPr>
      <w:shd w:val="clear" w:color="auto" w:fill="FFF5ED"/>
      <w:spacing w:before="120" w:after="120" w:line="360" w:lineRule="auto"/>
      <w:jc w:val="left"/>
    </w:pPr>
    <w:rPr>
      <w:rFonts w:ascii="Calibri" w:eastAsia="Calibri" w:hAnsi="Calibri" w:cs="Calibri"/>
      <w:sz w:val="22"/>
    </w:rPr>
  </w:style>
  <w:style w:type="paragraph" w:customStyle="1" w:styleId="Glossary">
    <w:name w:val="Glossary"/>
    <w:basedOn w:val="Normal"/>
    <w:uiPriority w:val="16"/>
    <w:semiHidden/>
    <w:unhideWhenUsed/>
    <w:pPr>
      <w:shd w:val="clear" w:color="auto" w:fill="FFEDF0"/>
      <w:spacing w:before="120" w:after="120" w:line="432" w:lineRule="auto"/>
    </w:pPr>
    <w:rPr>
      <w:rFonts w:ascii="Calibri" w:eastAsia="Calibri" w:hAnsi="Calibri" w:cs="Calibri"/>
      <w:sz w:val="20"/>
    </w:rPr>
  </w:style>
  <w:style w:type="paragraph" w:customStyle="1" w:styleId="Keywords">
    <w:name w:val="Keywords"/>
    <w:basedOn w:val="Normal"/>
    <w:uiPriority w:val="16"/>
    <w:semiHidden/>
    <w:unhideWhenUsed/>
    <w:pPr>
      <w:spacing w:line="396" w:lineRule="auto"/>
      <w:ind w:left="1000"/>
      <w:jc w:val="left"/>
    </w:pPr>
    <w:rPr>
      <w:rFonts w:ascii="Calibri" w:eastAsia="Calibri" w:hAnsi="Calibri" w:cs="Calibri"/>
      <w:sz w:val="20"/>
    </w:rPr>
  </w:style>
  <w:style w:type="paragraph" w:customStyle="1" w:styleId="Note">
    <w:name w:val="Note"/>
    <w:basedOn w:val="Normal"/>
    <w:uiPriority w:val="16"/>
    <w:semiHidden/>
    <w:unhideWhenUsed/>
    <w:pPr>
      <w:shd w:val="clear" w:color="auto" w:fill="EDF0FF"/>
      <w:spacing w:line="432" w:lineRule="auto"/>
    </w:pPr>
    <w:rPr>
      <w:rFonts w:ascii="Calibri" w:eastAsia="Calibri" w:hAnsi="Calibri" w:cs="Calibri"/>
      <w:sz w:val="20"/>
    </w:rPr>
  </w:style>
  <w:style w:type="paragraph" w:customStyle="1" w:styleId="Quotation">
    <w:name w:val="Quotation"/>
    <w:basedOn w:val="Normal"/>
    <w:uiPriority w:val="16"/>
    <w:semiHidden/>
    <w:unhideWhenUsed/>
    <w:pPr>
      <w:spacing w:after="160" w:line="360" w:lineRule="auto"/>
      <w:ind w:left="1200" w:right="1200"/>
    </w:pPr>
    <w:rPr>
      <w:rFonts w:ascii="Calibri" w:eastAsia="Calibri" w:hAnsi="Calibri" w:cs="Calibri"/>
      <w:sz w:val="22"/>
    </w:rPr>
  </w:style>
  <w:style w:type="paragraph" w:customStyle="1" w:styleId="QuotationSource">
    <w:name w:val="Quotation Source"/>
    <w:basedOn w:val="Normal"/>
    <w:uiPriority w:val="16"/>
    <w:semiHidden/>
    <w:unhideWhenUsed/>
    <w:pPr>
      <w:spacing w:after="170" w:line="360" w:lineRule="auto"/>
      <w:ind w:left="1200"/>
      <w:jc w:val="right"/>
    </w:pPr>
    <w:rPr>
      <w:rFonts w:ascii="Calibri" w:eastAsia="Calibri" w:hAnsi="Calibri" w:cs="Calibri"/>
      <w:sz w:val="22"/>
    </w:rPr>
  </w:style>
  <w:style w:type="paragraph" w:customStyle="1" w:styleId="Reference">
    <w:name w:val="Reference"/>
    <w:basedOn w:val="Normal"/>
    <w:uiPriority w:val="16"/>
    <w:semiHidden/>
    <w:unhideWhenUsed/>
    <w:pPr>
      <w:spacing w:after="320" w:line="360" w:lineRule="auto"/>
      <w:ind w:left="400" w:hanging="400"/>
    </w:pPr>
    <w:rPr>
      <w:rFonts w:ascii="Calibri" w:eastAsia="Calibri" w:hAnsi="Calibri" w:cs="Calibri"/>
      <w:sz w:val="22"/>
    </w:rPr>
  </w:style>
  <w:style w:type="paragraph" w:customStyle="1" w:styleId="Statement">
    <w:name w:val="Statement"/>
    <w:basedOn w:val="Normal"/>
    <w:uiPriority w:val="16"/>
    <w:semiHidden/>
    <w:unhideWhenUsed/>
    <w:pPr>
      <w:ind w:left="900"/>
    </w:pPr>
    <w:rPr>
      <w:rFonts w:ascii="Calibri" w:eastAsia="Calibri" w:hAnsi="Calibri" w:cs="Calibri"/>
      <w:sz w:val="22"/>
    </w:rPr>
  </w:style>
  <w:style w:type="paragraph" w:customStyle="1" w:styleId="Surtitle">
    <w:name w:val="Surtitle"/>
    <w:basedOn w:val="Normal"/>
    <w:uiPriority w:val="16"/>
    <w:semiHidden/>
    <w:unhideWhenUsed/>
    <w:pPr>
      <w:spacing w:after="160" w:line="208" w:lineRule="auto"/>
      <w:jc w:val="left"/>
    </w:pPr>
    <w:rPr>
      <w:rFonts w:ascii="Calibri" w:eastAsia="Calibri" w:hAnsi="Calibri" w:cs="Calibri"/>
      <w:sz w:val="38"/>
    </w:rPr>
  </w:style>
  <w:style w:type="paragraph" w:customStyle="1" w:styleId="TableBody">
    <w:name w:val="Table Body"/>
    <w:basedOn w:val="Normal"/>
    <w:uiPriority w:val="16"/>
    <w:semiHidden/>
    <w:unhideWhenUsed/>
    <w:pPr>
      <w:spacing w:after="160" w:line="396" w:lineRule="auto"/>
      <w:jc w:val="left"/>
    </w:pPr>
    <w:rPr>
      <w:rFonts w:ascii="Calibri" w:eastAsia="Calibri" w:hAnsi="Calibri" w:cs="Calibri"/>
      <w:sz w:val="20"/>
    </w:rPr>
  </w:style>
  <w:style w:type="paragraph" w:customStyle="1" w:styleId="TableHead">
    <w:name w:val="Table Head"/>
    <w:basedOn w:val="Normal"/>
    <w:uiPriority w:val="16"/>
    <w:semiHidden/>
    <w:unhideWhenUsed/>
    <w:pPr>
      <w:shd w:val="clear" w:color="auto" w:fill="FFEDFA"/>
      <w:jc w:val="left"/>
    </w:pPr>
    <w:rPr>
      <w:rFonts w:ascii="Calibri" w:eastAsia="Calibri" w:hAnsi="Calibri" w:cs="Calibri"/>
      <w:sz w:val="20"/>
    </w:rPr>
  </w:style>
  <w:style w:type="paragraph" w:customStyle="1" w:styleId="TableList">
    <w:name w:val="Table List"/>
    <w:basedOn w:val="Normal"/>
    <w:uiPriority w:val="16"/>
    <w:semiHidden/>
    <w:unhideWhenUsed/>
    <w:pPr>
      <w:ind w:left="300" w:hanging="300"/>
      <w:jc w:val="left"/>
    </w:pPr>
    <w:rPr>
      <w:sz w:val="20"/>
    </w:rPr>
  </w:style>
  <w:style w:type="paragraph" w:customStyle="1" w:styleId="TableNote">
    <w:name w:val="Table Note"/>
    <w:basedOn w:val="Normal"/>
    <w:uiPriority w:val="16"/>
    <w:semiHidden/>
    <w:unhideWhenUsed/>
    <w:rPr>
      <w:rFonts w:ascii="Calibri" w:eastAsia="Calibri" w:hAnsi="Calibri" w:cs="Calibri"/>
      <w:sz w:val="18"/>
    </w:rPr>
  </w:style>
  <w:style w:type="character" w:customStyle="1" w:styleId="ArticleTitle">
    <w:name w:val="Article Title"/>
    <w:basedOn w:val="DefaultParagraphFont"/>
    <w:uiPriority w:val="17"/>
    <w:semiHidden/>
    <w:unhideWhenUsed/>
    <w:rPr>
      <w:shd w:val="clear" w:color="auto" w:fill="E9F9FF"/>
    </w:rPr>
  </w:style>
  <w:style w:type="character" w:customStyle="1" w:styleId="City">
    <w:name w:val="City"/>
    <w:basedOn w:val="DefaultParagraphFont"/>
    <w:uiPriority w:val="17"/>
    <w:semiHidden/>
    <w:unhideWhenUsed/>
    <w:rPr>
      <w:shd w:val="clear" w:color="auto" w:fill="D7D7D7"/>
    </w:rPr>
  </w:style>
  <w:style w:type="character" w:customStyle="1" w:styleId="Conference">
    <w:name w:val="Conference"/>
    <w:basedOn w:val="DefaultParagraphFont"/>
    <w:uiPriority w:val="17"/>
    <w:semiHidden/>
    <w:unhideWhenUsed/>
    <w:rPr>
      <w:shd w:val="clear" w:color="auto" w:fill="FFAFBC"/>
    </w:rPr>
  </w:style>
  <w:style w:type="character" w:customStyle="1" w:styleId="Country">
    <w:name w:val="Country"/>
    <w:basedOn w:val="DefaultParagraphFont"/>
    <w:uiPriority w:val="17"/>
    <w:semiHidden/>
    <w:unhideWhenUsed/>
    <w:rPr>
      <w:shd w:val="clear" w:color="auto" w:fill="97C5D1"/>
    </w:rPr>
  </w:style>
  <w:style w:type="character" w:customStyle="1" w:styleId="Cross-reference">
    <w:name w:val="Cross-reference"/>
    <w:basedOn w:val="DefaultParagraphFont"/>
    <w:uiPriority w:val="17"/>
    <w:semiHidden/>
    <w:unhideWhenUsed/>
    <w:rPr>
      <w:shd w:val="clear" w:color="auto" w:fill="FFE3C9"/>
    </w:rPr>
  </w:style>
  <w:style w:type="character" w:customStyle="1" w:styleId="DatabaseLink">
    <w:name w:val="Database Link"/>
    <w:basedOn w:val="DefaultParagraphFont"/>
    <w:uiPriority w:val="17"/>
    <w:semiHidden/>
    <w:unhideWhenUsed/>
    <w:rPr>
      <w:shd w:val="clear" w:color="auto" w:fill="AFBEFF"/>
    </w:rPr>
  </w:style>
  <w:style w:type="character" w:customStyle="1" w:styleId="Edition">
    <w:name w:val="Edition"/>
    <w:basedOn w:val="DefaultParagraphFont"/>
    <w:uiPriority w:val="17"/>
    <w:semiHidden/>
    <w:unhideWhenUsed/>
    <w:rPr>
      <w:shd w:val="clear" w:color="auto" w:fill="FFF6A4"/>
    </w:rPr>
  </w:style>
  <w:style w:type="character" w:customStyle="1" w:styleId="FamilyName">
    <w:name w:val="Family Name"/>
    <w:basedOn w:val="DefaultParagraphFont"/>
    <w:uiPriority w:val="17"/>
    <w:semiHidden/>
    <w:unhideWhenUsed/>
    <w:rPr>
      <w:shd w:val="clear" w:color="auto" w:fill="88F4BE"/>
    </w:rPr>
  </w:style>
  <w:style w:type="character" w:customStyle="1" w:styleId="GeneSequence">
    <w:name w:val="Gene Sequence"/>
    <w:basedOn w:val="DefaultParagraphFont"/>
    <w:uiPriority w:val="17"/>
    <w:semiHidden/>
    <w:unhideWhenUsed/>
    <w:rPr>
      <w:shd w:val="clear" w:color="auto" w:fill="FFCDF2"/>
    </w:rPr>
  </w:style>
  <w:style w:type="character" w:customStyle="1" w:styleId="GivenName">
    <w:name w:val="Given Name"/>
    <w:basedOn w:val="DefaultParagraphFont"/>
    <w:uiPriority w:val="17"/>
    <w:semiHidden/>
    <w:unhideWhenUsed/>
    <w:rPr>
      <w:shd w:val="clear" w:color="auto" w:fill="D0FCE2"/>
    </w:rPr>
  </w:style>
  <w:style w:type="character" w:customStyle="1" w:styleId="GlossaryTerm">
    <w:name w:val="Glossary Term"/>
    <w:basedOn w:val="DefaultParagraphFont"/>
    <w:uiPriority w:val="17"/>
    <w:semiHidden/>
    <w:unhideWhenUsed/>
    <w:rPr>
      <w:shd w:val="clear" w:color="auto" w:fill="FFCFD7"/>
    </w:rPr>
  </w:style>
  <w:style w:type="character" w:customStyle="1" w:styleId="GrantID">
    <w:name w:val="Grant ID"/>
    <w:basedOn w:val="DefaultParagraphFont"/>
    <w:uiPriority w:val="17"/>
    <w:semiHidden/>
    <w:unhideWhenUsed/>
    <w:rPr>
      <w:shd w:val="clear" w:color="auto" w:fill="DDA5FF"/>
    </w:rPr>
  </w:style>
  <w:style w:type="character" w:customStyle="1" w:styleId="Heading">
    <w:name w:val="Heading:"/>
    <w:basedOn w:val="DefaultParagraphFont"/>
    <w:uiPriority w:val="17"/>
    <w:semiHidden/>
    <w:unhideWhenUsed/>
    <w:rPr>
      <w:color w:val="5B89C1"/>
    </w:rPr>
  </w:style>
  <w:style w:type="character" w:styleId="Hyperlink">
    <w:name w:val="Hyperlink"/>
    <w:basedOn w:val="DefaultParagraphFont"/>
    <w:uiPriority w:val="17"/>
    <w:semiHidden/>
    <w:unhideWhenUsed/>
    <w:rPr>
      <w:color w:val="0563C1"/>
    </w:rPr>
  </w:style>
  <w:style w:type="character" w:customStyle="1" w:styleId="IssueNumber">
    <w:name w:val="Issue Number"/>
    <w:basedOn w:val="DefaultParagraphFont"/>
    <w:uiPriority w:val="17"/>
    <w:semiHidden/>
    <w:unhideWhenUsed/>
    <w:rPr>
      <w:shd w:val="clear" w:color="auto" w:fill="CDD5FF"/>
    </w:rPr>
  </w:style>
  <w:style w:type="character" w:customStyle="1" w:styleId="Label">
    <w:name w:val="Label"/>
    <w:basedOn w:val="DefaultParagraphFont"/>
    <w:uiPriority w:val="17"/>
    <w:semiHidden/>
    <w:unhideWhenUsed/>
    <w:rPr>
      <w:shd w:val="clear" w:color="auto" w:fill="FFC391"/>
      <w:vertAlign w:val="baseline"/>
    </w:rPr>
  </w:style>
  <w:style w:type="character" w:customStyle="1" w:styleId="Location">
    <w:name w:val="Location"/>
    <w:basedOn w:val="DefaultParagraphFont"/>
    <w:uiPriority w:val="17"/>
    <w:semiHidden/>
    <w:unhideWhenUsed/>
    <w:rPr>
      <w:shd w:val="clear" w:color="auto" w:fill="F9EDFF"/>
    </w:rPr>
  </w:style>
  <w:style w:type="character" w:customStyle="1" w:styleId="Miscellaneous">
    <w:name w:val="Miscellaneous"/>
    <w:basedOn w:val="DefaultParagraphFont"/>
    <w:uiPriority w:val="17"/>
    <w:semiHidden/>
    <w:unhideWhenUsed/>
    <w:rPr>
      <w:shd w:val="clear" w:color="auto" w:fill="F0F0F0"/>
    </w:rPr>
  </w:style>
  <w:style w:type="character" w:customStyle="1" w:styleId="NameScientific">
    <w:name w:val="Name Scientific"/>
    <w:basedOn w:val="DefaultParagraphFont"/>
    <w:uiPriority w:val="17"/>
    <w:semiHidden/>
    <w:unhideWhenUsed/>
    <w:rPr>
      <w:shd w:val="clear" w:color="auto" w:fill="91E0FF"/>
    </w:rPr>
  </w:style>
  <w:style w:type="character" w:customStyle="1" w:styleId="Organization">
    <w:name w:val="Organization"/>
    <w:basedOn w:val="DefaultParagraphFont"/>
    <w:uiPriority w:val="17"/>
    <w:semiHidden/>
    <w:unhideWhenUsed/>
    <w:rPr>
      <w:shd w:val="clear" w:color="auto" w:fill="D1FFB5"/>
    </w:rPr>
  </w:style>
  <w:style w:type="character" w:customStyle="1" w:styleId="PageNumbers">
    <w:name w:val="Page Numbers"/>
    <w:basedOn w:val="DefaultParagraphFont"/>
    <w:uiPriority w:val="17"/>
    <w:semiHidden/>
    <w:unhideWhenUsed/>
    <w:rPr>
      <w:shd w:val="clear" w:color="auto" w:fill="FFEDF0"/>
    </w:rPr>
  </w:style>
  <w:style w:type="character" w:customStyle="1" w:styleId="Postcode">
    <w:name w:val="Postcode"/>
    <w:basedOn w:val="DefaultParagraphFont"/>
    <w:uiPriority w:val="17"/>
    <w:semiHidden/>
    <w:unhideWhenUsed/>
    <w:rPr>
      <w:shd w:val="clear" w:color="auto" w:fill="BEBEBE"/>
    </w:rPr>
  </w:style>
  <w:style w:type="character" w:customStyle="1" w:styleId="Publisher">
    <w:name w:val="Publisher"/>
    <w:basedOn w:val="DefaultParagraphFont"/>
    <w:uiPriority w:val="17"/>
    <w:semiHidden/>
    <w:unhideWhenUsed/>
    <w:rPr>
      <w:shd w:val="clear" w:color="auto" w:fill="F2DDFF"/>
    </w:rPr>
  </w:style>
  <w:style w:type="character" w:customStyle="1" w:styleId="Region">
    <w:name w:val="Region"/>
    <w:basedOn w:val="DefaultParagraphFont"/>
    <w:uiPriority w:val="17"/>
    <w:semiHidden/>
    <w:unhideWhenUsed/>
    <w:rPr>
      <w:shd w:val="clear" w:color="auto" w:fill="D8E9EE"/>
    </w:rPr>
  </w:style>
  <w:style w:type="character" w:customStyle="1" w:styleId="Source">
    <w:name w:val="Source"/>
    <w:basedOn w:val="DefaultParagraphFont"/>
    <w:uiPriority w:val="17"/>
    <w:semiHidden/>
    <w:unhideWhenUsed/>
    <w:rPr>
      <w:shd w:val="clear" w:color="auto" w:fill="C1EDFF"/>
    </w:rPr>
  </w:style>
  <w:style w:type="character" w:customStyle="1" w:styleId="VolumeNumber">
    <w:name w:val="Volume Number"/>
    <w:basedOn w:val="DefaultParagraphFont"/>
    <w:uiPriority w:val="17"/>
    <w:semiHidden/>
    <w:unhideWhenUsed/>
    <w:rPr>
      <w:shd w:val="clear" w:color="auto" w:fill="EDF0FF"/>
    </w:rPr>
  </w:style>
  <w:style w:type="character" w:customStyle="1" w:styleId="Year">
    <w:name w:val="Year"/>
    <w:basedOn w:val="DefaultParagraphFont"/>
    <w:uiPriority w:val="17"/>
    <w:semiHidden/>
    <w:unhideWhenUsed/>
    <w:rPr>
      <w:shd w:val="clear" w:color="auto" w:fill="FFF9C9"/>
    </w:rPr>
  </w:style>
  <w:style w:type="character" w:styleId="IntenseEmphasis">
    <w:name w:val="Intense Emphasis"/>
    <w:basedOn w:val="DefaultParagraphFont"/>
    <w:uiPriority w:val="21"/>
    <w:qFormat/>
    <w:rPr>
      <w:i/>
      <w:color w:val="0F4761"/>
    </w:rPr>
  </w:style>
  <w:style w:type="paragraph" w:styleId="Quote">
    <w:name w:val="Quote"/>
    <w:basedOn w:val="Normal"/>
    <w:next w:val="Normal"/>
    <w:uiPriority w:val="29"/>
    <w:qFormat/>
    <w:pPr>
      <w:spacing w:before="160" w:after="160"/>
      <w:jc w:val="center"/>
    </w:pPr>
    <w:rPr>
      <w:i/>
      <w:color w:val="404040"/>
    </w:rPr>
  </w:style>
  <w:style w:type="paragraph" w:styleId="IntenseQuote">
    <w:name w:val="Intense Quote"/>
    <w:basedOn w:val="Normal"/>
    <w:next w:val="Normal"/>
    <w:uiPriority w:val="30"/>
    <w:qFormat/>
    <w:pPr>
      <w:pBdr>
        <w:top w:val="single" w:sz="4" w:space="10" w:color="0F4761"/>
        <w:bottom w:val="single" w:sz="4" w:space="10" w:color="0F4761"/>
      </w:pBdr>
      <w:spacing w:before="360" w:after="360"/>
      <w:ind w:left="864" w:right="864"/>
      <w:jc w:val="center"/>
    </w:pPr>
    <w:rPr>
      <w:i/>
      <w:color w:val="0F4761"/>
    </w:rPr>
  </w:style>
  <w:style w:type="character" w:styleId="IntenseReference">
    <w:name w:val="Intense Reference"/>
    <w:basedOn w:val="DefaultParagraphFont"/>
    <w:uiPriority w:val="32"/>
    <w:qFormat/>
    <w:rPr>
      <w:b/>
      <w:caps w:val="0"/>
      <w:smallCaps/>
      <w:color w:val="0F4761"/>
    </w:rPr>
  </w:style>
  <w:style w:type="paragraph" w:styleId="ListParagraph">
    <w:name w:val="List Paragraph"/>
    <w:basedOn w:val="Normal"/>
    <w:uiPriority w:val="34"/>
    <w:qFormat/>
    <w:pPr>
      <w:ind w:left="720"/>
      <w:contextualSpacing/>
    </w:pPr>
  </w:style>
  <w:style w:type="paragraph" w:styleId="TOC1">
    <w:name w:val="toc 1"/>
    <w:basedOn w:val="Normal"/>
    <w:uiPriority w:val="39"/>
    <w:semiHidden/>
    <w:unhideWhenUsed/>
    <w:pPr>
      <w:spacing w:line="305" w:lineRule="auto"/>
    </w:pPr>
    <w:rPr>
      <w:rFonts w:ascii="Calibri" w:eastAsia="Calibri" w:hAnsi="Calibri" w:cs="Calibri"/>
      <w:sz w:val="26"/>
    </w:rPr>
  </w:style>
  <w:style w:type="paragraph" w:styleId="TOC2">
    <w:name w:val="toc 2"/>
    <w:basedOn w:val="Normal"/>
    <w:uiPriority w:val="39"/>
    <w:semiHidden/>
    <w:unhideWhenUsed/>
    <w:pPr>
      <w:spacing w:line="330" w:lineRule="auto"/>
    </w:pPr>
    <w:rPr>
      <w:rFonts w:ascii="Calibri" w:eastAsia="Calibri" w:hAnsi="Calibri" w:cs="Calibri"/>
      <w:sz w:val="24"/>
    </w:rPr>
  </w:style>
  <w:style w:type="paragraph" w:styleId="TOC3">
    <w:name w:val="toc 3"/>
    <w:basedOn w:val="Normal"/>
    <w:uiPriority w:val="39"/>
    <w:semiHidden/>
    <w:unhideWhenUsed/>
    <w:pPr>
      <w:spacing w:line="360" w:lineRule="auto"/>
    </w:pPr>
    <w:rPr>
      <w:rFonts w:ascii="Calibri" w:eastAsia="Calibri" w:hAnsi="Calibri" w:cs="Calibri"/>
      <w:sz w:val="22"/>
    </w:rPr>
  </w:style>
  <w:style w:type="paragraph" w:styleId="TOC4">
    <w:name w:val="toc 4"/>
    <w:basedOn w:val="Normal"/>
    <w:uiPriority w:val="39"/>
    <w:semiHidden/>
    <w:unhideWhenUsed/>
    <w:pPr>
      <w:spacing w:line="330" w:lineRule="exact"/>
    </w:pPr>
    <w:rPr>
      <w:rFonts w:ascii="Calibri" w:eastAsia="Calibri" w:hAnsi="Calibri" w:cs="Calibri"/>
    </w:rPr>
  </w:style>
  <w:style w:type="paragraph" w:styleId="TOC5">
    <w:name w:val="toc 5"/>
    <w:basedOn w:val="Normal"/>
    <w:uiPriority w:val="39"/>
    <w:semiHidden/>
    <w:unhideWhenUsed/>
    <w:pPr>
      <w:spacing w:line="330" w:lineRule="exact"/>
    </w:pPr>
    <w:rPr>
      <w:rFonts w:ascii="Calibri" w:eastAsia="Calibri" w:hAnsi="Calibri" w:cs="Calibri"/>
    </w:rPr>
  </w:style>
  <w:style w:type="paragraph" w:styleId="TOC6">
    <w:name w:val="toc 6"/>
    <w:basedOn w:val="Normal"/>
    <w:uiPriority w:val="39"/>
    <w:semiHidden/>
    <w:unhideWhenUsed/>
    <w:pPr>
      <w:spacing w:line="330" w:lineRule="exact"/>
    </w:pPr>
    <w:rPr>
      <w:rFonts w:ascii="Calibri" w:eastAsia="Calibri" w:hAnsi="Calibri" w:cs="Calibri"/>
    </w:rPr>
  </w:style>
  <w:style w:type="paragraph" w:styleId="TOC7">
    <w:name w:val="toc 7"/>
    <w:basedOn w:val="Normal"/>
    <w:uiPriority w:val="39"/>
    <w:semiHidden/>
    <w:unhideWhenUsed/>
    <w:pPr>
      <w:spacing w:line="330" w:lineRule="exact"/>
    </w:pPr>
    <w:rPr>
      <w:rFonts w:ascii="Calibri" w:eastAsia="Calibri" w:hAnsi="Calibri" w:cs="Calibri"/>
    </w:rPr>
  </w:style>
  <w:style w:type="paragraph" w:styleId="TOC8">
    <w:name w:val="toc 8"/>
    <w:basedOn w:val="Normal"/>
    <w:uiPriority w:val="39"/>
    <w:semiHidden/>
    <w:unhideWhenUsed/>
    <w:pPr>
      <w:spacing w:line="330" w:lineRule="exact"/>
    </w:pPr>
    <w:rPr>
      <w:rFonts w:ascii="Calibri" w:eastAsia="Calibri" w:hAnsi="Calibri" w:cs="Calibri"/>
    </w:rPr>
  </w:style>
  <w:style w:type="paragraph" w:styleId="TOC9">
    <w:name w:val="toc 9"/>
    <w:basedOn w:val="Normal"/>
    <w:uiPriority w:val="39"/>
    <w:semiHidden/>
    <w:unhideWhenUsed/>
    <w:pPr>
      <w:spacing w:line="330" w:lineRule="exact"/>
    </w:pPr>
    <w:rPr>
      <w:rFonts w:ascii="Calibri" w:eastAsia="Calibri" w:hAnsi="Calibri" w:cs="Calibri"/>
    </w:r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jc w:val="left"/>
    </w:pPr>
    <w:rPr>
      <w:rFonts w:ascii="Calibri" w:eastAsia="Calibri" w:hAnsi="Calibri" w:cs="Calibri"/>
      <w:sz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uiPriority w:val="99"/>
    <w:semiHidden/>
    <w:unhideWhenUsed/>
    <w:rPr>
      <w:rFonts w:ascii="Calibri" w:eastAsia="Calibri" w:hAnsi="Calibri" w:cs="Calibri"/>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uiPriority w:val="99"/>
    <w:semiHidden/>
    <w:unhideWhenUsed/>
    <w:rPr>
      <w:rFonts w:ascii="Calibri" w:eastAsia="Calibri" w:hAnsi="Calibri" w:cs="Calibri"/>
    </w:rPr>
  </w:style>
  <w:style w:type="paragraph" w:styleId="List">
    <w:name w:val="List"/>
    <w:basedOn w:val="Normal"/>
    <w:uiPriority w:val="99"/>
    <w:semiHidden/>
    <w:unhideWhenUsed/>
    <w:pPr>
      <w:spacing w:line="360" w:lineRule="auto"/>
      <w:ind w:left="400" w:hanging="400"/>
    </w:pPr>
    <w:rPr>
      <w:rFonts w:ascii="Calibri" w:eastAsia="Calibri" w:hAnsi="Calibri" w:cs="Calibri"/>
      <w:sz w:val="22"/>
    </w:rPr>
  </w:style>
  <w:style w:type="paragraph" w:customStyle="1" w:styleId="List1">
    <w:name w:val="List 1"/>
    <w:basedOn w:val="Normal"/>
    <w:uiPriority w:val="99"/>
    <w:semiHidden/>
    <w:unhideWhenUsed/>
    <w:pPr>
      <w:ind w:left="1200" w:hanging="600"/>
    </w:pPr>
    <w:rPr>
      <w:rFonts w:ascii="Times New Roman" w:eastAsia="Times New Roman" w:hAnsi="Times New Roman" w:cs="Times New Roman"/>
      <w:sz w:val="22"/>
    </w:rPr>
  </w:style>
  <w:style w:type="paragraph" w:styleId="List2">
    <w:name w:val="List 2"/>
    <w:basedOn w:val="Normal"/>
    <w:uiPriority w:val="99"/>
    <w:semiHidden/>
    <w:unhideWhenUsed/>
    <w:pPr>
      <w:spacing w:line="360" w:lineRule="auto"/>
      <w:ind w:left="800" w:hanging="400"/>
    </w:pPr>
    <w:rPr>
      <w:rFonts w:ascii="Calibri" w:eastAsia="Calibri" w:hAnsi="Calibri" w:cs="Calibri"/>
      <w:sz w:val="22"/>
    </w:rPr>
  </w:style>
  <w:style w:type="paragraph" w:styleId="List3">
    <w:name w:val="List 3"/>
    <w:basedOn w:val="Normal"/>
    <w:uiPriority w:val="99"/>
    <w:semiHidden/>
    <w:unhideWhenUsed/>
    <w:pPr>
      <w:spacing w:line="360" w:lineRule="auto"/>
      <w:ind w:left="1200" w:hanging="400"/>
    </w:pPr>
    <w:rPr>
      <w:rFonts w:ascii="Calibri" w:eastAsia="Calibri" w:hAnsi="Calibri" w:cs="Calibri"/>
      <w:sz w:val="22"/>
    </w:rPr>
  </w:style>
  <w:style w:type="paragraph" w:styleId="List4">
    <w:name w:val="List 4"/>
    <w:basedOn w:val="Normal"/>
    <w:uiPriority w:val="99"/>
    <w:semiHidden/>
    <w:unhideWhenUsed/>
    <w:pPr>
      <w:spacing w:line="360" w:lineRule="auto"/>
      <w:ind w:left="1600" w:hanging="400"/>
    </w:pPr>
    <w:rPr>
      <w:rFonts w:ascii="Calibri" w:eastAsia="Calibri" w:hAnsi="Calibri" w:cs="Calibri"/>
      <w:sz w:val="22"/>
    </w:rPr>
  </w:style>
  <w:style w:type="paragraph" w:styleId="List5">
    <w:name w:val="List 5"/>
    <w:basedOn w:val="Normal"/>
    <w:uiPriority w:val="99"/>
    <w:semiHidden/>
    <w:unhideWhenUsed/>
    <w:pPr>
      <w:spacing w:line="360" w:lineRule="auto"/>
      <w:ind w:left="1800" w:hanging="400"/>
    </w:pPr>
    <w:rPr>
      <w:rFonts w:ascii="Calibri" w:eastAsia="Calibri" w:hAnsi="Calibri" w:cs="Calibri"/>
      <w:sz w:val="22"/>
    </w:rPr>
  </w:style>
  <w:style w:type="paragraph" w:customStyle="1" w:styleId="List6">
    <w:name w:val="List 6"/>
    <w:basedOn w:val="Normal"/>
    <w:uiPriority w:val="99"/>
    <w:semiHidden/>
    <w:unhideWhenUsed/>
    <w:pPr>
      <w:spacing w:line="360" w:lineRule="auto"/>
      <w:ind w:left="1860" w:hanging="400"/>
    </w:pPr>
    <w:rPr>
      <w:rFonts w:ascii="Calibri" w:eastAsia="Calibri" w:hAnsi="Calibri" w:cs="Calibri"/>
      <w:sz w:val="22"/>
    </w:rPr>
  </w:style>
  <w:style w:type="paragraph" w:customStyle="1" w:styleId="List7">
    <w:name w:val="List 7"/>
    <w:basedOn w:val="Normal"/>
    <w:uiPriority w:val="99"/>
    <w:semiHidden/>
    <w:unhideWhenUsed/>
    <w:pPr>
      <w:spacing w:line="360" w:lineRule="auto"/>
      <w:ind w:left="1920" w:hanging="400"/>
    </w:pPr>
    <w:rPr>
      <w:rFonts w:ascii="Calibri" w:eastAsia="Calibri" w:hAnsi="Calibri" w:cs="Calibri"/>
      <w:sz w:val="22"/>
    </w:rPr>
  </w:style>
  <w:style w:type="paragraph" w:customStyle="1" w:styleId="List8">
    <w:name w:val="List 8"/>
    <w:basedOn w:val="Normal"/>
    <w:uiPriority w:val="99"/>
    <w:semiHidden/>
    <w:unhideWhenUsed/>
    <w:pPr>
      <w:spacing w:line="360" w:lineRule="auto"/>
      <w:ind w:left="1980" w:hanging="400"/>
    </w:pPr>
    <w:rPr>
      <w:rFonts w:ascii="Calibri" w:eastAsia="Calibri" w:hAnsi="Calibri" w:cs="Calibri"/>
      <w:sz w:val="22"/>
    </w:rPr>
  </w:style>
  <w:style w:type="paragraph" w:customStyle="1" w:styleId="List9">
    <w:name w:val="List 9"/>
    <w:basedOn w:val="Normal"/>
    <w:uiPriority w:val="99"/>
    <w:semiHidden/>
    <w:unhideWhenUsed/>
    <w:pPr>
      <w:ind w:left="1200" w:hanging="600"/>
    </w:pPr>
    <w:rPr>
      <w:rFonts w:ascii="Times New Roman" w:eastAsia="Times New Roman" w:hAnsi="Times New Roman" w:cs="Times New Roman"/>
      <w:sz w:val="22"/>
    </w:rPr>
  </w:style>
  <w:style w:type="paragraph" w:styleId="Revision">
    <w:name w:val="Revision"/>
    <w:hidden/>
    <w:uiPriority w:val="99"/>
    <w:semiHidden/>
    <w:rsid w:val="00531E7C"/>
  </w:style>
  <w:style w:type="paragraph" w:styleId="CommentSubject">
    <w:name w:val="annotation subject"/>
    <w:basedOn w:val="CommentText"/>
    <w:next w:val="CommentText"/>
    <w:link w:val="CommentSubjectChar"/>
    <w:uiPriority w:val="99"/>
    <w:semiHidden/>
    <w:unhideWhenUsed/>
    <w:rsid w:val="008A2416"/>
    <w:pPr>
      <w:jc w:val="both"/>
    </w:pPr>
    <w:rPr>
      <w:rFonts w:asciiTheme="minorHAnsi" w:eastAsiaTheme="minorEastAsia" w:hAnsiTheme="minorHAnsi" w:cstheme="minorBidi"/>
      <w:b/>
      <w:bCs/>
      <w:szCs w:val="20"/>
    </w:rPr>
  </w:style>
  <w:style w:type="character" w:customStyle="1" w:styleId="CommentTextChar">
    <w:name w:val="Comment Text Char"/>
    <w:basedOn w:val="DefaultParagraphFont"/>
    <w:link w:val="CommentText"/>
    <w:uiPriority w:val="99"/>
    <w:semiHidden/>
    <w:rsid w:val="008A2416"/>
    <w:rPr>
      <w:rFonts w:ascii="Calibri" w:eastAsia="Calibri" w:hAnsi="Calibri" w:cs="Calibri"/>
      <w:sz w:val="20"/>
    </w:rPr>
  </w:style>
  <w:style w:type="character" w:customStyle="1" w:styleId="CommentSubjectChar">
    <w:name w:val="Comment Subject Char"/>
    <w:basedOn w:val="CommentTextChar"/>
    <w:link w:val="CommentSubject"/>
    <w:uiPriority w:val="99"/>
    <w:semiHidden/>
    <w:rsid w:val="008A2416"/>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782</Words>
  <Characters>4458</Characters>
  <Application>Microsoft Office Word</Application>
  <DocSecurity>0</DocSecurity>
  <Lines>37</Lines>
  <Paragraphs>10</Paragraphs>
  <ScaleCrop>false</ScaleCrop>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Author</cp:lastModifiedBy>
  <cp:revision>12</cp:revision>
  <dcterms:created xsi:type="dcterms:W3CDTF">2026-08-19T03:56:00Z</dcterms:created>
  <dcterms:modified xsi:type="dcterms:W3CDTF">2026-08-26T04:31:00Z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
  </property>
  <property fmtid="{D5CDD505-2E9C-101B-9397-08002B2CF9AE}" pid="3" name="DOI">
    <vt:lpwstr/>
  </property>
  <property fmtid="{D5CDD505-2E9C-101B-9397-08002B2CF9AE}" pid="4" name="epub">
    <vt:lpwstr/>
  </property>
  <property fmtid="{D5CDD505-2E9C-101B-9397-08002B2CF9AE}" pid="5" name="JournalID">
    <vt:lpwstr/>
  </property>
  <property fmtid="{D5CDD505-2E9C-101B-9397-08002B2CF9AE}" pid="6" name="Merops -Original extension">
    <vt:lpwstr>docx</vt:lpwstr>
  </property>
  <property fmtid="{D5CDD505-2E9C-101B-9397-08002B2CF9AE}" pid="7" name="Merops change count">
    <vt:lpwstr>0</vt:lpwstr>
  </property>
  <property fmtid="{D5CDD505-2E9C-101B-9397-08002B2CF9AE}" pid="8" name="Merops client version">
    <vt:lpwstr/>
  </property>
  <property fmtid="{D5CDD505-2E9C-101B-9397-08002B2CF9AE}" pid="9" name="Merops comment count">
    <vt:lpwstr>0</vt:lpwstr>
  </property>
  <property fmtid="{D5CDD505-2E9C-101B-9397-08002B2CF9AE}" pid="10" name="Merops DOI links count">
    <vt:lpwstr>0</vt:lpwstr>
  </property>
  <property fmtid="{D5CDD505-2E9C-101B-9397-08002B2CF9AE}" pid="11" name="Merops email addresses count">
    <vt:lpwstr>0</vt:lpwstr>
  </property>
  <property fmtid="{D5CDD505-2E9C-101B-9397-08002B2CF9AE}" pid="12" name="Merops figures count">
    <vt:lpwstr>1</vt:lpwstr>
  </property>
  <property fmtid="{D5CDD505-2E9C-101B-9397-08002B2CF9AE}" pid="13" name="Merops footnotes/endnotes count">
    <vt:lpwstr>0</vt:lpwstr>
  </property>
  <property fmtid="{D5CDD505-2E9C-101B-9397-08002B2CF9AE}" pid="14" name="Merops graphics count">
    <vt:lpwstr>0</vt:lpwstr>
  </property>
  <property fmtid="{D5CDD505-2E9C-101B-9397-08002B2CF9AE}" pid="15" name="Merops input file path">
    <vt:lpwstr>crm_a8ee6193-9271-42d9-8bd3-5bbe6323f04b.docx</vt:lpwstr>
  </property>
  <property fmtid="{D5CDD505-2E9C-101B-9397-08002B2CF9AE}" pid="16" name="Merops intra-document links count">
    <vt:lpwstr>0</vt:lpwstr>
  </property>
  <property fmtid="{D5CDD505-2E9C-101B-9397-08002B2CF9AE}" pid="17" name="Merops item path">
    <vt:lpwstr>MG-Session/On-20260817/I:c4f7f165-1b09-4218-bd62-4b5c7997506e</vt:lpwstr>
  </property>
  <property fmtid="{D5CDD505-2E9C-101B-9397-08002B2CF9AE}" pid="18" name="Merops processed date">
    <vt:lpwstr>2026/08/17 02:16:28 AM</vt:lpwstr>
  </property>
  <property fmtid="{D5CDD505-2E9C-101B-9397-08002B2CF9AE}" pid="19" name="Merops PubMed links count">
    <vt:lpwstr>0</vt:lpwstr>
  </property>
  <property fmtid="{D5CDD505-2E9C-101B-9397-08002B2CF9AE}" pid="20" name="Merops references count">
    <vt:lpwstr>0</vt:lpwstr>
  </property>
  <property fmtid="{D5CDD505-2E9C-101B-9397-08002B2CF9AE}" pid="21" name="Merops Scopus links count">
    <vt:lpwstr>0</vt:lpwstr>
  </property>
  <property fmtid="{D5CDD505-2E9C-101B-9397-08002B2CF9AE}" pid="22" name="Merops server path">
    <vt:lpwstr/>
  </property>
  <property fmtid="{D5CDD505-2E9C-101B-9397-08002B2CF9AE}" pid="23" name="Merops Standard Set">
    <vt:lpwstr>merops/preset-v1/biomed-central</vt:lpwstr>
  </property>
  <property fmtid="{D5CDD505-2E9C-101B-9397-08002B2CF9AE}" pid="24" name="Merops Standard Set modified">
    <vt:lpwstr/>
  </property>
  <property fmtid="{D5CDD505-2E9C-101B-9397-08002B2CF9AE}" pid="25" name="Merops tables count">
    <vt:lpwstr>0</vt:lpwstr>
  </property>
  <property fmtid="{D5CDD505-2E9C-101B-9397-08002B2CF9AE}" pid="26" name="Merops word count">
    <vt:lpwstr>659</vt:lpwstr>
  </property>
  <property fmtid="{D5CDD505-2E9C-101B-9397-08002B2CF9AE}" pid="27" name="Merops WorldCat links count">
    <vt:lpwstr>0</vt:lpwstr>
  </property>
  <property fmtid="{D5CDD505-2E9C-101B-9397-08002B2CF9AE}" pid="28" name="ppub">
    <vt:lpwstr/>
  </property>
  <property fmtid="{D5CDD505-2E9C-101B-9397-08002B2CF9AE}" pid="29" name="Publisher">
    <vt:lpwstr/>
  </property>
  <property fmtid="{D5CDD505-2E9C-101B-9397-08002B2CF9AE}" pid="30" name="Publisher-location">
    <vt:lpwstr/>
  </property>
  <property fmtid="{D5CDD505-2E9C-101B-9397-08002B2CF9AE}" pid="31" name="ReceivedDate">
    <vt:lpwstr/>
  </property>
  <property fmtid="{D5CDD505-2E9C-101B-9397-08002B2CF9AE}" pid="32" name="Reference citation style">
    <vt:lpwstr/>
  </property>
  <property fmtid="{D5CDD505-2E9C-101B-9397-08002B2CF9AE}" pid="33" name="Source">
    <vt:lpwstr/>
  </property>
  <property fmtid="{D5CDD505-2E9C-101B-9397-08002B2CF9AE}" pid="34" name="Source-abbreviated">
    <vt:lpwstr/>
  </property>
  <property fmtid="{D5CDD505-2E9C-101B-9397-08002B2CF9AE}" pid="35" name="Source-short">
    <vt:lpwstr/>
  </property>
  <property fmtid="{D5CDD505-2E9C-101B-9397-08002B2CF9AE}" pid="36" name="Subject">
    <vt:lpwstr/>
  </property>
</Properties>
</file>