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654D9" w14:textId="783FE9B0" w:rsidR="00F71AFD" w:rsidRDefault="00E27FA1" w:rsidP="00B16F83">
      <w:pPr>
        <w:ind w:firstLine="0"/>
        <w:jc w:val="left"/>
        <w:rPr>
          <w:b/>
          <w:bCs/>
          <w:sz w:val="22"/>
        </w:rPr>
      </w:pPr>
      <w:r w:rsidRPr="00477F13">
        <w:rPr>
          <w:b/>
          <w:bCs/>
          <w:sz w:val="22"/>
        </w:rPr>
        <w:t xml:space="preserve">Additional file </w:t>
      </w:r>
      <w:r>
        <w:rPr>
          <w:b/>
          <w:bCs/>
          <w:sz w:val="22"/>
        </w:rPr>
        <w:t>7</w:t>
      </w:r>
    </w:p>
    <w:p w14:paraId="4217D923" w14:textId="1B6993BA" w:rsidR="00E27FA1" w:rsidRPr="00477F13" w:rsidRDefault="00965BCB" w:rsidP="00B16F83">
      <w:pPr>
        <w:ind w:firstLine="0"/>
        <w:jc w:val="left"/>
        <w:rPr>
          <w:sz w:val="22"/>
        </w:rPr>
      </w:pPr>
      <w:r>
        <w:rPr>
          <w:noProof/>
          <w:sz w:val="22"/>
        </w:rPr>
        <w:drawing>
          <wp:inline distT="0" distB="0" distL="0" distR="0" wp14:anchorId="3C54F840" wp14:editId="4A542488">
            <wp:extent cx="5731510" cy="1957705"/>
            <wp:effectExtent l="0" t="0" r="2540" b="4445"/>
            <wp:docPr id="125131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31673" name="Picture 12513167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1E511" w14:textId="21BBAC12" w:rsidR="00F71AFD" w:rsidRPr="00477F13" w:rsidRDefault="00E27FA1" w:rsidP="00B16F83">
      <w:pPr>
        <w:ind w:firstLine="0"/>
        <w:jc w:val="left"/>
        <w:rPr>
          <w:b/>
          <w:sz w:val="22"/>
        </w:rPr>
      </w:pPr>
      <w:r>
        <w:rPr>
          <w:b/>
          <w:bCs/>
          <w:sz w:val="22"/>
        </w:rPr>
        <w:t>Figure S</w:t>
      </w:r>
      <w:r w:rsidR="00965BCB">
        <w:rPr>
          <w:b/>
          <w:bCs/>
          <w:sz w:val="22"/>
        </w:rPr>
        <w:t>6</w:t>
      </w:r>
      <w:r w:rsidR="00F71AFD" w:rsidRPr="00477F13">
        <w:rPr>
          <w:b/>
          <w:bCs/>
          <w:sz w:val="22"/>
        </w:rPr>
        <w:t xml:space="preserve">. </w:t>
      </w:r>
      <w:r w:rsidR="00F71AFD" w:rsidRPr="00477F13">
        <w:rPr>
          <w:b/>
          <w:sz w:val="22"/>
        </w:rPr>
        <w:t xml:space="preserve">Outcomes according to post-remission treatment among patients with </w:t>
      </w:r>
      <w:r w:rsidR="00F71AFD" w:rsidRPr="00477F13">
        <w:rPr>
          <w:b/>
          <w:i/>
          <w:iCs/>
          <w:sz w:val="22"/>
        </w:rPr>
        <w:t>KMT2</w:t>
      </w:r>
      <w:proofErr w:type="gramStart"/>
      <w:r w:rsidR="00F71AFD" w:rsidRPr="00477F13">
        <w:rPr>
          <w:b/>
          <w:i/>
          <w:iCs/>
          <w:sz w:val="22"/>
        </w:rPr>
        <w:t>A::</w:t>
      </w:r>
      <w:proofErr w:type="gramEnd"/>
      <w:r w:rsidR="00F71AFD" w:rsidRPr="00477F13">
        <w:rPr>
          <w:b/>
          <w:i/>
          <w:iCs/>
          <w:sz w:val="22"/>
        </w:rPr>
        <w:t>MLLT3</w:t>
      </w:r>
      <w:r w:rsidR="00F71AFD" w:rsidRPr="00477F13">
        <w:rPr>
          <w:b/>
          <w:sz w:val="22"/>
        </w:rPr>
        <w:t xml:space="preserve"> acute myeloid leukemia.</w:t>
      </w:r>
    </w:p>
    <w:p w14:paraId="15ADAE05" w14:textId="77777777" w:rsidR="00F71AFD" w:rsidRPr="00477F13" w:rsidRDefault="00F71AFD" w:rsidP="00B16F83">
      <w:pPr>
        <w:ind w:firstLine="0"/>
        <w:jc w:val="left"/>
        <w:rPr>
          <w:sz w:val="22"/>
        </w:rPr>
      </w:pPr>
      <w:r w:rsidRPr="00477F13">
        <w:rPr>
          <w:sz w:val="22"/>
        </w:rPr>
        <w:t xml:space="preserve">Event-free survival (EFS; </w:t>
      </w:r>
      <w:r w:rsidRPr="00477F13">
        <w:rPr>
          <w:b/>
          <w:sz w:val="22"/>
        </w:rPr>
        <w:t>A</w:t>
      </w:r>
      <w:r w:rsidRPr="00477F13">
        <w:rPr>
          <w:sz w:val="22"/>
        </w:rPr>
        <w:t xml:space="preserve">), overall survival (OS; </w:t>
      </w:r>
      <w:r w:rsidRPr="00477F13">
        <w:rPr>
          <w:b/>
          <w:sz w:val="22"/>
        </w:rPr>
        <w:t>B</w:t>
      </w:r>
      <w:r w:rsidRPr="00477F13">
        <w:rPr>
          <w:sz w:val="22"/>
        </w:rPr>
        <w:t xml:space="preserve">), and cumulative incidence of relapse (CIR; </w:t>
      </w:r>
      <w:r w:rsidRPr="00477F13">
        <w:rPr>
          <w:b/>
          <w:sz w:val="22"/>
        </w:rPr>
        <w:t>C</w:t>
      </w:r>
      <w:r w:rsidRPr="00477F13">
        <w:rPr>
          <w:sz w:val="22"/>
        </w:rPr>
        <w:t xml:space="preserve">) were compared between chemotherapy consolidation (n = 38) and allogeneic hematopoietic stem cell transplantation in first complete remission (CR1 </w:t>
      </w:r>
      <w:proofErr w:type="spellStart"/>
      <w:r w:rsidRPr="00477F13">
        <w:rPr>
          <w:sz w:val="22"/>
        </w:rPr>
        <w:t>allo</w:t>
      </w:r>
      <w:proofErr w:type="spellEnd"/>
      <w:r w:rsidRPr="00477F13">
        <w:rPr>
          <w:sz w:val="22"/>
        </w:rPr>
        <w:t xml:space="preserve">-HSCT; n = 22), irrespective of induction regimen. Five-year EFS was 85.6% (95% CI, 72.9–100.0%) after chemotherapy and 76.7% (95% CI, 60.7–96.9%) after CR1 </w:t>
      </w:r>
      <w:proofErr w:type="spellStart"/>
      <w:r w:rsidRPr="00477F13">
        <w:rPr>
          <w:sz w:val="22"/>
        </w:rPr>
        <w:t>allo</w:t>
      </w:r>
      <w:proofErr w:type="spellEnd"/>
      <w:r w:rsidRPr="00477F13">
        <w:rPr>
          <w:sz w:val="22"/>
        </w:rPr>
        <w:t>-HSCT (</w:t>
      </w:r>
      <w:r w:rsidRPr="00477F13">
        <w:rPr>
          <w:i/>
          <w:sz w:val="22"/>
        </w:rPr>
        <w:t>P</w:t>
      </w:r>
      <w:r w:rsidRPr="00477F13">
        <w:rPr>
          <w:sz w:val="22"/>
        </w:rPr>
        <w:t xml:space="preserve"> = 0.214). Five-year OS was 93.9% (95% CI, 86.1–100.0%) and 81.3% (95% CI, 66.3–99.7%), respectively (</w:t>
      </w:r>
      <w:r w:rsidRPr="00477F13">
        <w:rPr>
          <w:i/>
          <w:sz w:val="22"/>
        </w:rPr>
        <w:t>P</w:t>
      </w:r>
      <w:r w:rsidRPr="00477F13">
        <w:rPr>
          <w:sz w:val="22"/>
        </w:rPr>
        <w:t xml:space="preserve"> = 0.127), and 5-year CIR was 14.1% (95% CI, 0.4–27.7%) and 9.3% (95% CI, 0.0–22.0%), respectively (Gray’s test, </w:t>
      </w:r>
      <w:r w:rsidRPr="00477F13">
        <w:rPr>
          <w:i/>
          <w:sz w:val="22"/>
        </w:rPr>
        <w:t>P</w:t>
      </w:r>
      <w:r w:rsidRPr="00477F13">
        <w:rPr>
          <w:sz w:val="22"/>
        </w:rPr>
        <w:t xml:space="preserve"> = 0.811). Kaplan–Meier curves were compared using the log-rank test, and cumulative incidence functions were compared using Gray’s test. Shaded bands in panels A and B represent 95% CIs, and numbers at risk are shown below each panel. These treatment-stratified comparisons are descriptive and susceptible to treatment-selection and immortal-time bias. CI, confidence interval.</w:t>
      </w:r>
    </w:p>
    <w:p w14:paraId="7E54F8DB" w14:textId="77777777" w:rsidR="00B8300F" w:rsidRDefault="00B8300F" w:rsidP="00B16F83">
      <w:pPr>
        <w:jc w:val="left"/>
      </w:pPr>
    </w:p>
    <w:sectPr w:rsidR="00B83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AFD"/>
    <w:rsid w:val="001058FA"/>
    <w:rsid w:val="00391F2B"/>
    <w:rsid w:val="007A5671"/>
    <w:rsid w:val="008170A1"/>
    <w:rsid w:val="00965BCB"/>
    <w:rsid w:val="00A77BC3"/>
    <w:rsid w:val="00A91F6C"/>
    <w:rsid w:val="00B16F83"/>
    <w:rsid w:val="00B8300F"/>
    <w:rsid w:val="00C36C29"/>
    <w:rsid w:val="00E27FA1"/>
    <w:rsid w:val="00F1694D"/>
    <w:rsid w:val="00F7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7D5AC"/>
  <w15:chartTrackingRefBased/>
  <w15:docId w15:val="{7361DF68-318B-D545-AE74-0565ED06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AFD"/>
    <w:pPr>
      <w:widowControl w:val="0"/>
      <w:spacing w:after="0" w:line="360" w:lineRule="auto"/>
      <w:ind w:firstLine="200"/>
      <w:jc w:val="both"/>
    </w:pPr>
    <w:rPr>
      <w:rFonts w:ascii="Times New Roman" w:eastAsia="Times New Roman" w:hAnsi="Times New Roman" w:cs="Times New Roman"/>
      <w:szCs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1AFD"/>
    <w:pPr>
      <w:keepNext/>
      <w:keepLines/>
      <w:widowControl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E" w:eastAsia="ko-K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AFD"/>
    <w:pPr>
      <w:keepNext/>
      <w:keepLines/>
      <w:widowControl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E" w:eastAsia="ko-K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AFD"/>
    <w:pPr>
      <w:keepNext/>
      <w:keepLines/>
      <w:widowControl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E"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AFD"/>
    <w:pPr>
      <w:keepNext/>
      <w:keepLines/>
      <w:widowControl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E"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AFD"/>
    <w:pPr>
      <w:keepNext/>
      <w:keepLines/>
      <w:widowControl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E"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AFD"/>
    <w:pPr>
      <w:keepNext/>
      <w:keepLines/>
      <w:widowControl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E"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AFD"/>
    <w:pPr>
      <w:keepNext/>
      <w:keepLines/>
      <w:widowControl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E"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AFD"/>
    <w:pPr>
      <w:keepNext/>
      <w:keepLines/>
      <w:widowControl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E"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AFD"/>
    <w:pPr>
      <w:keepNext/>
      <w:keepLines/>
      <w:widowControl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E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A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A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A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A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A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A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A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A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A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AFD"/>
    <w:pPr>
      <w:widowControl/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 w:eastAsia="ko-KR"/>
    </w:rPr>
  </w:style>
  <w:style w:type="character" w:customStyle="1" w:styleId="TitleChar">
    <w:name w:val="Title Char"/>
    <w:basedOn w:val="DefaultParagraphFont"/>
    <w:link w:val="Title"/>
    <w:uiPriority w:val="10"/>
    <w:rsid w:val="00F71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AFD"/>
    <w:pPr>
      <w:widowControl/>
      <w:numPr>
        <w:ilvl w:val="1"/>
      </w:numPr>
      <w:spacing w:after="160" w:line="278" w:lineRule="auto"/>
      <w:ind w:firstLine="20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E"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71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AFD"/>
    <w:pPr>
      <w:widowControl/>
      <w:spacing w:before="160" w:after="160" w:line="278" w:lineRule="auto"/>
      <w:ind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:lang w:val="en-IE" w:eastAsia="ko-KR"/>
    </w:rPr>
  </w:style>
  <w:style w:type="character" w:customStyle="1" w:styleId="QuoteChar">
    <w:name w:val="Quote Char"/>
    <w:basedOn w:val="DefaultParagraphFont"/>
    <w:link w:val="Quote"/>
    <w:uiPriority w:val="29"/>
    <w:rsid w:val="00F71A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AFD"/>
    <w:pPr>
      <w:widowControl/>
      <w:spacing w:after="160" w:line="278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Cs w:val="24"/>
      <w:lang w:val="en-IE" w:eastAsia="ko-KR"/>
    </w:rPr>
  </w:style>
  <w:style w:type="character" w:styleId="IntenseEmphasis">
    <w:name w:val="Intense Emphasis"/>
    <w:basedOn w:val="DefaultParagraphFont"/>
    <w:uiPriority w:val="21"/>
    <w:qFormat/>
    <w:rsid w:val="00F71A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AF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:lang w:val="en-IE"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A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AFD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1694D"/>
    <w:pPr>
      <w:spacing w:after="0" w:line="240" w:lineRule="auto"/>
    </w:pPr>
    <w:rPr>
      <w:rFonts w:ascii="Times New Roman" w:eastAsia="Times New Roman" w:hAnsi="Times New Roman" w:cs="Times New Roman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998</Characters>
  <Application>Microsoft Office Word</Application>
  <DocSecurity>0</DocSecurity>
  <Lines>19</Lines>
  <Paragraphs>8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7</cp:revision>
  <dcterms:created xsi:type="dcterms:W3CDTF">2026-08-19T04:35:00Z</dcterms:created>
  <dcterms:modified xsi:type="dcterms:W3CDTF">2026-08-29T14:56:00Z</dcterms:modified>
</cp:coreProperties>
</file>