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01D72" w14:textId="77777777" w:rsidR="002402E3" w:rsidRDefault="00770DEA" w:rsidP="002402E3">
      <w:pPr>
        <w:spacing w:after="40"/>
        <w:jc w:val="center"/>
        <w:rPr>
          <w:b/>
          <w:bCs/>
          <w:sz w:val="22"/>
        </w:rPr>
      </w:pPr>
      <w:r w:rsidRPr="00477F13">
        <w:rPr>
          <w:b/>
          <w:bCs/>
          <w:sz w:val="22"/>
        </w:rPr>
        <w:t>Additional file 1</w:t>
      </w:r>
      <w:r w:rsidR="006E62ED">
        <w:rPr>
          <w:b/>
          <w:bCs/>
          <w:sz w:val="22"/>
        </w:rPr>
        <w:t>1</w:t>
      </w:r>
    </w:p>
    <w:p w14:paraId="25A63F32" w14:textId="6593D9CD" w:rsidR="00683EFC" w:rsidRPr="00477F13" w:rsidRDefault="002402E3">
      <w:pPr>
        <w:spacing w:after="40"/>
        <w:rPr>
          <w:sz w:val="22"/>
        </w:rPr>
      </w:pPr>
      <w:r>
        <w:rPr>
          <w:b/>
          <w:bCs/>
          <w:sz w:val="22"/>
        </w:rPr>
        <w:t>Table S2</w:t>
      </w:r>
      <w:r w:rsidR="00770DEA" w:rsidRPr="00477F13">
        <w:rPr>
          <w:b/>
          <w:sz w:val="22"/>
        </w:rPr>
        <w:t>. Fusion partner-stratified Cox regression analyses of EFS and OS in patients receiving FLAG-IDA induction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432"/>
        <w:gridCol w:w="2222"/>
        <w:gridCol w:w="1531"/>
        <w:gridCol w:w="1562"/>
        <w:gridCol w:w="1999"/>
        <w:gridCol w:w="1035"/>
        <w:gridCol w:w="2492"/>
        <w:gridCol w:w="901"/>
      </w:tblGrid>
      <w:tr w:rsidR="00683EFC" w:rsidRPr="00477F13" w14:paraId="4240D5E8" w14:textId="77777777" w:rsidTr="000520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75D33262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 xml:space="preserve">Panel A. FLAG-IDA-treated </w:t>
            </w:r>
            <w:r w:rsidRPr="00973B13">
              <w:rPr>
                <w:i/>
                <w:iCs/>
                <w:sz w:val="22"/>
              </w:rPr>
              <w:t>KMT2</w:t>
            </w:r>
            <w:proofErr w:type="gramStart"/>
            <w:r w:rsidRPr="00973B13">
              <w:rPr>
                <w:i/>
                <w:iCs/>
                <w:sz w:val="22"/>
              </w:rPr>
              <w:t>A::</w:t>
            </w:r>
            <w:proofErr w:type="gramEnd"/>
            <w:r w:rsidRPr="00973B13">
              <w:rPr>
                <w:i/>
                <w:iCs/>
                <w:sz w:val="22"/>
              </w:rPr>
              <w:t>MLLT3</w:t>
            </w:r>
            <w:r w:rsidRPr="00477F13">
              <w:rPr>
                <w:sz w:val="22"/>
              </w:rPr>
              <w:t xml:space="preserve"> AML</w:t>
            </w:r>
          </w:p>
        </w:tc>
      </w:tr>
      <w:tr w:rsidR="00683EFC" w:rsidRPr="00477F13" w14:paraId="5BF4032C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4C5B0C4F" w14:textId="35F9F299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EFS</w:t>
            </w:r>
            <w:r w:rsidR="002813C3" w:rsidRPr="00477F13">
              <w:rPr>
                <w:sz w:val="22"/>
              </w:rPr>
              <w:t xml:space="preserve"> (n</w:t>
            </w:r>
            <w:r w:rsidRPr="00477F13">
              <w:rPr>
                <w:sz w:val="22"/>
              </w:rPr>
              <w:t>=49; events=5; no selected multivariable model</w:t>
            </w:r>
            <w:r w:rsidR="002813C3" w:rsidRPr="00477F13">
              <w:rPr>
                <w:sz w:val="22"/>
              </w:rPr>
              <w:t>)</w:t>
            </w:r>
          </w:p>
        </w:tc>
      </w:tr>
      <w:tr w:rsidR="00683EFC" w:rsidRPr="00477F13" w14:paraId="166846BB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3B2A8BF9" w14:textId="77777777" w:rsidR="00683EFC" w:rsidRPr="00477F13" w:rsidRDefault="00000000">
            <w:pPr>
              <w:jc w:val="center"/>
              <w:rPr>
                <w:sz w:val="22"/>
              </w:rPr>
            </w:pPr>
            <w:r w:rsidRPr="00477F13">
              <w:rPr>
                <w:sz w:val="22"/>
              </w:rPr>
              <w:t>Variable</w:t>
            </w:r>
          </w:p>
        </w:tc>
        <w:tc>
          <w:tcPr>
            <w:tcW w:w="784" w:type="pct"/>
          </w:tcPr>
          <w:p w14:paraId="6A4892E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</w:t>
            </w:r>
          </w:p>
        </w:tc>
        <w:tc>
          <w:tcPr>
            <w:tcW w:w="540" w:type="pct"/>
          </w:tcPr>
          <w:p w14:paraId="7D3820F2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Reference n/events</w:t>
            </w:r>
          </w:p>
        </w:tc>
        <w:tc>
          <w:tcPr>
            <w:tcW w:w="551" w:type="pct"/>
          </w:tcPr>
          <w:p w14:paraId="6D54E83C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 n/events</w:t>
            </w:r>
          </w:p>
        </w:tc>
        <w:tc>
          <w:tcPr>
            <w:tcW w:w="705" w:type="pct"/>
          </w:tcPr>
          <w:p w14:paraId="6D5E3D7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Univariable HR (95% CI)</w:t>
            </w:r>
          </w:p>
        </w:tc>
        <w:tc>
          <w:tcPr>
            <w:tcW w:w="365" w:type="pct"/>
          </w:tcPr>
          <w:p w14:paraId="53688E7D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P value</w:t>
            </w:r>
          </w:p>
        </w:tc>
        <w:tc>
          <w:tcPr>
            <w:tcW w:w="879" w:type="pct"/>
          </w:tcPr>
          <w:p w14:paraId="6D2F3B48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Selected multivariable HR (95% CI)</w:t>
            </w:r>
          </w:p>
        </w:tc>
        <w:tc>
          <w:tcPr>
            <w:tcW w:w="318" w:type="pct"/>
          </w:tcPr>
          <w:p w14:paraId="48022C3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P value</w:t>
            </w:r>
          </w:p>
        </w:tc>
      </w:tr>
      <w:tr w:rsidR="00683EFC" w:rsidRPr="00477F13" w14:paraId="76CBB762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396E1F3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Age at diagnosis</w:t>
            </w:r>
          </w:p>
        </w:tc>
        <w:tc>
          <w:tcPr>
            <w:tcW w:w="784" w:type="pct"/>
          </w:tcPr>
          <w:p w14:paraId="50B166EA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 year vs &lt;1 year</w:t>
            </w:r>
          </w:p>
        </w:tc>
        <w:tc>
          <w:tcPr>
            <w:tcW w:w="540" w:type="pct"/>
          </w:tcPr>
          <w:p w14:paraId="40C5ED3C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2/0</w:t>
            </w:r>
          </w:p>
        </w:tc>
        <w:tc>
          <w:tcPr>
            <w:tcW w:w="551" w:type="pct"/>
          </w:tcPr>
          <w:p w14:paraId="042AE28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47/5</w:t>
            </w:r>
          </w:p>
        </w:tc>
        <w:tc>
          <w:tcPr>
            <w:tcW w:w="705" w:type="pct"/>
          </w:tcPr>
          <w:p w14:paraId="7C420732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365" w:type="pct"/>
          </w:tcPr>
          <w:p w14:paraId="0C1B106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879" w:type="pct"/>
          </w:tcPr>
          <w:p w14:paraId="055160B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1DF90F46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71C4F699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00472B55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Sex</w:t>
            </w:r>
          </w:p>
        </w:tc>
        <w:tc>
          <w:tcPr>
            <w:tcW w:w="784" w:type="pct"/>
          </w:tcPr>
          <w:p w14:paraId="4556119A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Male vs female</w:t>
            </w:r>
          </w:p>
        </w:tc>
        <w:tc>
          <w:tcPr>
            <w:tcW w:w="540" w:type="pct"/>
          </w:tcPr>
          <w:p w14:paraId="11EE23DB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26/2</w:t>
            </w:r>
          </w:p>
        </w:tc>
        <w:tc>
          <w:tcPr>
            <w:tcW w:w="551" w:type="pct"/>
          </w:tcPr>
          <w:p w14:paraId="77E2416D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23/3</w:t>
            </w:r>
          </w:p>
        </w:tc>
        <w:tc>
          <w:tcPr>
            <w:tcW w:w="705" w:type="pct"/>
          </w:tcPr>
          <w:p w14:paraId="3DF4EDA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1.80 (0.30–10.79)</w:t>
            </w:r>
          </w:p>
        </w:tc>
        <w:tc>
          <w:tcPr>
            <w:tcW w:w="365" w:type="pct"/>
          </w:tcPr>
          <w:p w14:paraId="784D1D1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0.519</w:t>
            </w:r>
          </w:p>
        </w:tc>
        <w:tc>
          <w:tcPr>
            <w:tcW w:w="879" w:type="pct"/>
          </w:tcPr>
          <w:p w14:paraId="4160FE60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410B839D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068F75E5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2C35403F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Presenting WBC count</w:t>
            </w:r>
          </w:p>
        </w:tc>
        <w:tc>
          <w:tcPr>
            <w:tcW w:w="784" w:type="pct"/>
          </w:tcPr>
          <w:p w14:paraId="11EE83B0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≥50 vs &lt;50 ×10⁹/L</w:t>
            </w:r>
          </w:p>
        </w:tc>
        <w:tc>
          <w:tcPr>
            <w:tcW w:w="540" w:type="pct"/>
          </w:tcPr>
          <w:p w14:paraId="063E9F67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42/4</w:t>
            </w:r>
          </w:p>
        </w:tc>
        <w:tc>
          <w:tcPr>
            <w:tcW w:w="551" w:type="pct"/>
          </w:tcPr>
          <w:p w14:paraId="2B75E93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7/1</w:t>
            </w:r>
          </w:p>
        </w:tc>
        <w:tc>
          <w:tcPr>
            <w:tcW w:w="705" w:type="pct"/>
          </w:tcPr>
          <w:p w14:paraId="657FCE2C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1.38 (0.15–12.33)</w:t>
            </w:r>
          </w:p>
        </w:tc>
        <w:tc>
          <w:tcPr>
            <w:tcW w:w="365" w:type="pct"/>
          </w:tcPr>
          <w:p w14:paraId="731551DC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0.775</w:t>
            </w:r>
          </w:p>
        </w:tc>
        <w:tc>
          <w:tcPr>
            <w:tcW w:w="879" w:type="pct"/>
          </w:tcPr>
          <w:p w14:paraId="13F269FF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55D925E4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5D34B699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48AA9268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Extramedullary involvement</w:t>
            </w:r>
          </w:p>
        </w:tc>
        <w:tc>
          <w:tcPr>
            <w:tcW w:w="784" w:type="pct"/>
          </w:tcPr>
          <w:p w14:paraId="52BF6CCF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proofErr w:type="gramStart"/>
            <w:r w:rsidRPr="00477F13">
              <w:rPr>
                <w:sz w:val="22"/>
              </w:rPr>
              <w:t>Yes</w:t>
            </w:r>
            <w:proofErr w:type="gramEnd"/>
            <w:r w:rsidRPr="00477F13">
              <w:rPr>
                <w:sz w:val="22"/>
              </w:rPr>
              <w:t xml:space="preserve"> vs no</w:t>
            </w:r>
          </w:p>
        </w:tc>
        <w:tc>
          <w:tcPr>
            <w:tcW w:w="540" w:type="pct"/>
          </w:tcPr>
          <w:p w14:paraId="14BE108D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46/5</w:t>
            </w:r>
          </w:p>
        </w:tc>
        <w:tc>
          <w:tcPr>
            <w:tcW w:w="551" w:type="pct"/>
          </w:tcPr>
          <w:p w14:paraId="5A8DB26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3/0</w:t>
            </w:r>
          </w:p>
        </w:tc>
        <w:tc>
          <w:tcPr>
            <w:tcW w:w="705" w:type="pct"/>
          </w:tcPr>
          <w:p w14:paraId="0902410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365" w:type="pct"/>
          </w:tcPr>
          <w:p w14:paraId="3685B66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879" w:type="pct"/>
          </w:tcPr>
          <w:p w14:paraId="42B3A03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0015BE5D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646EDF04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4A4DE9F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Morphologic CR after course 1</w:t>
            </w:r>
          </w:p>
        </w:tc>
        <w:tc>
          <w:tcPr>
            <w:tcW w:w="784" w:type="pct"/>
          </w:tcPr>
          <w:p w14:paraId="2A1697A8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No vs yes</w:t>
            </w:r>
          </w:p>
        </w:tc>
        <w:tc>
          <w:tcPr>
            <w:tcW w:w="540" w:type="pct"/>
          </w:tcPr>
          <w:p w14:paraId="3FC4CE77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46/5</w:t>
            </w:r>
          </w:p>
        </w:tc>
        <w:tc>
          <w:tcPr>
            <w:tcW w:w="551" w:type="pct"/>
          </w:tcPr>
          <w:p w14:paraId="7C317B2D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3/0</w:t>
            </w:r>
          </w:p>
        </w:tc>
        <w:tc>
          <w:tcPr>
            <w:tcW w:w="705" w:type="pct"/>
          </w:tcPr>
          <w:p w14:paraId="114F6649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365" w:type="pct"/>
          </w:tcPr>
          <w:p w14:paraId="2E13B87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879" w:type="pct"/>
          </w:tcPr>
          <w:p w14:paraId="45978A30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619D23AF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2190C12C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0C6E929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1</w:t>
            </w:r>
          </w:p>
        </w:tc>
        <w:tc>
          <w:tcPr>
            <w:tcW w:w="784" w:type="pct"/>
          </w:tcPr>
          <w:p w14:paraId="08FB7C09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≥1% vs &lt;1%</w:t>
            </w:r>
          </w:p>
        </w:tc>
        <w:tc>
          <w:tcPr>
            <w:tcW w:w="540" w:type="pct"/>
          </w:tcPr>
          <w:p w14:paraId="32D2276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33/3</w:t>
            </w:r>
          </w:p>
        </w:tc>
        <w:tc>
          <w:tcPr>
            <w:tcW w:w="551" w:type="pct"/>
          </w:tcPr>
          <w:p w14:paraId="433F8FB6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15/2</w:t>
            </w:r>
          </w:p>
        </w:tc>
        <w:tc>
          <w:tcPr>
            <w:tcW w:w="705" w:type="pct"/>
          </w:tcPr>
          <w:p w14:paraId="78791068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1.64 (0.27–9.79)</w:t>
            </w:r>
          </w:p>
        </w:tc>
        <w:tc>
          <w:tcPr>
            <w:tcW w:w="365" w:type="pct"/>
          </w:tcPr>
          <w:p w14:paraId="57775712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0.590</w:t>
            </w:r>
          </w:p>
        </w:tc>
        <w:tc>
          <w:tcPr>
            <w:tcW w:w="879" w:type="pct"/>
          </w:tcPr>
          <w:p w14:paraId="18543FF5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73265B7D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1BCBBD3C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494F8B14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2</w:t>
            </w:r>
          </w:p>
        </w:tc>
        <w:tc>
          <w:tcPr>
            <w:tcW w:w="784" w:type="pct"/>
          </w:tcPr>
          <w:p w14:paraId="0B974CCB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≥0.1% vs &lt;0.1%</w:t>
            </w:r>
          </w:p>
        </w:tc>
        <w:tc>
          <w:tcPr>
            <w:tcW w:w="540" w:type="pct"/>
          </w:tcPr>
          <w:p w14:paraId="4669C902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44/2</w:t>
            </w:r>
          </w:p>
        </w:tc>
        <w:tc>
          <w:tcPr>
            <w:tcW w:w="551" w:type="pct"/>
          </w:tcPr>
          <w:p w14:paraId="6351339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3/2</w:t>
            </w:r>
          </w:p>
        </w:tc>
        <w:tc>
          <w:tcPr>
            <w:tcW w:w="705" w:type="pct"/>
          </w:tcPr>
          <w:p w14:paraId="3D34BD83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365" w:type="pct"/>
          </w:tcPr>
          <w:p w14:paraId="2B571106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879" w:type="pct"/>
          </w:tcPr>
          <w:p w14:paraId="4634E32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75FA3B8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6D1AA5F1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72276A01" w14:textId="3ED41F4B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OS</w:t>
            </w:r>
            <w:r w:rsidR="002813C3" w:rsidRPr="00477F13">
              <w:rPr>
                <w:sz w:val="22"/>
              </w:rPr>
              <w:t xml:space="preserve"> (n</w:t>
            </w:r>
            <w:r w:rsidRPr="00477F13">
              <w:rPr>
                <w:sz w:val="22"/>
              </w:rPr>
              <w:t>=49; events=4; no selected multivariable model</w:t>
            </w:r>
            <w:r w:rsidR="002813C3" w:rsidRPr="00477F13">
              <w:rPr>
                <w:sz w:val="22"/>
              </w:rPr>
              <w:t>)</w:t>
            </w:r>
          </w:p>
        </w:tc>
      </w:tr>
      <w:tr w:rsidR="00683EFC" w:rsidRPr="00477F13" w14:paraId="0E7CDDA8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325CF8E0" w14:textId="77777777" w:rsidR="00683EFC" w:rsidRPr="00477F13" w:rsidRDefault="00000000">
            <w:pPr>
              <w:jc w:val="center"/>
              <w:rPr>
                <w:sz w:val="22"/>
              </w:rPr>
            </w:pPr>
            <w:r w:rsidRPr="00477F13">
              <w:rPr>
                <w:sz w:val="22"/>
              </w:rPr>
              <w:t>Variable</w:t>
            </w:r>
          </w:p>
        </w:tc>
        <w:tc>
          <w:tcPr>
            <w:tcW w:w="784" w:type="pct"/>
          </w:tcPr>
          <w:p w14:paraId="33C479A0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</w:t>
            </w:r>
          </w:p>
        </w:tc>
        <w:tc>
          <w:tcPr>
            <w:tcW w:w="540" w:type="pct"/>
          </w:tcPr>
          <w:p w14:paraId="137AB736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Reference n/events</w:t>
            </w:r>
          </w:p>
        </w:tc>
        <w:tc>
          <w:tcPr>
            <w:tcW w:w="551" w:type="pct"/>
          </w:tcPr>
          <w:p w14:paraId="65D33C0D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 n/events</w:t>
            </w:r>
          </w:p>
        </w:tc>
        <w:tc>
          <w:tcPr>
            <w:tcW w:w="705" w:type="pct"/>
          </w:tcPr>
          <w:p w14:paraId="73B3A9B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Univariable HR (95% CI)</w:t>
            </w:r>
          </w:p>
        </w:tc>
        <w:tc>
          <w:tcPr>
            <w:tcW w:w="365" w:type="pct"/>
          </w:tcPr>
          <w:p w14:paraId="4E82E05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P value</w:t>
            </w:r>
          </w:p>
        </w:tc>
        <w:tc>
          <w:tcPr>
            <w:tcW w:w="879" w:type="pct"/>
          </w:tcPr>
          <w:p w14:paraId="0DE65EF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 xml:space="preserve">Selected multivariable HR (95% </w:t>
            </w:r>
            <w:r w:rsidRPr="00477F13">
              <w:rPr>
                <w:b/>
                <w:sz w:val="22"/>
              </w:rPr>
              <w:lastRenderedPageBreak/>
              <w:t>CI)</w:t>
            </w:r>
          </w:p>
        </w:tc>
        <w:tc>
          <w:tcPr>
            <w:tcW w:w="318" w:type="pct"/>
          </w:tcPr>
          <w:p w14:paraId="59D654B7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lastRenderedPageBreak/>
              <w:t>P value</w:t>
            </w:r>
          </w:p>
        </w:tc>
      </w:tr>
      <w:tr w:rsidR="00683EFC" w:rsidRPr="00477F13" w14:paraId="2DB7E172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67501C18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Age at diagnosis</w:t>
            </w:r>
          </w:p>
        </w:tc>
        <w:tc>
          <w:tcPr>
            <w:tcW w:w="784" w:type="pct"/>
          </w:tcPr>
          <w:p w14:paraId="0752A90D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 year vs &lt;1 year</w:t>
            </w:r>
          </w:p>
        </w:tc>
        <w:tc>
          <w:tcPr>
            <w:tcW w:w="540" w:type="pct"/>
          </w:tcPr>
          <w:p w14:paraId="092C1385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2/0</w:t>
            </w:r>
          </w:p>
        </w:tc>
        <w:tc>
          <w:tcPr>
            <w:tcW w:w="551" w:type="pct"/>
          </w:tcPr>
          <w:p w14:paraId="7AF586D7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47/4</w:t>
            </w:r>
          </w:p>
        </w:tc>
        <w:tc>
          <w:tcPr>
            <w:tcW w:w="705" w:type="pct"/>
          </w:tcPr>
          <w:p w14:paraId="3842E8C8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365" w:type="pct"/>
          </w:tcPr>
          <w:p w14:paraId="79E9121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879" w:type="pct"/>
          </w:tcPr>
          <w:p w14:paraId="7D685A4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275CC9D6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6D2D2598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0250AFE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Sex</w:t>
            </w:r>
          </w:p>
        </w:tc>
        <w:tc>
          <w:tcPr>
            <w:tcW w:w="784" w:type="pct"/>
          </w:tcPr>
          <w:p w14:paraId="6C79E4F2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Male vs female</w:t>
            </w:r>
          </w:p>
        </w:tc>
        <w:tc>
          <w:tcPr>
            <w:tcW w:w="540" w:type="pct"/>
          </w:tcPr>
          <w:p w14:paraId="1B510D8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26/2</w:t>
            </w:r>
          </w:p>
        </w:tc>
        <w:tc>
          <w:tcPr>
            <w:tcW w:w="551" w:type="pct"/>
          </w:tcPr>
          <w:p w14:paraId="0F81D1BD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23/2</w:t>
            </w:r>
          </w:p>
        </w:tc>
        <w:tc>
          <w:tcPr>
            <w:tcW w:w="705" w:type="pct"/>
          </w:tcPr>
          <w:p w14:paraId="0257E846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1.22 (0.17–8.69)</w:t>
            </w:r>
          </w:p>
        </w:tc>
        <w:tc>
          <w:tcPr>
            <w:tcW w:w="365" w:type="pct"/>
          </w:tcPr>
          <w:p w14:paraId="01768A2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0.840</w:t>
            </w:r>
          </w:p>
        </w:tc>
        <w:tc>
          <w:tcPr>
            <w:tcW w:w="879" w:type="pct"/>
          </w:tcPr>
          <w:p w14:paraId="3B9E5036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4377FCE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63A743FB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78081A99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Presenting WBC count</w:t>
            </w:r>
          </w:p>
        </w:tc>
        <w:tc>
          <w:tcPr>
            <w:tcW w:w="784" w:type="pct"/>
          </w:tcPr>
          <w:p w14:paraId="69F14C73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≥50 vs &lt;50 ×10⁹/L</w:t>
            </w:r>
          </w:p>
        </w:tc>
        <w:tc>
          <w:tcPr>
            <w:tcW w:w="540" w:type="pct"/>
          </w:tcPr>
          <w:p w14:paraId="690ED52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42/3</w:t>
            </w:r>
          </w:p>
        </w:tc>
        <w:tc>
          <w:tcPr>
            <w:tcW w:w="551" w:type="pct"/>
          </w:tcPr>
          <w:p w14:paraId="79134EC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7/1</w:t>
            </w:r>
          </w:p>
        </w:tc>
        <w:tc>
          <w:tcPr>
            <w:tcW w:w="705" w:type="pct"/>
          </w:tcPr>
          <w:p w14:paraId="74C1B81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1.77 (0.18–17.03)</w:t>
            </w:r>
          </w:p>
        </w:tc>
        <w:tc>
          <w:tcPr>
            <w:tcW w:w="365" w:type="pct"/>
          </w:tcPr>
          <w:p w14:paraId="46C0A3D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0.621</w:t>
            </w:r>
          </w:p>
        </w:tc>
        <w:tc>
          <w:tcPr>
            <w:tcW w:w="879" w:type="pct"/>
          </w:tcPr>
          <w:p w14:paraId="675B878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3D6B97B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12BFD55B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22E7D67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Extramedullary involvement</w:t>
            </w:r>
          </w:p>
        </w:tc>
        <w:tc>
          <w:tcPr>
            <w:tcW w:w="784" w:type="pct"/>
          </w:tcPr>
          <w:p w14:paraId="331C5F3D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proofErr w:type="gramStart"/>
            <w:r w:rsidRPr="00477F13">
              <w:rPr>
                <w:sz w:val="22"/>
              </w:rPr>
              <w:t>Yes</w:t>
            </w:r>
            <w:proofErr w:type="gramEnd"/>
            <w:r w:rsidRPr="00477F13">
              <w:rPr>
                <w:sz w:val="22"/>
              </w:rPr>
              <w:t xml:space="preserve"> vs no</w:t>
            </w:r>
          </w:p>
        </w:tc>
        <w:tc>
          <w:tcPr>
            <w:tcW w:w="540" w:type="pct"/>
          </w:tcPr>
          <w:p w14:paraId="627E7B3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46/4</w:t>
            </w:r>
          </w:p>
        </w:tc>
        <w:tc>
          <w:tcPr>
            <w:tcW w:w="551" w:type="pct"/>
          </w:tcPr>
          <w:p w14:paraId="294A58A2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3/0</w:t>
            </w:r>
          </w:p>
        </w:tc>
        <w:tc>
          <w:tcPr>
            <w:tcW w:w="705" w:type="pct"/>
          </w:tcPr>
          <w:p w14:paraId="2436FC4B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365" w:type="pct"/>
          </w:tcPr>
          <w:p w14:paraId="6C79A0FC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879" w:type="pct"/>
          </w:tcPr>
          <w:p w14:paraId="1121D84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5A73423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3A20248F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6468BF53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Morphologic CR after course 1</w:t>
            </w:r>
          </w:p>
        </w:tc>
        <w:tc>
          <w:tcPr>
            <w:tcW w:w="784" w:type="pct"/>
          </w:tcPr>
          <w:p w14:paraId="2180C6FE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No vs yes</w:t>
            </w:r>
          </w:p>
        </w:tc>
        <w:tc>
          <w:tcPr>
            <w:tcW w:w="540" w:type="pct"/>
          </w:tcPr>
          <w:p w14:paraId="645ED11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46/4</w:t>
            </w:r>
          </w:p>
        </w:tc>
        <w:tc>
          <w:tcPr>
            <w:tcW w:w="551" w:type="pct"/>
          </w:tcPr>
          <w:p w14:paraId="24876E5E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3/0</w:t>
            </w:r>
          </w:p>
        </w:tc>
        <w:tc>
          <w:tcPr>
            <w:tcW w:w="705" w:type="pct"/>
          </w:tcPr>
          <w:p w14:paraId="7AA1C2EB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365" w:type="pct"/>
          </w:tcPr>
          <w:p w14:paraId="2ABFA91C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879" w:type="pct"/>
          </w:tcPr>
          <w:p w14:paraId="15C754B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1B08C2A6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1DA36004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7E275C02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1</w:t>
            </w:r>
          </w:p>
        </w:tc>
        <w:tc>
          <w:tcPr>
            <w:tcW w:w="784" w:type="pct"/>
          </w:tcPr>
          <w:p w14:paraId="4701C5AB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≥1% vs &lt;1%</w:t>
            </w:r>
          </w:p>
        </w:tc>
        <w:tc>
          <w:tcPr>
            <w:tcW w:w="540" w:type="pct"/>
          </w:tcPr>
          <w:p w14:paraId="2A08FE39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33/3</w:t>
            </w:r>
          </w:p>
        </w:tc>
        <w:tc>
          <w:tcPr>
            <w:tcW w:w="551" w:type="pct"/>
          </w:tcPr>
          <w:p w14:paraId="360DA706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15/1</w:t>
            </w:r>
          </w:p>
        </w:tc>
        <w:tc>
          <w:tcPr>
            <w:tcW w:w="705" w:type="pct"/>
          </w:tcPr>
          <w:p w14:paraId="44CD749C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0.82 (0.09–7.93)</w:t>
            </w:r>
          </w:p>
        </w:tc>
        <w:tc>
          <w:tcPr>
            <w:tcW w:w="365" w:type="pct"/>
          </w:tcPr>
          <w:p w14:paraId="18FF5FF0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0.867</w:t>
            </w:r>
          </w:p>
        </w:tc>
        <w:tc>
          <w:tcPr>
            <w:tcW w:w="879" w:type="pct"/>
          </w:tcPr>
          <w:p w14:paraId="181036CF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411354A7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6825ABA0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1FA728A9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2</w:t>
            </w:r>
          </w:p>
        </w:tc>
        <w:tc>
          <w:tcPr>
            <w:tcW w:w="784" w:type="pct"/>
          </w:tcPr>
          <w:p w14:paraId="6ACF9F81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≥0.1% vs &lt;0.1%</w:t>
            </w:r>
          </w:p>
        </w:tc>
        <w:tc>
          <w:tcPr>
            <w:tcW w:w="540" w:type="pct"/>
          </w:tcPr>
          <w:p w14:paraId="3A26F5F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44/2</w:t>
            </w:r>
          </w:p>
        </w:tc>
        <w:tc>
          <w:tcPr>
            <w:tcW w:w="551" w:type="pct"/>
          </w:tcPr>
          <w:p w14:paraId="03B730B2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3/1</w:t>
            </w:r>
          </w:p>
        </w:tc>
        <w:tc>
          <w:tcPr>
            <w:tcW w:w="705" w:type="pct"/>
          </w:tcPr>
          <w:p w14:paraId="25D3CAF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365" w:type="pct"/>
          </w:tcPr>
          <w:p w14:paraId="491E6FAC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879" w:type="pct"/>
          </w:tcPr>
          <w:p w14:paraId="2FAF02A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6806CE4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1CBBD11B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08360DCB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Panel B. FLAG-IDA-treated non-</w:t>
            </w:r>
            <w:r w:rsidRPr="00973B13">
              <w:rPr>
                <w:i/>
                <w:iCs/>
                <w:sz w:val="22"/>
              </w:rPr>
              <w:t>MLLT3</w:t>
            </w:r>
            <w:r w:rsidRPr="00477F13">
              <w:rPr>
                <w:sz w:val="22"/>
              </w:rPr>
              <w:t xml:space="preserve"> </w:t>
            </w:r>
            <w:r w:rsidRPr="00973B13">
              <w:rPr>
                <w:i/>
                <w:iCs/>
                <w:sz w:val="22"/>
              </w:rPr>
              <w:t>KMT2A</w:t>
            </w:r>
            <w:r w:rsidRPr="00477F13">
              <w:rPr>
                <w:sz w:val="22"/>
              </w:rPr>
              <w:t>-rearranged AML</w:t>
            </w:r>
          </w:p>
        </w:tc>
      </w:tr>
      <w:tr w:rsidR="00683EFC" w:rsidRPr="00477F13" w14:paraId="17591B04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6C51C0AA" w14:textId="15CC79A0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EFS</w:t>
            </w:r>
            <w:r w:rsidR="005F3E6E" w:rsidRPr="00477F13">
              <w:rPr>
                <w:sz w:val="22"/>
              </w:rPr>
              <w:t xml:space="preserve"> (n</w:t>
            </w:r>
            <w:r w:rsidRPr="00477F13">
              <w:rPr>
                <w:sz w:val="22"/>
              </w:rPr>
              <w:t>=70; events=20; selected model n=70, events=20, variables=2</w:t>
            </w:r>
            <w:r w:rsidR="005F3E6E" w:rsidRPr="00477F13">
              <w:rPr>
                <w:sz w:val="22"/>
              </w:rPr>
              <w:t>)</w:t>
            </w:r>
          </w:p>
        </w:tc>
      </w:tr>
      <w:tr w:rsidR="00683EFC" w:rsidRPr="00477F13" w14:paraId="7192D172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506E3973" w14:textId="77777777" w:rsidR="00683EFC" w:rsidRPr="00477F13" w:rsidRDefault="00000000">
            <w:pPr>
              <w:jc w:val="center"/>
              <w:rPr>
                <w:sz w:val="22"/>
              </w:rPr>
            </w:pPr>
            <w:r w:rsidRPr="00477F13">
              <w:rPr>
                <w:sz w:val="22"/>
              </w:rPr>
              <w:t>Variable</w:t>
            </w:r>
          </w:p>
        </w:tc>
        <w:tc>
          <w:tcPr>
            <w:tcW w:w="784" w:type="pct"/>
          </w:tcPr>
          <w:p w14:paraId="2F9ED82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</w:t>
            </w:r>
          </w:p>
        </w:tc>
        <w:tc>
          <w:tcPr>
            <w:tcW w:w="540" w:type="pct"/>
          </w:tcPr>
          <w:p w14:paraId="7BD829A9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Reference n/events</w:t>
            </w:r>
          </w:p>
        </w:tc>
        <w:tc>
          <w:tcPr>
            <w:tcW w:w="551" w:type="pct"/>
          </w:tcPr>
          <w:p w14:paraId="2EC32724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 n/events</w:t>
            </w:r>
          </w:p>
        </w:tc>
        <w:tc>
          <w:tcPr>
            <w:tcW w:w="705" w:type="pct"/>
          </w:tcPr>
          <w:p w14:paraId="0FC15564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Univariable HR (95% CI)</w:t>
            </w:r>
          </w:p>
        </w:tc>
        <w:tc>
          <w:tcPr>
            <w:tcW w:w="365" w:type="pct"/>
          </w:tcPr>
          <w:p w14:paraId="06F5917B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P value</w:t>
            </w:r>
          </w:p>
        </w:tc>
        <w:tc>
          <w:tcPr>
            <w:tcW w:w="879" w:type="pct"/>
          </w:tcPr>
          <w:p w14:paraId="15DADF59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Selected multivariable HR (95% CI)</w:t>
            </w:r>
          </w:p>
        </w:tc>
        <w:tc>
          <w:tcPr>
            <w:tcW w:w="318" w:type="pct"/>
          </w:tcPr>
          <w:p w14:paraId="08B70DA3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P value</w:t>
            </w:r>
          </w:p>
        </w:tc>
      </w:tr>
      <w:tr w:rsidR="00683EFC" w:rsidRPr="00477F13" w14:paraId="73FCDBE1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2879FB33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Age at diagnosis</w:t>
            </w:r>
          </w:p>
        </w:tc>
        <w:tc>
          <w:tcPr>
            <w:tcW w:w="784" w:type="pct"/>
          </w:tcPr>
          <w:p w14:paraId="6AA6A5DF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 year vs &lt;1 year</w:t>
            </w:r>
          </w:p>
        </w:tc>
        <w:tc>
          <w:tcPr>
            <w:tcW w:w="540" w:type="pct"/>
          </w:tcPr>
          <w:p w14:paraId="16364DC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8/3</w:t>
            </w:r>
          </w:p>
        </w:tc>
        <w:tc>
          <w:tcPr>
            <w:tcW w:w="551" w:type="pct"/>
          </w:tcPr>
          <w:p w14:paraId="3C51B49D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62/17</w:t>
            </w:r>
          </w:p>
        </w:tc>
        <w:tc>
          <w:tcPr>
            <w:tcW w:w="705" w:type="pct"/>
          </w:tcPr>
          <w:p w14:paraId="258ABA2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0.80 (0.24–2.75)</w:t>
            </w:r>
          </w:p>
        </w:tc>
        <w:tc>
          <w:tcPr>
            <w:tcW w:w="365" w:type="pct"/>
          </w:tcPr>
          <w:p w14:paraId="5614898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0.728</w:t>
            </w:r>
          </w:p>
        </w:tc>
        <w:tc>
          <w:tcPr>
            <w:tcW w:w="879" w:type="pct"/>
          </w:tcPr>
          <w:p w14:paraId="6CED5A62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68B146F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5398469B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468C38A1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Sex</w:t>
            </w:r>
          </w:p>
        </w:tc>
        <w:tc>
          <w:tcPr>
            <w:tcW w:w="784" w:type="pct"/>
          </w:tcPr>
          <w:p w14:paraId="0C6555ED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Male vs female</w:t>
            </w:r>
          </w:p>
        </w:tc>
        <w:tc>
          <w:tcPr>
            <w:tcW w:w="540" w:type="pct"/>
          </w:tcPr>
          <w:p w14:paraId="269E2BFB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30/12</w:t>
            </w:r>
          </w:p>
        </w:tc>
        <w:tc>
          <w:tcPr>
            <w:tcW w:w="551" w:type="pct"/>
          </w:tcPr>
          <w:p w14:paraId="1D0A0F9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40/8</w:t>
            </w:r>
          </w:p>
        </w:tc>
        <w:tc>
          <w:tcPr>
            <w:tcW w:w="705" w:type="pct"/>
          </w:tcPr>
          <w:p w14:paraId="260480F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0.40 (0.16–0.98)</w:t>
            </w:r>
          </w:p>
        </w:tc>
        <w:tc>
          <w:tcPr>
            <w:tcW w:w="365" w:type="pct"/>
          </w:tcPr>
          <w:p w14:paraId="15D4B2F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0.045</w:t>
            </w:r>
          </w:p>
        </w:tc>
        <w:tc>
          <w:tcPr>
            <w:tcW w:w="879" w:type="pct"/>
          </w:tcPr>
          <w:p w14:paraId="1BE3684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0.33 (0.13–0.82)</w:t>
            </w:r>
          </w:p>
        </w:tc>
        <w:tc>
          <w:tcPr>
            <w:tcW w:w="318" w:type="pct"/>
          </w:tcPr>
          <w:p w14:paraId="7E2459DC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0.017</w:t>
            </w:r>
          </w:p>
        </w:tc>
      </w:tr>
      <w:tr w:rsidR="00683EFC" w:rsidRPr="00477F13" w14:paraId="05F47FF2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13D9818D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Presenting WBC count</w:t>
            </w:r>
          </w:p>
        </w:tc>
        <w:tc>
          <w:tcPr>
            <w:tcW w:w="784" w:type="pct"/>
          </w:tcPr>
          <w:p w14:paraId="1A4BBE84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≥50 vs &lt;50 ×10⁹/L</w:t>
            </w:r>
          </w:p>
        </w:tc>
        <w:tc>
          <w:tcPr>
            <w:tcW w:w="540" w:type="pct"/>
          </w:tcPr>
          <w:p w14:paraId="66D87B95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46/13</w:t>
            </w:r>
          </w:p>
        </w:tc>
        <w:tc>
          <w:tcPr>
            <w:tcW w:w="551" w:type="pct"/>
          </w:tcPr>
          <w:p w14:paraId="1A09F4B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24/7</w:t>
            </w:r>
          </w:p>
        </w:tc>
        <w:tc>
          <w:tcPr>
            <w:tcW w:w="705" w:type="pct"/>
          </w:tcPr>
          <w:p w14:paraId="0AFE1EC6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1.02 (0.41–2.57)</w:t>
            </w:r>
          </w:p>
        </w:tc>
        <w:tc>
          <w:tcPr>
            <w:tcW w:w="365" w:type="pct"/>
          </w:tcPr>
          <w:p w14:paraId="51EF42E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0.959</w:t>
            </w:r>
          </w:p>
        </w:tc>
        <w:tc>
          <w:tcPr>
            <w:tcW w:w="879" w:type="pct"/>
          </w:tcPr>
          <w:p w14:paraId="62E79CB8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6A742D23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369FDC2F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0FDD0D6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lastRenderedPageBreak/>
              <w:t>Extramedullary involvement</w:t>
            </w:r>
          </w:p>
        </w:tc>
        <w:tc>
          <w:tcPr>
            <w:tcW w:w="784" w:type="pct"/>
          </w:tcPr>
          <w:p w14:paraId="2E58F660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proofErr w:type="gramStart"/>
            <w:r w:rsidRPr="00477F13">
              <w:rPr>
                <w:sz w:val="22"/>
              </w:rPr>
              <w:t>Yes</w:t>
            </w:r>
            <w:proofErr w:type="gramEnd"/>
            <w:r w:rsidRPr="00477F13">
              <w:rPr>
                <w:sz w:val="22"/>
              </w:rPr>
              <w:t xml:space="preserve"> vs no</w:t>
            </w:r>
          </w:p>
        </w:tc>
        <w:tc>
          <w:tcPr>
            <w:tcW w:w="540" w:type="pct"/>
          </w:tcPr>
          <w:p w14:paraId="25F08A4F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69/20</w:t>
            </w:r>
          </w:p>
        </w:tc>
        <w:tc>
          <w:tcPr>
            <w:tcW w:w="551" w:type="pct"/>
          </w:tcPr>
          <w:p w14:paraId="17F6AC7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1/0</w:t>
            </w:r>
          </w:p>
        </w:tc>
        <w:tc>
          <w:tcPr>
            <w:tcW w:w="705" w:type="pct"/>
          </w:tcPr>
          <w:p w14:paraId="6D438B80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365" w:type="pct"/>
          </w:tcPr>
          <w:p w14:paraId="534B9CC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879" w:type="pct"/>
          </w:tcPr>
          <w:p w14:paraId="16CA015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5EA337C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6B26A0DE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2DCEB976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Morphologic CR after course 1</w:t>
            </w:r>
          </w:p>
        </w:tc>
        <w:tc>
          <w:tcPr>
            <w:tcW w:w="784" w:type="pct"/>
          </w:tcPr>
          <w:p w14:paraId="6EADBB28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No vs yes</w:t>
            </w:r>
          </w:p>
        </w:tc>
        <w:tc>
          <w:tcPr>
            <w:tcW w:w="540" w:type="pct"/>
          </w:tcPr>
          <w:p w14:paraId="19F1DED3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57/13</w:t>
            </w:r>
          </w:p>
        </w:tc>
        <w:tc>
          <w:tcPr>
            <w:tcW w:w="551" w:type="pct"/>
          </w:tcPr>
          <w:p w14:paraId="6EFE10B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13/7</w:t>
            </w:r>
          </w:p>
        </w:tc>
        <w:tc>
          <w:tcPr>
            <w:tcW w:w="705" w:type="pct"/>
          </w:tcPr>
          <w:p w14:paraId="23D3B13E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3.10 (1.23–7.78)</w:t>
            </w:r>
          </w:p>
        </w:tc>
        <w:tc>
          <w:tcPr>
            <w:tcW w:w="365" w:type="pct"/>
          </w:tcPr>
          <w:p w14:paraId="0B4367ED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0.016</w:t>
            </w:r>
          </w:p>
        </w:tc>
        <w:tc>
          <w:tcPr>
            <w:tcW w:w="879" w:type="pct"/>
          </w:tcPr>
          <w:p w14:paraId="33F69EC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3.87 (1.51–9.91)</w:t>
            </w:r>
          </w:p>
        </w:tc>
        <w:tc>
          <w:tcPr>
            <w:tcW w:w="318" w:type="pct"/>
          </w:tcPr>
          <w:p w14:paraId="173519AC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0.005</w:t>
            </w:r>
          </w:p>
        </w:tc>
      </w:tr>
      <w:tr w:rsidR="00683EFC" w:rsidRPr="00477F13" w14:paraId="53CA9CB5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43F64621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1</w:t>
            </w:r>
          </w:p>
        </w:tc>
        <w:tc>
          <w:tcPr>
            <w:tcW w:w="784" w:type="pct"/>
          </w:tcPr>
          <w:p w14:paraId="59ED45F7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≥1% vs &lt;1%</w:t>
            </w:r>
          </w:p>
        </w:tc>
        <w:tc>
          <w:tcPr>
            <w:tcW w:w="540" w:type="pct"/>
          </w:tcPr>
          <w:p w14:paraId="7EA1F6BC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44/14</w:t>
            </w:r>
          </w:p>
        </w:tc>
        <w:tc>
          <w:tcPr>
            <w:tcW w:w="551" w:type="pct"/>
          </w:tcPr>
          <w:p w14:paraId="26837A9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24/6</w:t>
            </w:r>
          </w:p>
        </w:tc>
        <w:tc>
          <w:tcPr>
            <w:tcW w:w="705" w:type="pct"/>
          </w:tcPr>
          <w:p w14:paraId="1D03BDAB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0.78 (0.30–2.04)</w:t>
            </w:r>
          </w:p>
        </w:tc>
        <w:tc>
          <w:tcPr>
            <w:tcW w:w="365" w:type="pct"/>
          </w:tcPr>
          <w:p w14:paraId="338FFA6D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0.616</w:t>
            </w:r>
          </w:p>
        </w:tc>
        <w:tc>
          <w:tcPr>
            <w:tcW w:w="879" w:type="pct"/>
          </w:tcPr>
          <w:p w14:paraId="3586EF0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148BD72D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223F1E62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1EEAB0E9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2</w:t>
            </w:r>
          </w:p>
        </w:tc>
        <w:tc>
          <w:tcPr>
            <w:tcW w:w="784" w:type="pct"/>
          </w:tcPr>
          <w:p w14:paraId="2C91965D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≥0.1% vs &lt;0.1%</w:t>
            </w:r>
          </w:p>
        </w:tc>
        <w:tc>
          <w:tcPr>
            <w:tcW w:w="540" w:type="pct"/>
          </w:tcPr>
          <w:p w14:paraId="68423EB5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58/15</w:t>
            </w:r>
          </w:p>
        </w:tc>
        <w:tc>
          <w:tcPr>
            <w:tcW w:w="551" w:type="pct"/>
          </w:tcPr>
          <w:p w14:paraId="506C8630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11/5</w:t>
            </w:r>
          </w:p>
        </w:tc>
        <w:tc>
          <w:tcPr>
            <w:tcW w:w="705" w:type="pct"/>
          </w:tcPr>
          <w:p w14:paraId="6E64B082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1.98 (0.72–5.45)</w:t>
            </w:r>
          </w:p>
        </w:tc>
        <w:tc>
          <w:tcPr>
            <w:tcW w:w="365" w:type="pct"/>
          </w:tcPr>
          <w:p w14:paraId="27D4599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0.187</w:t>
            </w:r>
          </w:p>
        </w:tc>
        <w:tc>
          <w:tcPr>
            <w:tcW w:w="879" w:type="pct"/>
          </w:tcPr>
          <w:p w14:paraId="187E0B7D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368B8A22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663AD57A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6A7D5BE2" w14:textId="44830E6B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OS</w:t>
            </w:r>
            <w:r w:rsidR="005F3E6E" w:rsidRPr="00477F13">
              <w:rPr>
                <w:sz w:val="22"/>
              </w:rPr>
              <w:t xml:space="preserve"> (n</w:t>
            </w:r>
            <w:r w:rsidRPr="00477F13">
              <w:rPr>
                <w:sz w:val="22"/>
              </w:rPr>
              <w:t>=70; events=15; one-covariate selected model (n=70, events=15); not an adjusted multivariable model</w:t>
            </w:r>
            <w:r w:rsidR="005F3E6E" w:rsidRPr="00477F13">
              <w:rPr>
                <w:sz w:val="22"/>
              </w:rPr>
              <w:t>)</w:t>
            </w:r>
          </w:p>
        </w:tc>
      </w:tr>
      <w:tr w:rsidR="00683EFC" w:rsidRPr="00477F13" w14:paraId="10B144BD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7A1C8421" w14:textId="77777777" w:rsidR="00683EFC" w:rsidRPr="00477F13" w:rsidRDefault="00000000">
            <w:pPr>
              <w:jc w:val="center"/>
              <w:rPr>
                <w:sz w:val="22"/>
              </w:rPr>
            </w:pPr>
            <w:r w:rsidRPr="00477F13">
              <w:rPr>
                <w:sz w:val="22"/>
              </w:rPr>
              <w:t>Variable</w:t>
            </w:r>
          </w:p>
        </w:tc>
        <w:tc>
          <w:tcPr>
            <w:tcW w:w="784" w:type="pct"/>
          </w:tcPr>
          <w:p w14:paraId="3305EBE3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</w:t>
            </w:r>
          </w:p>
        </w:tc>
        <w:tc>
          <w:tcPr>
            <w:tcW w:w="540" w:type="pct"/>
          </w:tcPr>
          <w:p w14:paraId="05372DB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Reference n/events</w:t>
            </w:r>
          </w:p>
        </w:tc>
        <w:tc>
          <w:tcPr>
            <w:tcW w:w="551" w:type="pct"/>
          </w:tcPr>
          <w:p w14:paraId="30E1C5E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 n/events</w:t>
            </w:r>
          </w:p>
        </w:tc>
        <w:tc>
          <w:tcPr>
            <w:tcW w:w="705" w:type="pct"/>
          </w:tcPr>
          <w:p w14:paraId="60723BDB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Univariable HR (95% CI)</w:t>
            </w:r>
          </w:p>
        </w:tc>
        <w:tc>
          <w:tcPr>
            <w:tcW w:w="365" w:type="pct"/>
          </w:tcPr>
          <w:p w14:paraId="196F33F3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P value</w:t>
            </w:r>
          </w:p>
        </w:tc>
        <w:tc>
          <w:tcPr>
            <w:tcW w:w="879" w:type="pct"/>
          </w:tcPr>
          <w:p w14:paraId="5A28C0A0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Selected multivariable HR (95% CI)</w:t>
            </w:r>
          </w:p>
        </w:tc>
        <w:tc>
          <w:tcPr>
            <w:tcW w:w="318" w:type="pct"/>
          </w:tcPr>
          <w:p w14:paraId="6872A1AC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P value</w:t>
            </w:r>
          </w:p>
        </w:tc>
      </w:tr>
      <w:tr w:rsidR="00683EFC" w:rsidRPr="00477F13" w14:paraId="6289B04B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7BA6C6CC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Age at diagnosis</w:t>
            </w:r>
          </w:p>
        </w:tc>
        <w:tc>
          <w:tcPr>
            <w:tcW w:w="784" w:type="pct"/>
          </w:tcPr>
          <w:p w14:paraId="48256C88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 year vs &lt;1 year</w:t>
            </w:r>
          </w:p>
        </w:tc>
        <w:tc>
          <w:tcPr>
            <w:tcW w:w="540" w:type="pct"/>
          </w:tcPr>
          <w:p w14:paraId="5EC170F3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8/2</w:t>
            </w:r>
          </w:p>
        </w:tc>
        <w:tc>
          <w:tcPr>
            <w:tcW w:w="551" w:type="pct"/>
          </w:tcPr>
          <w:p w14:paraId="3E17086C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62/13</w:t>
            </w:r>
          </w:p>
        </w:tc>
        <w:tc>
          <w:tcPr>
            <w:tcW w:w="705" w:type="pct"/>
          </w:tcPr>
          <w:p w14:paraId="14AAF187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0.92 (0.21–4.07)</w:t>
            </w:r>
          </w:p>
        </w:tc>
        <w:tc>
          <w:tcPr>
            <w:tcW w:w="365" w:type="pct"/>
          </w:tcPr>
          <w:p w14:paraId="7D0076CB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0.909</w:t>
            </w:r>
          </w:p>
        </w:tc>
        <w:tc>
          <w:tcPr>
            <w:tcW w:w="879" w:type="pct"/>
          </w:tcPr>
          <w:p w14:paraId="15DA5724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744DAA43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73629D50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573D12EC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Sex</w:t>
            </w:r>
          </w:p>
        </w:tc>
        <w:tc>
          <w:tcPr>
            <w:tcW w:w="784" w:type="pct"/>
          </w:tcPr>
          <w:p w14:paraId="5D0BD43B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Male vs female</w:t>
            </w:r>
          </w:p>
        </w:tc>
        <w:tc>
          <w:tcPr>
            <w:tcW w:w="540" w:type="pct"/>
          </w:tcPr>
          <w:p w14:paraId="29D9B5E0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30/10</w:t>
            </w:r>
          </w:p>
        </w:tc>
        <w:tc>
          <w:tcPr>
            <w:tcW w:w="551" w:type="pct"/>
          </w:tcPr>
          <w:p w14:paraId="20230F12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40/5</w:t>
            </w:r>
          </w:p>
        </w:tc>
        <w:tc>
          <w:tcPr>
            <w:tcW w:w="705" w:type="pct"/>
          </w:tcPr>
          <w:p w14:paraId="7C05DDF5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0.31 (0.11–0.92)</w:t>
            </w:r>
          </w:p>
        </w:tc>
        <w:tc>
          <w:tcPr>
            <w:tcW w:w="365" w:type="pct"/>
          </w:tcPr>
          <w:p w14:paraId="0820F798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0.034</w:t>
            </w:r>
          </w:p>
        </w:tc>
        <w:tc>
          <w:tcPr>
            <w:tcW w:w="879" w:type="pct"/>
          </w:tcPr>
          <w:p w14:paraId="73C731CC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0.31 (0.11–0.92)</w:t>
            </w:r>
          </w:p>
        </w:tc>
        <w:tc>
          <w:tcPr>
            <w:tcW w:w="318" w:type="pct"/>
          </w:tcPr>
          <w:p w14:paraId="3BCE4610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0.034</w:t>
            </w:r>
          </w:p>
        </w:tc>
      </w:tr>
      <w:tr w:rsidR="00683EFC" w:rsidRPr="00477F13" w14:paraId="63EF9178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293A0D89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Presenting WBC count</w:t>
            </w:r>
          </w:p>
        </w:tc>
        <w:tc>
          <w:tcPr>
            <w:tcW w:w="784" w:type="pct"/>
          </w:tcPr>
          <w:p w14:paraId="332603D5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≥50 vs &lt;50 ×10⁹/L</w:t>
            </w:r>
          </w:p>
        </w:tc>
        <w:tc>
          <w:tcPr>
            <w:tcW w:w="540" w:type="pct"/>
          </w:tcPr>
          <w:p w14:paraId="546DCBA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46/9</w:t>
            </w:r>
          </w:p>
        </w:tc>
        <w:tc>
          <w:tcPr>
            <w:tcW w:w="551" w:type="pct"/>
          </w:tcPr>
          <w:p w14:paraId="132ADE9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24/6</w:t>
            </w:r>
          </w:p>
        </w:tc>
        <w:tc>
          <w:tcPr>
            <w:tcW w:w="705" w:type="pct"/>
          </w:tcPr>
          <w:p w14:paraId="6EAA630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1.16 (0.41–3.25)</w:t>
            </w:r>
          </w:p>
        </w:tc>
        <w:tc>
          <w:tcPr>
            <w:tcW w:w="365" w:type="pct"/>
          </w:tcPr>
          <w:p w14:paraId="19A50BE3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0.782</w:t>
            </w:r>
          </w:p>
        </w:tc>
        <w:tc>
          <w:tcPr>
            <w:tcW w:w="879" w:type="pct"/>
          </w:tcPr>
          <w:p w14:paraId="6BC5B3F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1A951266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163B22A6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78AC8E32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Extramedullary involvement</w:t>
            </w:r>
          </w:p>
        </w:tc>
        <w:tc>
          <w:tcPr>
            <w:tcW w:w="784" w:type="pct"/>
          </w:tcPr>
          <w:p w14:paraId="0ED7F9B2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proofErr w:type="gramStart"/>
            <w:r w:rsidRPr="00477F13">
              <w:rPr>
                <w:sz w:val="22"/>
              </w:rPr>
              <w:t>Yes</w:t>
            </w:r>
            <w:proofErr w:type="gramEnd"/>
            <w:r w:rsidRPr="00477F13">
              <w:rPr>
                <w:sz w:val="22"/>
              </w:rPr>
              <w:t xml:space="preserve"> vs no</w:t>
            </w:r>
          </w:p>
        </w:tc>
        <w:tc>
          <w:tcPr>
            <w:tcW w:w="540" w:type="pct"/>
          </w:tcPr>
          <w:p w14:paraId="0E92D9F0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69/15</w:t>
            </w:r>
          </w:p>
        </w:tc>
        <w:tc>
          <w:tcPr>
            <w:tcW w:w="551" w:type="pct"/>
          </w:tcPr>
          <w:p w14:paraId="32BF8F7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1/0</w:t>
            </w:r>
          </w:p>
        </w:tc>
        <w:tc>
          <w:tcPr>
            <w:tcW w:w="705" w:type="pct"/>
          </w:tcPr>
          <w:p w14:paraId="79EFF32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365" w:type="pct"/>
          </w:tcPr>
          <w:p w14:paraId="054F924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879" w:type="pct"/>
          </w:tcPr>
          <w:p w14:paraId="58ABA4B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4BDA7158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68655304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75AD006F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Morphologic CR after course 1</w:t>
            </w:r>
          </w:p>
        </w:tc>
        <w:tc>
          <w:tcPr>
            <w:tcW w:w="784" w:type="pct"/>
          </w:tcPr>
          <w:p w14:paraId="08F6A321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No vs yes</w:t>
            </w:r>
          </w:p>
        </w:tc>
        <w:tc>
          <w:tcPr>
            <w:tcW w:w="540" w:type="pct"/>
          </w:tcPr>
          <w:p w14:paraId="78DCE5C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57/10</w:t>
            </w:r>
          </w:p>
        </w:tc>
        <w:tc>
          <w:tcPr>
            <w:tcW w:w="551" w:type="pct"/>
          </w:tcPr>
          <w:p w14:paraId="4D6702D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13/5</w:t>
            </w:r>
          </w:p>
        </w:tc>
        <w:tc>
          <w:tcPr>
            <w:tcW w:w="705" w:type="pct"/>
          </w:tcPr>
          <w:p w14:paraId="03E5CBC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2.21 (0.75–6.47)</w:t>
            </w:r>
          </w:p>
        </w:tc>
        <w:tc>
          <w:tcPr>
            <w:tcW w:w="365" w:type="pct"/>
          </w:tcPr>
          <w:p w14:paraId="21C65B12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0.148</w:t>
            </w:r>
          </w:p>
        </w:tc>
        <w:tc>
          <w:tcPr>
            <w:tcW w:w="879" w:type="pct"/>
          </w:tcPr>
          <w:p w14:paraId="51A07E9B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1525DB93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109B719E" w14:textId="77777777" w:rsidTr="00052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122EBEA3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1</w:t>
            </w:r>
          </w:p>
        </w:tc>
        <w:tc>
          <w:tcPr>
            <w:tcW w:w="784" w:type="pct"/>
          </w:tcPr>
          <w:p w14:paraId="26542232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≥1% vs &lt;1%</w:t>
            </w:r>
          </w:p>
        </w:tc>
        <w:tc>
          <w:tcPr>
            <w:tcW w:w="540" w:type="pct"/>
          </w:tcPr>
          <w:p w14:paraId="04B0ADBC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44/11</w:t>
            </w:r>
          </w:p>
        </w:tc>
        <w:tc>
          <w:tcPr>
            <w:tcW w:w="551" w:type="pct"/>
          </w:tcPr>
          <w:p w14:paraId="0905C96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24/4</w:t>
            </w:r>
          </w:p>
        </w:tc>
        <w:tc>
          <w:tcPr>
            <w:tcW w:w="705" w:type="pct"/>
          </w:tcPr>
          <w:p w14:paraId="3E0C78E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0.62 (0.20–1.96)</w:t>
            </w:r>
          </w:p>
        </w:tc>
        <w:tc>
          <w:tcPr>
            <w:tcW w:w="365" w:type="pct"/>
          </w:tcPr>
          <w:p w14:paraId="7F86A20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0.419</w:t>
            </w:r>
          </w:p>
        </w:tc>
        <w:tc>
          <w:tcPr>
            <w:tcW w:w="879" w:type="pct"/>
          </w:tcPr>
          <w:p w14:paraId="6B04147B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1692964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7FA11F11" w14:textId="77777777" w:rsidTr="00052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366275B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2</w:t>
            </w:r>
          </w:p>
        </w:tc>
        <w:tc>
          <w:tcPr>
            <w:tcW w:w="784" w:type="pct"/>
          </w:tcPr>
          <w:p w14:paraId="7A4BCE77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≥0.1% vs &lt;0.1%</w:t>
            </w:r>
          </w:p>
        </w:tc>
        <w:tc>
          <w:tcPr>
            <w:tcW w:w="540" w:type="pct"/>
          </w:tcPr>
          <w:p w14:paraId="493CA04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58/12</w:t>
            </w:r>
          </w:p>
        </w:tc>
        <w:tc>
          <w:tcPr>
            <w:tcW w:w="551" w:type="pct"/>
          </w:tcPr>
          <w:p w14:paraId="35DD4644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11/3</w:t>
            </w:r>
          </w:p>
        </w:tc>
        <w:tc>
          <w:tcPr>
            <w:tcW w:w="705" w:type="pct"/>
          </w:tcPr>
          <w:p w14:paraId="04DD7852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1.42 (0.40–5.04)</w:t>
            </w:r>
          </w:p>
        </w:tc>
        <w:tc>
          <w:tcPr>
            <w:tcW w:w="365" w:type="pct"/>
          </w:tcPr>
          <w:p w14:paraId="3F5D9E8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0.587</w:t>
            </w:r>
          </w:p>
        </w:tc>
        <w:tc>
          <w:tcPr>
            <w:tcW w:w="879" w:type="pct"/>
          </w:tcPr>
          <w:p w14:paraId="0598935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18" w:type="pct"/>
          </w:tcPr>
          <w:p w14:paraId="49593DB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</w:tbl>
    <w:p w14:paraId="56AFA5F5" w14:textId="154B702B" w:rsidR="005F3E6E" w:rsidRPr="00477F13" w:rsidRDefault="00000000">
      <w:pPr>
        <w:spacing w:before="20"/>
        <w:rPr>
          <w:sz w:val="22"/>
        </w:rPr>
      </w:pPr>
      <w:r w:rsidRPr="00477F13">
        <w:rPr>
          <w:sz w:val="22"/>
        </w:rPr>
        <w:lastRenderedPageBreak/>
        <w:t>Data are HRs (95% CIs). Variables with univariable Wald P</w:t>
      </w:r>
      <w:r w:rsidR="005F3E6E" w:rsidRPr="00477F13">
        <w:rPr>
          <w:sz w:val="22"/>
        </w:rPr>
        <w:t xml:space="preserve"> </w:t>
      </w:r>
      <w:r w:rsidRPr="00477F13">
        <w:rPr>
          <w:sz w:val="22"/>
        </w:rPr>
        <w:t>&lt;</w:t>
      </w:r>
      <w:r w:rsidR="005F3E6E" w:rsidRPr="00477F13">
        <w:rPr>
          <w:sz w:val="22"/>
        </w:rPr>
        <w:t xml:space="preserve"> </w:t>
      </w:r>
      <w:r w:rsidRPr="00477F13">
        <w:rPr>
          <w:sz w:val="22"/>
        </w:rPr>
        <w:t xml:space="preserve">0.05 entered the selected model. NE, not reliably estimable because of zero events in one category or model singularity; —, not entered/no selected model. </w:t>
      </w:r>
      <w:r w:rsidRPr="00973B13">
        <w:rPr>
          <w:i/>
          <w:iCs/>
          <w:sz w:val="22"/>
        </w:rPr>
        <w:t>MLLT3</w:t>
      </w:r>
      <w:r w:rsidRPr="00477F13">
        <w:rPr>
          <w:sz w:val="22"/>
        </w:rPr>
        <w:t xml:space="preserve"> denotes </w:t>
      </w:r>
      <w:r w:rsidRPr="00973B13">
        <w:rPr>
          <w:i/>
          <w:iCs/>
          <w:sz w:val="22"/>
        </w:rPr>
        <w:t>KMT2</w:t>
      </w:r>
      <w:proofErr w:type="gramStart"/>
      <w:r w:rsidRPr="00973B13">
        <w:rPr>
          <w:i/>
          <w:iCs/>
          <w:sz w:val="22"/>
        </w:rPr>
        <w:t>A::</w:t>
      </w:r>
      <w:proofErr w:type="gramEnd"/>
      <w:r w:rsidRPr="00973B13">
        <w:rPr>
          <w:i/>
          <w:iCs/>
          <w:sz w:val="22"/>
        </w:rPr>
        <w:t>MLLT3; KMT2</w:t>
      </w:r>
      <w:proofErr w:type="gramStart"/>
      <w:r w:rsidRPr="00973B13">
        <w:rPr>
          <w:i/>
          <w:iCs/>
          <w:sz w:val="22"/>
        </w:rPr>
        <w:t>A::</w:t>
      </w:r>
      <w:proofErr w:type="gramEnd"/>
      <w:r w:rsidRPr="00973B13">
        <w:rPr>
          <w:i/>
          <w:iCs/>
          <w:sz w:val="22"/>
        </w:rPr>
        <w:t>MLLT11</w:t>
      </w:r>
      <w:r w:rsidRPr="00477F13">
        <w:rPr>
          <w:sz w:val="22"/>
        </w:rPr>
        <w:t xml:space="preserve"> was grouped as non-</w:t>
      </w:r>
      <w:r w:rsidRPr="00973B13">
        <w:rPr>
          <w:i/>
          <w:iCs/>
          <w:sz w:val="22"/>
        </w:rPr>
        <w:t>MLLT3</w:t>
      </w:r>
      <w:r w:rsidRPr="00477F13">
        <w:rPr>
          <w:sz w:val="22"/>
        </w:rPr>
        <w:t>.</w:t>
      </w:r>
    </w:p>
    <w:p w14:paraId="6331D8F8" w14:textId="72CCED3E" w:rsidR="00683EFC" w:rsidRPr="00477F13" w:rsidRDefault="00000000">
      <w:pPr>
        <w:spacing w:before="20"/>
        <w:rPr>
          <w:sz w:val="22"/>
        </w:rPr>
      </w:pPr>
      <w:r w:rsidRPr="00973B13">
        <w:rPr>
          <w:b/>
          <w:bCs/>
          <w:sz w:val="22"/>
        </w:rPr>
        <w:t>Abbreviations:</w:t>
      </w:r>
      <w:r w:rsidRPr="00477F13">
        <w:rPr>
          <w:sz w:val="22"/>
        </w:rPr>
        <w:t xml:space="preserve"> CI, confidence interval; CR, complete remission; DAE, daunorubicin, cytarabine, and etoposide; EFS, event-free survival; FLAG-IDA, fludarabine, high-dose cytarabine, granulocyte colony-stimulating factor, and idarubicin; HR, hazard ratio; MRD, measurable residual disease; OS, overall survival; WBC, white blood cell.</w:t>
      </w:r>
    </w:p>
    <w:p w14:paraId="026E6A08" w14:textId="77777777" w:rsidR="00683EFC" w:rsidRDefault="00683EFC">
      <w:pPr>
        <w:ind w:firstLine="0"/>
        <w:jc w:val="left"/>
        <w:rPr>
          <w:sz w:val="22"/>
        </w:rPr>
      </w:pPr>
    </w:p>
    <w:sectPr w:rsidR="00683EFC" w:rsidSect="00E07EB1">
      <w:headerReference w:type="default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375DE" w14:textId="77777777" w:rsidR="00EC0DE3" w:rsidRDefault="00EC0DE3">
      <w:pPr>
        <w:spacing w:line="240" w:lineRule="auto"/>
      </w:pPr>
      <w:r>
        <w:separator/>
      </w:r>
    </w:p>
  </w:endnote>
  <w:endnote w:type="continuationSeparator" w:id="0">
    <w:p w14:paraId="16C01E50" w14:textId="77777777" w:rsidR="00EC0DE3" w:rsidRDefault="00EC0D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1D517" w14:textId="77777777" w:rsidR="00683EFC" w:rsidRDefault="00683EFC">
    <w:pPr>
      <w:pStyle w:val="Footer"/>
      <w:jc w:val="center"/>
    </w:pPr>
  </w:p>
  <w:p w14:paraId="25987DD7" w14:textId="77777777" w:rsidR="00683EFC" w:rsidRDefault="00683EFC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194F6" w14:textId="77777777" w:rsidR="00EC0DE3" w:rsidRDefault="00EC0DE3">
      <w:pPr>
        <w:spacing w:line="240" w:lineRule="auto"/>
      </w:pPr>
      <w:r>
        <w:separator/>
      </w:r>
    </w:p>
  </w:footnote>
  <w:footnote w:type="continuationSeparator" w:id="0">
    <w:p w14:paraId="406E9860" w14:textId="77777777" w:rsidR="00EC0DE3" w:rsidRDefault="00EC0D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B339" w14:textId="77777777" w:rsidR="00683EFC" w:rsidRDefault="00683EFC">
    <w:pPr>
      <w:pStyle w:val="Header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9051A"/>
    <w:multiLevelType w:val="multilevel"/>
    <w:tmpl w:val="B3262EB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 w15:restartNumberingAfterBreak="0">
    <w:nsid w:val="1DAE660E"/>
    <w:multiLevelType w:val="multilevel"/>
    <w:tmpl w:val="F56CF5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222B7DBE"/>
    <w:multiLevelType w:val="multilevel"/>
    <w:tmpl w:val="4BE2AD0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27C912E0"/>
    <w:multiLevelType w:val="multilevel"/>
    <w:tmpl w:val="AC76CD32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</w:abstractNum>
  <w:abstractNum w:abstractNumId="4" w15:restartNumberingAfterBreak="0">
    <w:nsid w:val="78C86404"/>
    <w:multiLevelType w:val="multilevel"/>
    <w:tmpl w:val="7EB8CC1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 w16cid:durableId="1281567984">
    <w:abstractNumId w:val="4"/>
  </w:num>
  <w:num w:numId="2" w16cid:durableId="163398834">
    <w:abstractNumId w:val="2"/>
  </w:num>
  <w:num w:numId="3" w16cid:durableId="384647559">
    <w:abstractNumId w:val="0"/>
  </w:num>
  <w:num w:numId="4" w16cid:durableId="1892964147">
    <w:abstractNumId w:val="3"/>
  </w:num>
  <w:num w:numId="5" w16cid:durableId="1819613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FC"/>
    <w:rsid w:val="000520E9"/>
    <w:rsid w:val="00081D7B"/>
    <w:rsid w:val="001E7BBF"/>
    <w:rsid w:val="002402E3"/>
    <w:rsid w:val="0027308F"/>
    <w:rsid w:val="002813C3"/>
    <w:rsid w:val="003B34AE"/>
    <w:rsid w:val="00477F13"/>
    <w:rsid w:val="00585103"/>
    <w:rsid w:val="005F3E6E"/>
    <w:rsid w:val="00683EFC"/>
    <w:rsid w:val="006E62ED"/>
    <w:rsid w:val="0071739E"/>
    <w:rsid w:val="007352E4"/>
    <w:rsid w:val="00742FB7"/>
    <w:rsid w:val="00770DEA"/>
    <w:rsid w:val="008170A1"/>
    <w:rsid w:val="00827765"/>
    <w:rsid w:val="008500F5"/>
    <w:rsid w:val="009574DE"/>
    <w:rsid w:val="00973B13"/>
    <w:rsid w:val="00A955AE"/>
    <w:rsid w:val="00BC67D9"/>
    <w:rsid w:val="00BD57DE"/>
    <w:rsid w:val="00C36C29"/>
    <w:rsid w:val="00C5643E"/>
    <w:rsid w:val="00C57B51"/>
    <w:rsid w:val="00CF1DED"/>
    <w:rsid w:val="00DA18A9"/>
    <w:rsid w:val="00DD770D"/>
    <w:rsid w:val="00E07EB1"/>
    <w:rsid w:val="00EC0DE3"/>
    <w:rsid w:val="00EC2A33"/>
    <w:rsid w:val="00F1343C"/>
    <w:rsid w:val="00F23673"/>
    <w:rsid w:val="00FF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43083"/>
  <w15:docId w15:val="{F2CC58D7-AF9B-1A4A-AF80-E17DC350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qFormat/>
    <w:pPr>
      <w:widowControl w:val="0"/>
      <w:spacing w:line="360" w:lineRule="auto"/>
      <w:ind w:firstLine="200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pPr>
      <w:spacing w:after="160"/>
      <w:ind w:left="1440" w:right="1440" w:firstLine="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Normal"/>
    <w:next w:val="Normal"/>
    <w:pPr>
      <w:keepNext/>
      <w:keepLines/>
      <w:ind w:left="1440"/>
      <w:outlineLvl w:val="8"/>
    </w:pPr>
    <w:rPr>
      <w:sz w:val="22"/>
    </w:rPr>
  </w:style>
  <w:style w:type="paragraph" w:customStyle="1" w:styleId="Acknowledgements">
    <w:name w:val="Acknowledgements"/>
    <w:basedOn w:val="Normal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paragraph" w:customStyle="1" w:styleId="Annotation">
    <w:name w:val="Annotation"/>
    <w:basedOn w:val="Normal"/>
    <w:pPr>
      <w:spacing w:after="160"/>
      <w:ind w:left="400" w:firstLine="0"/>
      <w:jc w:val="left"/>
    </w:pPr>
    <w:rPr>
      <w:rFonts w:ascii="Calibri" w:eastAsia="Calibri" w:hAnsi="Calibri" w:cs="Calibr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</w:rPr>
  </w:style>
  <w:style w:type="paragraph" w:styleId="CommentSubject">
    <w:name w:val="annotation subject"/>
    <w:basedOn w:val="CommentText"/>
    <w:pPr>
      <w:spacing w:line="240" w:lineRule="auto"/>
      <w:ind w:firstLine="200"/>
      <w:jc w:val="both"/>
    </w:pPr>
    <w:rPr>
      <w:rFonts w:ascii="Times New Roman" w:eastAsia="Times New Roman" w:hAnsi="Times New Roman" w:cs="Times New Roman"/>
      <w:b/>
    </w:rPr>
  </w:style>
  <w:style w:type="paragraph" w:styleId="CommentText">
    <w:name w:val="annotation text"/>
    <w:basedOn w:val="Normal"/>
    <w:uiPriority w:val="99"/>
    <w:semiHidden/>
    <w:unhideWhenUsed/>
    <w:pPr>
      <w:ind w:firstLine="0"/>
      <w:jc w:val="left"/>
    </w:pPr>
    <w:rPr>
      <w:rFonts w:ascii="Calibri" w:eastAsia="Calibri" w:hAnsi="Calibri" w:cs="Calibri"/>
      <w:sz w:val="20"/>
    </w:rPr>
  </w:style>
  <w:style w:type="character" w:customStyle="1" w:styleId="ArticleTitle">
    <w:name w:val="Article Title"/>
    <w:basedOn w:val="DefaultParagraphFont"/>
    <w:qFormat/>
  </w:style>
  <w:style w:type="paragraph" w:customStyle="1" w:styleId="Authors">
    <w:name w:val="Authors"/>
    <w:basedOn w:val="Normal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Biography">
    <w:name w:val="Biography"/>
    <w:basedOn w:val="Normal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styleId="BlockText">
    <w:name w:val="Block Text"/>
    <w:basedOn w:val="Normal"/>
    <w:pPr>
      <w:spacing w:after="160"/>
      <w:ind w:left="1200"/>
    </w:pPr>
    <w:rPr>
      <w:rFonts w:ascii="Calibri" w:eastAsia="Calibri" w:hAnsi="Calibri" w:cs="Calibri"/>
      <w:sz w:val="22"/>
    </w:rPr>
  </w:style>
  <w:style w:type="paragraph" w:styleId="Caption">
    <w:name w:val="caption"/>
    <w:basedOn w:val="Normal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character" w:customStyle="1" w:styleId="City">
    <w:name w:val="City"/>
    <w:basedOn w:val="DefaultParagraphFont"/>
  </w:style>
  <w:style w:type="character" w:customStyle="1" w:styleId="Conference">
    <w:name w:val="Conference"/>
    <w:basedOn w:val="DefaultParagraphFont"/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</w:r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character" w:customStyle="1" w:styleId="Country">
    <w:name w:val="Country"/>
    <w:basedOn w:val="DefaultParagraphFont"/>
  </w:style>
  <w:style w:type="character" w:customStyle="1" w:styleId="Cross-reference">
    <w:name w:val="Cross-reference"/>
    <w:basedOn w:val="DefaultParagraphFont"/>
  </w:style>
  <w:style w:type="character" w:customStyle="1" w:styleId="DatabaseLink">
    <w:name w:val="Database Link"/>
    <w:basedOn w:val="DefaultParagraphFont"/>
  </w:style>
  <w:style w:type="character" w:customStyle="1" w:styleId="Edition">
    <w:name w:val="Edition"/>
    <w:basedOn w:val="DefaultParagraphFont"/>
  </w:style>
  <w:style w:type="character" w:styleId="EndnoteReference">
    <w:name w:val="endnote reference"/>
    <w:basedOn w:val="DefaultParagraphFont"/>
    <w:rPr>
      <w:vertAlign w:val="superscript"/>
    </w:rPr>
  </w:style>
  <w:style w:type="paragraph" w:styleId="EndnoteText">
    <w:name w:val="endnote text"/>
    <w:basedOn w:val="Normal"/>
    <w:rPr>
      <w:rFonts w:ascii="Calibri" w:eastAsia="Calibri" w:hAnsi="Calibri" w:cs="Calibri"/>
    </w:rPr>
  </w:style>
  <w:style w:type="character" w:customStyle="1" w:styleId="FamilyName">
    <w:name w:val="Family Name"/>
    <w:basedOn w:val="DefaultParagraphFont"/>
  </w:style>
  <w:style w:type="character" w:styleId="FootnoteReference">
    <w:name w:val="footnote reference"/>
    <w:basedOn w:val="DefaultParagraphFont"/>
    <w:rPr>
      <w:vertAlign w:val="superscript"/>
    </w:rPr>
  </w:style>
  <w:style w:type="paragraph" w:styleId="FootnoteText">
    <w:name w:val="footnote text"/>
    <w:basedOn w:val="Normal"/>
    <w:rPr>
      <w:rFonts w:ascii="Calibri" w:eastAsia="Calibri" w:hAnsi="Calibri" w:cs="Calibri"/>
    </w:rPr>
  </w:style>
  <w:style w:type="paragraph" w:customStyle="1" w:styleId="Formula">
    <w:name w:val="Formula"/>
    <w:basedOn w:val="Normal"/>
    <w:pPr>
      <w:shd w:val="clear" w:color="auto" w:fill="FFF5ED"/>
      <w:spacing w:before="120" w:after="120"/>
      <w:jc w:val="left"/>
    </w:pPr>
    <w:rPr>
      <w:rFonts w:ascii="Calibri" w:eastAsia="Calibri" w:hAnsi="Calibri" w:cs="Calibri"/>
      <w:sz w:val="22"/>
    </w:rPr>
  </w:style>
  <w:style w:type="character" w:customStyle="1" w:styleId="GeneSequence">
    <w:name w:val="Gene Sequence"/>
    <w:basedOn w:val="DefaultParagraphFont"/>
  </w:style>
  <w:style w:type="character" w:customStyle="1" w:styleId="GivenName">
    <w:name w:val="Given Name"/>
    <w:basedOn w:val="DefaultParagraphFont"/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character" w:customStyle="1" w:styleId="GlossaryTerm">
    <w:name w:val="Glossary Term"/>
    <w:basedOn w:val="DefaultParagraphFont"/>
  </w:style>
  <w:style w:type="character" w:customStyle="1" w:styleId="GrantID">
    <w:name w:val="Grant ID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Heading">
    <w:name w:val="Heading:"/>
    <w:basedOn w:val="DefaultParagraphFont"/>
    <w:rPr>
      <w:color w:val="5B89C1"/>
    </w:rPr>
  </w:style>
  <w:style w:type="character" w:styleId="Hyperlink">
    <w:name w:val="Hyperlink"/>
    <w:basedOn w:val="DefaultParagraphFont"/>
    <w:rPr>
      <w:color w:val="0563C1"/>
    </w:rPr>
  </w:style>
  <w:style w:type="character" w:customStyle="1" w:styleId="IssueNumber">
    <w:name w:val="Issue Number"/>
    <w:basedOn w:val="DefaultParagraphFont"/>
  </w:style>
  <w:style w:type="paragraph" w:customStyle="1" w:styleId="Keywords">
    <w:name w:val="Keywords"/>
    <w:basedOn w:val="Normal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Label">
    <w:name w:val="Label"/>
    <w:basedOn w:val="DefaultParagraphFont"/>
    <w:rPr>
      <w:vertAlign w:val="baseline"/>
    </w:rPr>
  </w:style>
  <w:style w:type="paragraph" w:styleId="List">
    <w:name w:val="List"/>
    <w:basedOn w:val="Normal"/>
    <w:pPr>
      <w:ind w:left="400" w:hanging="400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Normal"/>
    <w:pPr>
      <w:ind w:left="1200" w:hanging="600"/>
    </w:pPr>
    <w:rPr>
      <w:sz w:val="22"/>
    </w:rPr>
  </w:style>
  <w:style w:type="paragraph" w:styleId="List2">
    <w:name w:val="List 2"/>
    <w:basedOn w:val="Normal"/>
    <w:pPr>
      <w:ind w:left="800" w:hanging="400"/>
    </w:pPr>
    <w:rPr>
      <w:rFonts w:ascii="Calibri" w:eastAsia="Calibri" w:hAnsi="Calibri" w:cs="Calibri"/>
      <w:sz w:val="22"/>
    </w:rPr>
  </w:style>
  <w:style w:type="paragraph" w:styleId="List3">
    <w:name w:val="List 3"/>
    <w:basedOn w:val="Normal"/>
    <w:pPr>
      <w:ind w:left="1200" w:hanging="400"/>
    </w:pPr>
    <w:rPr>
      <w:rFonts w:ascii="Calibri" w:eastAsia="Calibri" w:hAnsi="Calibri" w:cs="Calibri"/>
      <w:sz w:val="22"/>
    </w:rPr>
  </w:style>
  <w:style w:type="paragraph" w:styleId="List4">
    <w:name w:val="List 4"/>
    <w:basedOn w:val="Normal"/>
    <w:pPr>
      <w:ind w:left="1600" w:hanging="400"/>
    </w:pPr>
    <w:rPr>
      <w:rFonts w:ascii="Calibri" w:eastAsia="Calibri" w:hAnsi="Calibri" w:cs="Calibri"/>
      <w:sz w:val="22"/>
    </w:rPr>
  </w:style>
  <w:style w:type="paragraph" w:styleId="List5">
    <w:name w:val="List 5"/>
    <w:basedOn w:val="Normal"/>
    <w:pPr>
      <w:ind w:left="1800" w:hanging="400"/>
    </w:pPr>
    <w:rPr>
      <w:rFonts w:ascii="Calibri" w:eastAsia="Calibri" w:hAnsi="Calibri" w:cs="Calibri"/>
      <w:sz w:val="22"/>
    </w:rPr>
  </w:style>
  <w:style w:type="paragraph" w:customStyle="1" w:styleId="List6">
    <w:name w:val="List 6"/>
    <w:basedOn w:val="Normal"/>
    <w:pPr>
      <w:ind w:left="1860" w:hanging="400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Normal"/>
    <w:pPr>
      <w:ind w:left="1920" w:hanging="4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Normal"/>
    <w:pPr>
      <w:ind w:left="1980" w:hanging="400"/>
    </w:pPr>
    <w:rPr>
      <w:rFonts w:ascii="Calibri" w:eastAsia="Calibri" w:hAnsi="Calibri" w:cs="Calibri"/>
      <w:sz w:val="22"/>
    </w:rPr>
  </w:style>
  <w:style w:type="paragraph" w:customStyle="1" w:styleId="List9">
    <w:name w:val="List 9"/>
    <w:basedOn w:val="Normal"/>
    <w:pPr>
      <w:ind w:left="1200" w:hanging="600"/>
    </w:pPr>
    <w:rPr>
      <w:sz w:val="22"/>
    </w:rPr>
  </w:style>
  <w:style w:type="character" w:customStyle="1" w:styleId="Location">
    <w:name w:val="Location"/>
    <w:basedOn w:val="DefaultParagraphFont"/>
  </w:style>
  <w:style w:type="character" w:customStyle="1" w:styleId="Miscellaneous">
    <w:name w:val="Miscellaneous"/>
    <w:basedOn w:val="DefaultParagraphFont"/>
  </w:style>
  <w:style w:type="character" w:customStyle="1" w:styleId="NameScientific">
    <w:name w:val="Name Scientific"/>
    <w:basedOn w:val="DefaultParagraphFont"/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table" w:customStyle="1" w:styleId="OldDefaultTableStyle">
    <w:name w:val="Old Default Table Style"/>
    <w:tblPr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Organization">
    <w:name w:val="Organization"/>
    <w:basedOn w:val="DefaultParagraphFont"/>
  </w:style>
  <w:style w:type="character" w:customStyle="1" w:styleId="PageNumbers">
    <w:name w:val="Page Numbers"/>
    <w:basedOn w:val="DefaultParagraphFont"/>
  </w:style>
  <w:style w:type="character" w:customStyle="1" w:styleId="Postcode">
    <w:name w:val="Postcode"/>
    <w:basedOn w:val="DefaultParagraphFont"/>
  </w:style>
  <w:style w:type="character" w:customStyle="1" w:styleId="Publisher">
    <w:name w:val="Publisher"/>
    <w:basedOn w:val="DefaultParagraphFont"/>
  </w:style>
  <w:style w:type="paragraph" w:customStyle="1" w:styleId="Quotation">
    <w:name w:val="Quotation"/>
    <w:basedOn w:val="Normal"/>
    <w:pPr>
      <w:spacing w:after="160"/>
      <w:ind w:left="1200" w:right="1200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Normal"/>
    <w:pPr>
      <w:spacing w:after="170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Normal"/>
    <w:pPr>
      <w:spacing w:after="320"/>
      <w:ind w:left="400" w:hanging="400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DefaultParagraphFont"/>
  </w:style>
  <w:style w:type="paragraph" w:styleId="Revision">
    <w:name w:val="Revision"/>
    <w:rPr>
      <w:rFonts w:ascii="Times New Roman" w:eastAsia="Times New Roman" w:hAnsi="Times New Roman" w:cs="Times New Roman"/>
      <w:sz w:val="24"/>
    </w:rPr>
  </w:style>
  <w:style w:type="character" w:customStyle="1" w:styleId="Source">
    <w:name w:val="Source"/>
    <w:basedOn w:val="DefaultParagraphFont"/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  <w:sz w:val="22"/>
    </w:rPr>
  </w:style>
  <w:style w:type="paragraph" w:styleId="Subtitle">
    <w:name w:val="Subtitle"/>
    <w:basedOn w:val="Normal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Surtitle">
    <w:name w:val="Surtitle"/>
    <w:basedOn w:val="Normal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Body">
    <w:name w:val="Table Body"/>
    <w:basedOn w:val="Normal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table" w:styleId="TableGrid">
    <w:name w:val="Table Grid"/>
    <w:basedOn w:val="TableNormal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TableHead">
    <w:name w:val="Table Head"/>
    <w:basedOn w:val="Normal"/>
    <w:pPr>
      <w:shd w:val="clear" w:color="auto" w:fill="FFEDFA"/>
      <w:jc w:val="left"/>
    </w:pPr>
    <w:rPr>
      <w:rFonts w:ascii="Calibri" w:eastAsia="Calibri" w:hAnsi="Calibri" w:cs="Calibri"/>
      <w:sz w:val="20"/>
    </w:rPr>
  </w:style>
  <w:style w:type="paragraph" w:customStyle="1" w:styleId="TableHeadSpan">
    <w:name w:val="Table Head Span"/>
    <w:basedOn w:val="Normal"/>
    <w:pPr>
      <w:shd w:val="clear" w:color="auto" w:fill="FFEDFA"/>
      <w:jc w:val="left"/>
    </w:pPr>
    <w:rPr>
      <w:rFonts w:ascii="Calibri" w:eastAsia="Calibri" w:hAnsi="Calibri" w:cs="Calibri"/>
    </w:rPr>
  </w:style>
  <w:style w:type="paragraph" w:customStyle="1" w:styleId="TableList">
    <w:name w:val="Table List"/>
    <w:basedOn w:val="Normal"/>
    <w:pPr>
      <w:ind w:left="300" w:hanging="300"/>
      <w:jc w:val="left"/>
    </w:pPr>
    <w:rPr>
      <w:rFonts w:ascii="Calibri" w:eastAsia="Calibri" w:hAnsi="Calibri" w:cs="Calibri"/>
      <w:sz w:val="20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paragraph" w:styleId="TOC1">
    <w:name w:val="toc 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pPr>
      <w:spacing w:line="330" w:lineRule="auto"/>
    </w:pPr>
    <w:rPr>
      <w:rFonts w:ascii="Calibri" w:eastAsia="Calibri" w:hAnsi="Calibri" w:cs="Calibri"/>
    </w:rPr>
  </w:style>
  <w:style w:type="paragraph" w:styleId="TOC3">
    <w:name w:val="toc 3"/>
    <w:basedOn w:val="Normal"/>
    <w:rPr>
      <w:rFonts w:ascii="Calibri" w:eastAsia="Calibri" w:hAnsi="Calibri" w:cs="Calibri"/>
      <w:sz w:val="22"/>
    </w:rPr>
  </w:style>
  <w:style w:type="paragraph" w:styleId="TOC4">
    <w:name w:val="toc 4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pPr>
      <w:spacing w:line="330" w:lineRule="exact"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rPr>
      <w:color w:val="605E5C"/>
    </w:rPr>
  </w:style>
  <w:style w:type="character" w:customStyle="1" w:styleId="VolumeNumber">
    <w:name w:val="Volume Number"/>
    <w:basedOn w:val="DefaultParagraphFont"/>
  </w:style>
  <w:style w:type="character" w:customStyle="1" w:styleId="Year">
    <w:name w:val="Year"/>
    <w:basedOn w:val="DefaultParagraphFont"/>
  </w:style>
  <w:style w:type="paragraph" w:customStyle="1" w:styleId="1">
    <w:name w:val="列出段落1"/>
    <w:basedOn w:val="Normal"/>
    <w:pPr>
      <w:spacing w:after="200" w:line="276" w:lineRule="auto"/>
      <w:ind w:left="480" w:firstLine="0"/>
      <w:jc w:val="left"/>
    </w:pPr>
    <w:rPr>
      <w:rFonts w:ascii="Calibri" w:eastAsia="Calibri" w:hAnsi="Calibri" w:cs="Calibri"/>
    </w:rPr>
  </w:style>
  <w:style w:type="paragraph" w:styleId="Footer">
    <w:name w:val="footer"/>
    <w:basedOn w:val="Normal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PlainTable2">
    <w:name w:val="Plain Table 2"/>
    <w:basedOn w:val="TableNormal"/>
    <w:uiPriority w:val="99"/>
    <w:rsid w:val="000520E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</cp:lastModifiedBy>
  <cp:revision>22</cp:revision>
  <dcterms:created xsi:type="dcterms:W3CDTF">2026-08-19T03:38:00Z</dcterms:created>
  <dcterms:modified xsi:type="dcterms:W3CDTF">2026-08-26T04:45:00Z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/>
  </property>
  <property fmtid="{D5CDD505-2E9C-101B-9397-08002B2CF9AE}" pid="14" name="Subject">
    <vt:lpwstr/>
  </property>
  <property fmtid="{D5CDD505-2E9C-101B-9397-08002B2CF9AE}" pid="15" name="Merops word count">
    <vt:lpwstr>2426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2</vt:lpwstr>
  </property>
  <property fmtid="{D5CDD505-2E9C-101B-9397-08002B2CF9AE}" pid="20" name="Merops figures count">
    <vt:lpwstr>8</vt:lpwstr>
  </property>
  <property fmtid="{D5CDD505-2E9C-101B-9397-08002B2CF9AE}" pid="21" name="Merops graphics count">
    <vt:lpwstr>8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merops/preset-v1/biomed-central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crm_eaebc350-e636-456e-9726-41cdf2f3dbea.docx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MG-Session/On-20260817/I:f81ca0c6-0dcc-45a8-a9ac-74e879ad9131</vt:lpwstr>
  </property>
  <property fmtid="{D5CDD505-2E9C-101B-9397-08002B2CF9AE}" pid="32" name="Merops processed date">
    <vt:lpwstr>2026/08/17 02:16:45 AM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GrammarlyDocumentId">
    <vt:lpwstr>08c900c7-74ef-4b18-8ff5-9db3ee693da1</vt:lpwstr>
  </property>
  <property fmtid="{D5CDD505-2E9C-101B-9397-08002B2CF9AE}" pid="36" name="Merops comment count">
    <vt:lpwstr>0</vt:lpwstr>
  </property>
  <property fmtid="{D5CDD505-2E9C-101B-9397-08002B2CF9AE}" pid="37" name="Merops change count">
    <vt:lpwstr>0</vt:lpwstr>
  </property>
</Properties>
</file>