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E1AE5" w14:textId="77777777" w:rsidR="00602BB1" w:rsidRPr="00535DD3" w:rsidRDefault="00602BB1" w:rsidP="00602BB1">
      <w:pPr>
        <w:widowControl/>
        <w:spacing w:line="480" w:lineRule="auto"/>
        <w:ind w:firstLine="0"/>
        <w:jc w:val="left"/>
        <w:rPr>
          <w:b/>
          <w:bCs/>
          <w:sz w:val="22"/>
        </w:rPr>
      </w:pPr>
      <w:r w:rsidRPr="00535DD3">
        <w:rPr>
          <w:b/>
          <w:bCs/>
          <w:sz w:val="22"/>
        </w:rPr>
        <w:t>Additional files</w:t>
      </w:r>
    </w:p>
    <w:p w14:paraId="4BEA7C36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1</w:t>
      </w:r>
    </w:p>
    <w:p w14:paraId="7DAC0638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4B77940B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S1. </w:t>
      </w:r>
      <w:r w:rsidRPr="00535DD3">
        <w:rPr>
          <w:sz w:val="22"/>
        </w:rPr>
        <w:t>Treatment schema for the C-HUANAN-AML-15 protocol.</w:t>
      </w:r>
    </w:p>
    <w:p w14:paraId="45775405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0DDF1E7C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</w:p>
    <w:p w14:paraId="43A12648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2</w:t>
      </w:r>
    </w:p>
    <w:p w14:paraId="18466A95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6073821C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>: Detailed propensity-score matching methods and balance diagnostics.</w:t>
      </w:r>
    </w:p>
    <w:p w14:paraId="4A535DEA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7B46A981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</w:p>
    <w:p w14:paraId="60E1AF59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3</w:t>
      </w:r>
    </w:p>
    <w:p w14:paraId="4D10E257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1BC80ADC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S2. </w:t>
      </w:r>
      <w:r w:rsidRPr="00535DD3">
        <w:rPr>
          <w:sz w:val="22"/>
        </w:rPr>
        <w:t xml:space="preserve">Outcomes of </w:t>
      </w:r>
      <w:r w:rsidRPr="00535DD3">
        <w:rPr>
          <w:i/>
          <w:iCs/>
          <w:sz w:val="22"/>
        </w:rPr>
        <w:t>KMT2A</w:t>
      </w:r>
      <w:r w:rsidRPr="00535DD3">
        <w:rPr>
          <w:sz w:val="22"/>
        </w:rPr>
        <w:t>-rearranged and non–</w:t>
      </w:r>
      <w:r w:rsidRPr="00535DD3">
        <w:rPr>
          <w:i/>
          <w:iCs/>
          <w:sz w:val="22"/>
        </w:rPr>
        <w:t>KMT2A</w:t>
      </w:r>
      <w:r w:rsidRPr="00535DD3">
        <w:rPr>
          <w:sz w:val="22"/>
        </w:rPr>
        <w:t>-rearranged acute myeloid leukemia.</w:t>
      </w:r>
    </w:p>
    <w:p w14:paraId="645558EF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3941BFD0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</w:p>
    <w:p w14:paraId="2A685320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4</w:t>
      </w:r>
    </w:p>
    <w:p w14:paraId="7F49ADD1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489E17CC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S3. </w:t>
      </w:r>
      <w:r w:rsidRPr="00535DD3">
        <w:rPr>
          <w:sz w:val="22"/>
        </w:rPr>
        <w:t xml:space="preserve">Outcomes according to </w:t>
      </w:r>
      <w:r w:rsidRPr="00535DD3">
        <w:rPr>
          <w:i/>
          <w:iCs/>
          <w:sz w:val="22"/>
        </w:rPr>
        <w:t>KMT2A</w:t>
      </w:r>
      <w:r w:rsidRPr="00535DD3">
        <w:rPr>
          <w:sz w:val="22"/>
        </w:rPr>
        <w:t xml:space="preserve"> fusion partner.</w:t>
      </w:r>
    </w:p>
    <w:p w14:paraId="7403C419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4F86EEDD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</w:p>
    <w:p w14:paraId="068670D3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5</w:t>
      </w:r>
    </w:p>
    <w:p w14:paraId="6EA30EA3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00758811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S4. </w:t>
      </w:r>
      <w:r w:rsidRPr="00535DD3">
        <w:rPr>
          <w:sz w:val="22"/>
        </w:rPr>
        <w:t>Covariate balance before and after propensity-score matching of the induction-regimen groups.</w:t>
      </w:r>
    </w:p>
    <w:p w14:paraId="37F1A99A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4D043FFA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</w:p>
    <w:p w14:paraId="3717469E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lastRenderedPageBreak/>
        <w:t>Additional file 6</w:t>
      </w:r>
    </w:p>
    <w:p w14:paraId="12FCEB5A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0BDD87E8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S5. </w:t>
      </w:r>
      <w:r w:rsidRPr="00535DD3">
        <w:rPr>
          <w:sz w:val="22"/>
        </w:rPr>
        <w:t xml:space="preserve">Outcomes according to post-remission treatment in the overall classifiable </w:t>
      </w:r>
      <w:r w:rsidRPr="00535DD3">
        <w:rPr>
          <w:i/>
          <w:sz w:val="22"/>
        </w:rPr>
        <w:t>KMT2A</w:t>
      </w:r>
      <w:r w:rsidRPr="00535DD3">
        <w:rPr>
          <w:sz w:val="22"/>
        </w:rPr>
        <w:t>-rearranged cohort.</w:t>
      </w:r>
    </w:p>
    <w:p w14:paraId="4CB38933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1EA35307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</w:p>
    <w:p w14:paraId="7AB503CA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7</w:t>
      </w:r>
    </w:p>
    <w:p w14:paraId="0D5F4AD5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1BC676F7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S6. </w:t>
      </w:r>
      <w:r w:rsidRPr="00535DD3">
        <w:rPr>
          <w:sz w:val="22"/>
        </w:rPr>
        <w:t xml:space="preserve">Outcomes according to post-remission treatment among patients with </w:t>
      </w:r>
      <w:r w:rsidRPr="00535DD3">
        <w:rPr>
          <w:i/>
          <w:iCs/>
          <w:sz w:val="22"/>
        </w:rPr>
        <w:t>KMT2A::MLLT3</w:t>
      </w:r>
      <w:r w:rsidRPr="00535DD3">
        <w:rPr>
          <w:sz w:val="22"/>
        </w:rPr>
        <w:t xml:space="preserve"> acute myeloid leukemia.</w:t>
      </w:r>
    </w:p>
    <w:p w14:paraId="27CEB44E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3FE7CE41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</w:p>
    <w:p w14:paraId="3AE07D1D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8</w:t>
      </w:r>
    </w:p>
    <w:p w14:paraId="512C91C8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35E1941A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S7. </w:t>
      </w:r>
      <w:r w:rsidRPr="00535DD3">
        <w:rPr>
          <w:sz w:val="22"/>
        </w:rPr>
        <w:t>Outcomes according to post-remission treatment among patients with non-</w:t>
      </w:r>
      <w:r w:rsidRPr="00535DD3">
        <w:rPr>
          <w:i/>
          <w:sz w:val="22"/>
        </w:rPr>
        <w:t>MLLT3</w:t>
      </w:r>
      <w:r w:rsidRPr="00535DD3">
        <w:rPr>
          <w:sz w:val="22"/>
        </w:rPr>
        <w:t xml:space="preserve"> </w:t>
      </w:r>
      <w:r w:rsidRPr="00535DD3">
        <w:rPr>
          <w:i/>
          <w:sz w:val="22"/>
        </w:rPr>
        <w:t>KMT2A</w:t>
      </w:r>
      <w:r w:rsidRPr="00535DD3">
        <w:rPr>
          <w:sz w:val="22"/>
        </w:rPr>
        <w:t>-rearranged acute myeloid leukemia.</w:t>
      </w:r>
    </w:p>
    <w:p w14:paraId="29FB793F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2F672A86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</w:p>
    <w:p w14:paraId="23D718D8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9</w:t>
      </w:r>
    </w:p>
    <w:p w14:paraId="0DE0D8DC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05EC20DB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Figure S8. </w:t>
      </w:r>
      <w:r w:rsidRPr="00535DD3">
        <w:rPr>
          <w:sz w:val="22"/>
        </w:rPr>
        <w:t xml:space="preserve">Outcomes according to post-remission treatment among FLAG-IDA-treated patients with </w:t>
      </w:r>
      <w:r w:rsidRPr="00535DD3">
        <w:rPr>
          <w:i/>
          <w:iCs/>
          <w:sz w:val="22"/>
        </w:rPr>
        <w:t xml:space="preserve">KMT2A::MLLT3 </w:t>
      </w:r>
      <w:r w:rsidRPr="00535DD3">
        <w:rPr>
          <w:sz w:val="22"/>
        </w:rPr>
        <w:t>acute myeloid leukemia.</w:t>
      </w:r>
    </w:p>
    <w:p w14:paraId="4EB5161F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141E95AE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</w:p>
    <w:p w14:paraId="7460F5B2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  <w:r w:rsidRPr="00535DD3">
        <w:rPr>
          <w:b/>
          <w:bCs/>
          <w:sz w:val="22"/>
        </w:rPr>
        <w:t>Additional file 10</w:t>
      </w:r>
    </w:p>
    <w:p w14:paraId="46BEA46D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1AB6BFB1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Table S1. </w:t>
      </w:r>
      <w:r w:rsidRPr="00535DD3">
        <w:rPr>
          <w:sz w:val="22"/>
        </w:rPr>
        <w:t xml:space="preserve">Univariable and selected multivariable Cox regression analyses stratified by </w:t>
      </w:r>
      <w:r w:rsidRPr="00535DD3">
        <w:rPr>
          <w:i/>
          <w:iCs/>
          <w:sz w:val="22"/>
        </w:rPr>
        <w:t>KMT2A</w:t>
      </w:r>
      <w:r w:rsidRPr="00535DD3">
        <w:rPr>
          <w:sz w:val="22"/>
        </w:rPr>
        <w:t xml:space="preserve"> fusion partner.</w:t>
      </w:r>
    </w:p>
    <w:p w14:paraId="6FE4B7D3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lastRenderedPageBreak/>
        <w:t>Description of data</w:t>
      </w:r>
      <w:r w:rsidRPr="00535DD3">
        <w:rPr>
          <w:sz w:val="22"/>
        </w:rPr>
        <w:t>:</w:t>
      </w:r>
    </w:p>
    <w:p w14:paraId="346D0147" w14:textId="77777777" w:rsidR="00602BB1" w:rsidRPr="00535DD3" w:rsidRDefault="00602BB1" w:rsidP="00602BB1">
      <w:pPr>
        <w:spacing w:line="480" w:lineRule="auto"/>
        <w:ind w:firstLine="0"/>
        <w:rPr>
          <w:b/>
          <w:bCs/>
          <w:sz w:val="22"/>
        </w:rPr>
      </w:pPr>
    </w:p>
    <w:p w14:paraId="54D6E2B9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Additional file 11</w:t>
      </w:r>
    </w:p>
    <w:p w14:paraId="52C4BC8E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File format</w:t>
      </w:r>
      <w:r w:rsidRPr="00535DD3">
        <w:rPr>
          <w:sz w:val="22"/>
        </w:rPr>
        <w:t>: .docx</w:t>
      </w:r>
    </w:p>
    <w:p w14:paraId="60827C42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Title of data</w:t>
      </w:r>
      <w:r w:rsidRPr="00535DD3">
        <w:rPr>
          <w:sz w:val="22"/>
        </w:rPr>
        <w:t xml:space="preserve">: </w:t>
      </w:r>
      <w:r>
        <w:rPr>
          <w:sz w:val="22"/>
        </w:rPr>
        <w:t xml:space="preserve">Table S2. </w:t>
      </w:r>
      <w:r w:rsidRPr="00535DD3">
        <w:rPr>
          <w:sz w:val="22"/>
        </w:rPr>
        <w:t>Fusion partner-stratified Cox regression analyses of EFS and OS in patients receiving FLAG-IDA induction.</w:t>
      </w:r>
    </w:p>
    <w:p w14:paraId="08E5E6AB" w14:textId="77777777" w:rsidR="00602BB1" w:rsidRPr="00535DD3" w:rsidRDefault="00602BB1" w:rsidP="00602BB1">
      <w:pPr>
        <w:spacing w:line="480" w:lineRule="auto"/>
        <w:ind w:firstLine="0"/>
        <w:rPr>
          <w:sz w:val="22"/>
        </w:rPr>
      </w:pPr>
      <w:r w:rsidRPr="00535DD3">
        <w:rPr>
          <w:b/>
          <w:bCs/>
          <w:sz w:val="22"/>
        </w:rPr>
        <w:t>Description of data</w:t>
      </w:r>
      <w:r w:rsidRPr="00535DD3">
        <w:rPr>
          <w:sz w:val="22"/>
        </w:rPr>
        <w:t>:</w:t>
      </w:r>
    </w:p>
    <w:p w14:paraId="567751FB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BB1"/>
    <w:rsid w:val="001D3053"/>
    <w:rsid w:val="001E3A92"/>
    <w:rsid w:val="00217E67"/>
    <w:rsid w:val="002C7D54"/>
    <w:rsid w:val="0033371E"/>
    <w:rsid w:val="00371D23"/>
    <w:rsid w:val="005C0D39"/>
    <w:rsid w:val="00602BB1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B0A60"/>
  <w15:chartTrackingRefBased/>
  <w15:docId w15:val="{41AC2AD8-DC90-4462-834E-1816048C4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BB1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BB1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BB1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BB1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BB1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BB1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BB1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BB1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BB1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BB1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B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B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BB1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2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BB1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2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BB1"/>
    <w:pPr>
      <w:widowControl/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2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BB1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2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BB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B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2026-10-12T07:30:00Z</dcterms:created>
  <dcterms:modified xsi:type="dcterms:W3CDTF">2026-10-12T07:30:00Z</dcterms:modified>
</cp:coreProperties>
</file>