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625C2" w14:textId="77777777" w:rsidR="006B2A80" w:rsidRPr="004B3D8B" w:rsidRDefault="006B2A80" w:rsidP="004B3D8B">
      <w:pPr>
        <w:pStyle w:val="Head1"/>
        <w:spacing w:line="480" w:lineRule="auto"/>
        <w:rPr>
          <w:rFonts w:cs="Arial"/>
          <w:sz w:val="22"/>
          <w:szCs w:val="22"/>
        </w:rPr>
      </w:pPr>
      <w:bookmarkStart w:id="0" w:name="_Toc234394123"/>
      <w:bookmarkStart w:id="1" w:name="_Toc234394126"/>
      <w:r w:rsidRPr="004B3D8B">
        <w:rPr>
          <w:rFonts w:cs="Arial"/>
          <w:sz w:val="22"/>
          <w:szCs w:val="22"/>
        </w:rPr>
        <w:t>LILRB2 Promotes CAR T-cell Dysfunction and Represents a Therapeutic Target in Acute Myeloid Leukemia</w:t>
      </w:r>
      <w:bookmarkEnd w:id="0"/>
    </w:p>
    <w:p w14:paraId="4380CDBD" w14:textId="77777777" w:rsidR="006B2A80" w:rsidRPr="004B3D8B" w:rsidRDefault="006B2A80" w:rsidP="004B3D8B">
      <w:pPr>
        <w:spacing w:line="480" w:lineRule="auto"/>
        <w:rPr>
          <w:rFonts w:cs="Arial"/>
          <w:b/>
          <w:bCs/>
          <w:sz w:val="22"/>
          <w:lang w:val="en-US"/>
        </w:rPr>
      </w:pPr>
      <w:r w:rsidRPr="004B3D8B">
        <w:rPr>
          <w:rFonts w:cs="Arial"/>
          <w:b/>
          <w:bCs/>
          <w:sz w:val="22"/>
          <w:lang w:val="en-US"/>
        </w:rPr>
        <w:t>Authors:</w:t>
      </w:r>
    </w:p>
    <w:p w14:paraId="61ADD082" w14:textId="6A32577F" w:rsidR="006B2A80" w:rsidRDefault="006B2A80" w:rsidP="004B3D8B">
      <w:pPr>
        <w:spacing w:after="0" w:line="480" w:lineRule="auto"/>
        <w:jc w:val="both"/>
        <w:rPr>
          <w:rFonts w:cs="Arial"/>
          <w:color w:val="000000"/>
          <w:sz w:val="22"/>
          <w:vertAlign w:val="superscript"/>
          <w:lang w:val="en-US"/>
        </w:rPr>
      </w:pPr>
      <w:r w:rsidRPr="004B3D8B">
        <w:rPr>
          <w:rFonts w:cs="Arial"/>
          <w:color w:val="000000"/>
          <w:sz w:val="22"/>
          <w:lang w:val="en-US"/>
        </w:rPr>
        <w:t>Silvan Brunn</w:t>
      </w:r>
      <w:r w:rsidRPr="004B3D8B">
        <w:rPr>
          <w:rFonts w:cs="Arial"/>
          <w:color w:val="000000"/>
          <w:sz w:val="22"/>
          <w:vertAlign w:val="superscript"/>
          <w:lang w:val="en-US"/>
        </w:rPr>
        <w:t>1</w:t>
      </w:r>
      <w:r w:rsidRPr="004B3D8B">
        <w:rPr>
          <w:rFonts w:cs="Arial"/>
          <w:color w:val="000000"/>
          <w:sz w:val="22"/>
          <w:lang w:val="en-US"/>
        </w:rPr>
        <w:t>, Morgane Chambovey</w:t>
      </w:r>
      <w:r w:rsidRPr="004B3D8B">
        <w:rPr>
          <w:rFonts w:cs="Arial"/>
          <w:color w:val="000000"/>
          <w:sz w:val="22"/>
          <w:vertAlign w:val="superscript"/>
          <w:lang w:val="en-US"/>
        </w:rPr>
        <w:t>1</w:t>
      </w:r>
      <w:r w:rsidRPr="004B3D8B">
        <w:rPr>
          <w:rFonts w:cs="Arial"/>
          <w:color w:val="000000"/>
          <w:sz w:val="22"/>
          <w:lang w:val="en-US"/>
        </w:rPr>
        <w:t>, Nina Raymann</w:t>
      </w:r>
      <w:r w:rsidRPr="004B3D8B">
        <w:rPr>
          <w:rFonts w:cs="Arial"/>
          <w:color w:val="000000"/>
          <w:sz w:val="22"/>
          <w:vertAlign w:val="superscript"/>
          <w:lang w:val="en-US"/>
        </w:rPr>
        <w:t>1</w:t>
      </w:r>
      <w:r w:rsidRPr="004B3D8B">
        <w:rPr>
          <w:rFonts w:cs="Arial"/>
          <w:color w:val="000000"/>
          <w:sz w:val="22"/>
          <w:lang w:val="en-US"/>
        </w:rPr>
        <w:t>, Marianna Ponzo</w:t>
      </w:r>
      <w:r w:rsidRPr="004B3D8B">
        <w:rPr>
          <w:rFonts w:cs="Arial"/>
          <w:color w:val="000000"/>
          <w:sz w:val="22"/>
          <w:vertAlign w:val="superscript"/>
          <w:lang w:val="en-US"/>
        </w:rPr>
        <w:t>1</w:t>
      </w:r>
      <w:r w:rsidRPr="004B3D8B">
        <w:rPr>
          <w:rFonts w:cs="Arial"/>
          <w:color w:val="000000"/>
          <w:sz w:val="22"/>
          <w:lang w:val="en-US"/>
        </w:rPr>
        <w:t>, Sarah Alberio</w:t>
      </w:r>
      <w:r w:rsidRPr="004B3D8B">
        <w:rPr>
          <w:rFonts w:cs="Arial"/>
          <w:color w:val="000000"/>
          <w:sz w:val="22"/>
          <w:vertAlign w:val="superscript"/>
          <w:lang w:val="en-US"/>
        </w:rPr>
        <w:t>1</w:t>
      </w:r>
      <w:r w:rsidRPr="004B3D8B">
        <w:rPr>
          <w:rFonts w:cs="Arial"/>
          <w:color w:val="000000"/>
          <w:sz w:val="22"/>
          <w:lang w:val="en-US"/>
        </w:rPr>
        <w:t xml:space="preserve">, </w:t>
      </w:r>
      <w:r w:rsidR="00B37EEC">
        <w:rPr>
          <w:rFonts w:cs="Arial"/>
          <w:color w:val="000000"/>
          <w:sz w:val="22"/>
          <w:lang w:val="en-US"/>
        </w:rPr>
        <w:t>Artemis Baumann</w:t>
      </w:r>
      <w:r w:rsidR="00B37EEC" w:rsidRPr="00F74735">
        <w:rPr>
          <w:rFonts w:cs="Arial"/>
          <w:color w:val="000000"/>
          <w:sz w:val="22"/>
          <w:vertAlign w:val="superscript"/>
          <w:lang w:val="en-US"/>
        </w:rPr>
        <w:t>1</w:t>
      </w:r>
      <w:r w:rsidR="00B37EEC">
        <w:rPr>
          <w:rFonts w:cs="Arial"/>
          <w:color w:val="000000"/>
          <w:sz w:val="22"/>
          <w:lang w:val="en-US"/>
        </w:rPr>
        <w:t xml:space="preserve">, </w:t>
      </w:r>
      <w:r w:rsidRPr="004B3D8B">
        <w:rPr>
          <w:rFonts w:cs="Arial"/>
          <w:color w:val="000000"/>
          <w:sz w:val="22"/>
          <w:lang w:val="en-US"/>
        </w:rPr>
        <w:t>Laura Raas</w:t>
      </w:r>
      <w:r w:rsidRPr="004B3D8B">
        <w:rPr>
          <w:rFonts w:cs="Arial"/>
          <w:color w:val="000000"/>
          <w:sz w:val="22"/>
          <w:vertAlign w:val="superscript"/>
          <w:lang w:val="en-US"/>
        </w:rPr>
        <w:t>1</w:t>
      </w:r>
      <w:r w:rsidRPr="004B3D8B">
        <w:rPr>
          <w:rFonts w:cs="Arial"/>
          <w:color w:val="000000"/>
          <w:sz w:val="22"/>
          <w:lang w:val="en-US"/>
        </w:rPr>
        <w:t>, Christian Pellegrino</w:t>
      </w:r>
      <w:r w:rsidRPr="004B3D8B">
        <w:rPr>
          <w:rFonts w:cs="Arial"/>
          <w:color w:val="000000"/>
          <w:sz w:val="22"/>
          <w:vertAlign w:val="superscript"/>
          <w:lang w:val="en-US"/>
        </w:rPr>
        <w:t>1</w:t>
      </w:r>
      <w:r w:rsidRPr="004B3D8B">
        <w:rPr>
          <w:rFonts w:cs="Arial"/>
          <w:color w:val="000000"/>
          <w:sz w:val="22"/>
          <w:lang w:val="en-US"/>
        </w:rPr>
        <w:t xml:space="preserve">, </w:t>
      </w:r>
      <w:r w:rsidR="00B37EEC">
        <w:rPr>
          <w:rFonts w:cs="Arial"/>
          <w:color w:val="000000"/>
          <w:sz w:val="22"/>
          <w:lang w:val="en-US"/>
        </w:rPr>
        <w:t>Jana Maria Ellegast</w:t>
      </w:r>
      <w:r w:rsidR="00B37EEC" w:rsidRPr="00F74735">
        <w:rPr>
          <w:rFonts w:cs="Arial"/>
          <w:color w:val="000000"/>
          <w:sz w:val="22"/>
          <w:vertAlign w:val="superscript"/>
          <w:lang w:val="en-US"/>
        </w:rPr>
        <w:t>1</w:t>
      </w:r>
      <w:r w:rsidR="00B37EEC">
        <w:rPr>
          <w:rFonts w:cs="Arial"/>
          <w:color w:val="000000"/>
          <w:sz w:val="22"/>
          <w:lang w:val="en-US"/>
        </w:rPr>
        <w:t xml:space="preserve">, </w:t>
      </w:r>
      <w:r w:rsidRPr="004B3D8B">
        <w:rPr>
          <w:rFonts w:cs="Arial"/>
          <w:color w:val="000000"/>
          <w:sz w:val="22"/>
          <w:lang w:val="en-US"/>
        </w:rPr>
        <w:t>Jeremy Deuel</w:t>
      </w:r>
      <w:r w:rsidRPr="004B3D8B">
        <w:rPr>
          <w:rFonts w:cs="Arial"/>
          <w:color w:val="000000"/>
          <w:sz w:val="22"/>
          <w:vertAlign w:val="superscript"/>
          <w:lang w:val="en-US"/>
        </w:rPr>
        <w:t>1</w:t>
      </w:r>
      <w:r w:rsidRPr="004B3D8B">
        <w:rPr>
          <w:rFonts w:cs="Arial"/>
          <w:color w:val="000000"/>
          <w:sz w:val="22"/>
          <w:lang w:val="en-US"/>
        </w:rPr>
        <w:t xml:space="preserve">, </w:t>
      </w:r>
      <w:r w:rsidR="009D4F2D">
        <w:rPr>
          <w:rFonts w:cs="Arial"/>
          <w:color w:val="000000"/>
          <w:sz w:val="22"/>
          <w:lang w:val="en-US"/>
        </w:rPr>
        <w:t>Markus</w:t>
      </w:r>
      <w:r w:rsidRPr="004B3D8B">
        <w:rPr>
          <w:rFonts w:cs="Arial"/>
          <w:color w:val="000000"/>
          <w:sz w:val="22"/>
          <w:lang w:val="en-US"/>
        </w:rPr>
        <w:t xml:space="preserve"> G. Manz</w:t>
      </w:r>
      <w:r w:rsidRPr="004B3D8B">
        <w:rPr>
          <w:rFonts w:cs="Arial"/>
          <w:color w:val="000000"/>
          <w:sz w:val="22"/>
          <w:vertAlign w:val="superscript"/>
          <w:lang w:val="en-US"/>
        </w:rPr>
        <w:t>1</w:t>
      </w:r>
      <w:r w:rsidRPr="004B3D8B">
        <w:rPr>
          <w:rFonts w:cs="Arial"/>
          <w:color w:val="000000"/>
          <w:sz w:val="22"/>
          <w:lang w:val="en-US"/>
        </w:rPr>
        <w:t>, Chiara F. Magnani</w:t>
      </w:r>
      <w:r w:rsidRPr="004B3D8B">
        <w:rPr>
          <w:rFonts w:cs="Arial"/>
          <w:color w:val="000000"/>
          <w:sz w:val="22"/>
          <w:vertAlign w:val="superscript"/>
          <w:lang w:val="en-US"/>
        </w:rPr>
        <w:t>1</w:t>
      </w:r>
    </w:p>
    <w:p w14:paraId="7E0DB961" w14:textId="77777777" w:rsidR="000543D3" w:rsidRPr="004B3D8B" w:rsidRDefault="000543D3" w:rsidP="004B3D8B">
      <w:pPr>
        <w:spacing w:after="0" w:line="480" w:lineRule="auto"/>
        <w:jc w:val="both"/>
        <w:rPr>
          <w:rFonts w:cs="Arial"/>
          <w:color w:val="000000"/>
          <w:sz w:val="22"/>
          <w:vertAlign w:val="superscript"/>
          <w:lang w:val="en-US"/>
        </w:rPr>
      </w:pPr>
    </w:p>
    <w:sdt>
      <w:sdtPr>
        <w:rPr>
          <w:rFonts w:eastAsiaTheme="minorHAnsi" w:cs="Arial"/>
          <w:b w:val="0"/>
          <w:color w:val="auto"/>
          <w:kern w:val="2"/>
          <w:sz w:val="22"/>
          <w:szCs w:val="22"/>
          <w:lang w:val="de-DE" w:eastAsia="en-US"/>
          <w14:ligatures w14:val="standardContextual"/>
        </w:rPr>
        <w:id w:val="-2098850569"/>
        <w:docPartObj>
          <w:docPartGallery w:val="Table of Contents"/>
          <w:docPartUnique/>
        </w:docPartObj>
      </w:sdtPr>
      <w:sdtEndPr>
        <w:rPr>
          <w:bCs/>
        </w:rPr>
      </w:sdtEndPr>
      <w:sdtContent>
        <w:p w14:paraId="3538981B" w14:textId="27EAFA60" w:rsidR="006B2A80" w:rsidRPr="00E94E27" w:rsidRDefault="006B2A80" w:rsidP="00E94E27">
          <w:pPr>
            <w:pStyle w:val="Inhaltsverzeichnisberschrift"/>
            <w:spacing w:line="480" w:lineRule="auto"/>
            <w:rPr>
              <w:rFonts w:cs="Arial"/>
              <w:sz w:val="22"/>
              <w:szCs w:val="22"/>
            </w:rPr>
          </w:pPr>
          <w:r w:rsidRPr="00E94E27">
            <w:rPr>
              <w:rFonts w:cs="Arial"/>
              <w:sz w:val="22"/>
              <w:szCs w:val="22"/>
              <w:lang w:val="de-DE"/>
            </w:rPr>
            <w:t xml:space="preserve">Table </w:t>
          </w:r>
          <w:proofErr w:type="spellStart"/>
          <w:r w:rsidRPr="00E94E27">
            <w:rPr>
              <w:rFonts w:cs="Arial"/>
              <w:sz w:val="22"/>
              <w:szCs w:val="22"/>
              <w:lang w:val="de-DE"/>
            </w:rPr>
            <w:t>of</w:t>
          </w:r>
          <w:proofErr w:type="spellEnd"/>
          <w:r w:rsidRPr="00E94E27">
            <w:rPr>
              <w:rFonts w:cs="Arial"/>
              <w:sz w:val="22"/>
              <w:szCs w:val="22"/>
              <w:lang w:val="de-DE"/>
            </w:rPr>
            <w:t xml:space="preserve"> Contents</w:t>
          </w:r>
        </w:p>
        <w:p w14:paraId="1A4A8EB7" w14:textId="1234D00D" w:rsidR="00E94E27" w:rsidRPr="00E94E27" w:rsidRDefault="006B2A80" w:rsidP="00E94E27">
          <w:pPr>
            <w:pStyle w:val="Verzeichnis1"/>
            <w:tabs>
              <w:tab w:val="right" w:leader="dot" w:pos="9016"/>
            </w:tabs>
            <w:spacing w:line="480" w:lineRule="auto"/>
            <w:rPr>
              <w:rFonts w:asciiTheme="minorHAnsi" w:eastAsiaTheme="minorEastAsia" w:hAnsiTheme="minorHAnsi"/>
              <w:noProof/>
              <w:sz w:val="22"/>
              <w:lang w:eastAsia="de-CH"/>
            </w:rPr>
          </w:pPr>
          <w:r w:rsidRPr="00E94E27">
            <w:rPr>
              <w:rFonts w:cs="Arial"/>
              <w:sz w:val="22"/>
            </w:rPr>
            <w:fldChar w:fldCharType="begin"/>
          </w:r>
          <w:r w:rsidRPr="00E94E27">
            <w:rPr>
              <w:rFonts w:cs="Arial"/>
              <w:sz w:val="22"/>
            </w:rPr>
            <w:instrText xml:space="preserve"> TOC \o "1-3" \h \z \u </w:instrText>
          </w:r>
          <w:r w:rsidRPr="00E94E27">
            <w:rPr>
              <w:rFonts w:cs="Arial"/>
              <w:sz w:val="22"/>
            </w:rPr>
            <w:fldChar w:fldCharType="separate"/>
          </w:r>
          <w:hyperlink w:anchor="_Toc237907082" w:history="1">
            <w:r w:rsidR="00E94E27" w:rsidRPr="00E94E27">
              <w:rPr>
                <w:rStyle w:val="Hyperlink"/>
                <w:rFonts w:cs="Arial"/>
                <w:noProof/>
                <w:sz w:val="22"/>
                <w:lang w:val="en-US"/>
              </w:rPr>
              <w:t>Methods</w:t>
            </w:r>
            <w:r w:rsidR="00E94E27" w:rsidRPr="00E94E27">
              <w:rPr>
                <w:noProof/>
                <w:webHidden/>
                <w:sz w:val="22"/>
              </w:rPr>
              <w:tab/>
            </w:r>
            <w:r w:rsidR="00E94E27" w:rsidRPr="00E94E27">
              <w:rPr>
                <w:noProof/>
                <w:webHidden/>
                <w:sz w:val="22"/>
              </w:rPr>
              <w:fldChar w:fldCharType="begin"/>
            </w:r>
            <w:r w:rsidR="00E94E27" w:rsidRPr="00E94E27">
              <w:rPr>
                <w:noProof/>
                <w:webHidden/>
                <w:sz w:val="22"/>
              </w:rPr>
              <w:instrText xml:space="preserve"> PAGEREF _Toc237907082 \h </w:instrText>
            </w:r>
            <w:r w:rsidR="00E94E27" w:rsidRPr="00E94E27">
              <w:rPr>
                <w:noProof/>
                <w:webHidden/>
                <w:sz w:val="22"/>
              </w:rPr>
            </w:r>
            <w:r w:rsidR="00E94E27" w:rsidRPr="00E94E27">
              <w:rPr>
                <w:noProof/>
                <w:webHidden/>
                <w:sz w:val="22"/>
              </w:rPr>
              <w:fldChar w:fldCharType="separate"/>
            </w:r>
            <w:r w:rsidR="00E94E27" w:rsidRPr="00E94E27">
              <w:rPr>
                <w:noProof/>
                <w:webHidden/>
                <w:sz w:val="22"/>
              </w:rPr>
              <w:t>2</w:t>
            </w:r>
            <w:r w:rsidR="00E94E27" w:rsidRPr="00E94E27">
              <w:rPr>
                <w:noProof/>
                <w:webHidden/>
                <w:sz w:val="22"/>
              </w:rPr>
              <w:fldChar w:fldCharType="end"/>
            </w:r>
          </w:hyperlink>
        </w:p>
        <w:p w14:paraId="3951BC67" w14:textId="13A7E47F" w:rsidR="00E94E27" w:rsidRPr="00E94E27" w:rsidRDefault="00E94E27" w:rsidP="00E94E27">
          <w:pPr>
            <w:pStyle w:val="Verzeichnis1"/>
            <w:tabs>
              <w:tab w:val="right" w:leader="dot" w:pos="9016"/>
            </w:tabs>
            <w:spacing w:line="480" w:lineRule="auto"/>
            <w:rPr>
              <w:rFonts w:asciiTheme="minorHAnsi" w:eastAsiaTheme="minorEastAsia" w:hAnsiTheme="minorHAnsi"/>
              <w:noProof/>
              <w:sz w:val="22"/>
              <w:lang w:eastAsia="de-CH"/>
            </w:rPr>
          </w:pPr>
          <w:hyperlink w:anchor="_Toc237907083" w:history="1">
            <w:r w:rsidRPr="00E94E27">
              <w:rPr>
                <w:rStyle w:val="Hyperlink"/>
                <w:rFonts w:cs="Arial"/>
                <w:noProof/>
                <w:sz w:val="22"/>
                <w:lang w:val="en-US"/>
              </w:rPr>
              <w:t>Supplementary Table 1</w:t>
            </w:r>
            <w:r w:rsidRPr="00E94E27">
              <w:rPr>
                <w:noProof/>
                <w:webHidden/>
                <w:sz w:val="22"/>
              </w:rPr>
              <w:tab/>
            </w:r>
            <w:r w:rsidRPr="00E94E27">
              <w:rPr>
                <w:noProof/>
                <w:webHidden/>
                <w:sz w:val="22"/>
              </w:rPr>
              <w:fldChar w:fldCharType="begin"/>
            </w:r>
            <w:r w:rsidRPr="00E94E27">
              <w:rPr>
                <w:noProof/>
                <w:webHidden/>
                <w:sz w:val="22"/>
              </w:rPr>
              <w:instrText xml:space="preserve"> PAGEREF _Toc237907083 \h </w:instrText>
            </w:r>
            <w:r w:rsidRPr="00E94E27">
              <w:rPr>
                <w:noProof/>
                <w:webHidden/>
                <w:sz w:val="22"/>
              </w:rPr>
            </w:r>
            <w:r w:rsidRPr="00E94E27">
              <w:rPr>
                <w:noProof/>
                <w:webHidden/>
                <w:sz w:val="22"/>
              </w:rPr>
              <w:fldChar w:fldCharType="separate"/>
            </w:r>
            <w:r w:rsidRPr="00E94E27">
              <w:rPr>
                <w:noProof/>
                <w:webHidden/>
                <w:sz w:val="22"/>
              </w:rPr>
              <w:t>11</w:t>
            </w:r>
            <w:r w:rsidRPr="00E94E27">
              <w:rPr>
                <w:noProof/>
                <w:webHidden/>
                <w:sz w:val="22"/>
              </w:rPr>
              <w:fldChar w:fldCharType="end"/>
            </w:r>
          </w:hyperlink>
        </w:p>
        <w:p w14:paraId="0FB57E8F" w14:textId="2C95A90D" w:rsidR="00E94E27" w:rsidRPr="00E94E27" w:rsidRDefault="00E94E27" w:rsidP="00E94E27">
          <w:pPr>
            <w:pStyle w:val="Verzeichnis1"/>
            <w:tabs>
              <w:tab w:val="right" w:leader="dot" w:pos="9016"/>
            </w:tabs>
            <w:spacing w:line="480" w:lineRule="auto"/>
            <w:rPr>
              <w:rFonts w:asciiTheme="minorHAnsi" w:eastAsiaTheme="minorEastAsia" w:hAnsiTheme="minorHAnsi"/>
              <w:noProof/>
              <w:sz w:val="22"/>
              <w:lang w:eastAsia="de-CH"/>
            </w:rPr>
          </w:pPr>
          <w:hyperlink w:anchor="_Toc237907084" w:history="1">
            <w:r w:rsidRPr="00E94E27">
              <w:rPr>
                <w:rStyle w:val="Hyperlink"/>
                <w:rFonts w:cs="Arial"/>
                <w:noProof/>
                <w:sz w:val="22"/>
                <w:lang w:val="en-US"/>
              </w:rPr>
              <w:t>Supplementary Figure 1</w:t>
            </w:r>
            <w:r w:rsidRPr="00E94E27">
              <w:rPr>
                <w:noProof/>
                <w:webHidden/>
                <w:sz w:val="22"/>
              </w:rPr>
              <w:tab/>
            </w:r>
            <w:r w:rsidRPr="00E94E27">
              <w:rPr>
                <w:noProof/>
                <w:webHidden/>
                <w:sz w:val="22"/>
              </w:rPr>
              <w:fldChar w:fldCharType="begin"/>
            </w:r>
            <w:r w:rsidRPr="00E94E27">
              <w:rPr>
                <w:noProof/>
                <w:webHidden/>
                <w:sz w:val="22"/>
              </w:rPr>
              <w:instrText xml:space="preserve"> PAGEREF _Toc237907084 \h </w:instrText>
            </w:r>
            <w:r w:rsidRPr="00E94E27">
              <w:rPr>
                <w:noProof/>
                <w:webHidden/>
                <w:sz w:val="22"/>
              </w:rPr>
            </w:r>
            <w:r w:rsidRPr="00E94E27">
              <w:rPr>
                <w:noProof/>
                <w:webHidden/>
                <w:sz w:val="22"/>
              </w:rPr>
              <w:fldChar w:fldCharType="separate"/>
            </w:r>
            <w:r w:rsidRPr="00E94E27">
              <w:rPr>
                <w:noProof/>
                <w:webHidden/>
                <w:sz w:val="22"/>
              </w:rPr>
              <w:t>13</w:t>
            </w:r>
            <w:r w:rsidRPr="00E94E27">
              <w:rPr>
                <w:noProof/>
                <w:webHidden/>
                <w:sz w:val="22"/>
              </w:rPr>
              <w:fldChar w:fldCharType="end"/>
            </w:r>
          </w:hyperlink>
        </w:p>
        <w:p w14:paraId="40C4DDD6" w14:textId="3376A802" w:rsidR="00E94E27" w:rsidRPr="00E94E27" w:rsidRDefault="00E94E27" w:rsidP="00E94E27">
          <w:pPr>
            <w:pStyle w:val="Verzeichnis1"/>
            <w:tabs>
              <w:tab w:val="right" w:leader="dot" w:pos="9016"/>
            </w:tabs>
            <w:spacing w:line="480" w:lineRule="auto"/>
            <w:rPr>
              <w:rFonts w:asciiTheme="minorHAnsi" w:eastAsiaTheme="minorEastAsia" w:hAnsiTheme="minorHAnsi"/>
              <w:noProof/>
              <w:sz w:val="22"/>
              <w:lang w:eastAsia="de-CH"/>
            </w:rPr>
          </w:pPr>
          <w:hyperlink w:anchor="_Toc237907085" w:history="1">
            <w:r w:rsidRPr="00E94E27">
              <w:rPr>
                <w:rStyle w:val="Hyperlink"/>
                <w:rFonts w:cs="Arial"/>
                <w:noProof/>
                <w:sz w:val="22"/>
                <w:lang w:val="en-US"/>
              </w:rPr>
              <w:t>Supplementary Figure 2</w:t>
            </w:r>
            <w:r w:rsidRPr="00E94E27">
              <w:rPr>
                <w:noProof/>
                <w:webHidden/>
                <w:sz w:val="22"/>
              </w:rPr>
              <w:tab/>
            </w:r>
            <w:r w:rsidRPr="00E94E27">
              <w:rPr>
                <w:noProof/>
                <w:webHidden/>
                <w:sz w:val="22"/>
              </w:rPr>
              <w:fldChar w:fldCharType="begin"/>
            </w:r>
            <w:r w:rsidRPr="00E94E27">
              <w:rPr>
                <w:noProof/>
                <w:webHidden/>
                <w:sz w:val="22"/>
              </w:rPr>
              <w:instrText xml:space="preserve"> PAGEREF _Toc237907085 \h </w:instrText>
            </w:r>
            <w:r w:rsidRPr="00E94E27">
              <w:rPr>
                <w:noProof/>
                <w:webHidden/>
                <w:sz w:val="22"/>
              </w:rPr>
            </w:r>
            <w:r w:rsidRPr="00E94E27">
              <w:rPr>
                <w:noProof/>
                <w:webHidden/>
                <w:sz w:val="22"/>
              </w:rPr>
              <w:fldChar w:fldCharType="separate"/>
            </w:r>
            <w:r w:rsidRPr="00E94E27">
              <w:rPr>
                <w:noProof/>
                <w:webHidden/>
                <w:sz w:val="22"/>
              </w:rPr>
              <w:t>14</w:t>
            </w:r>
            <w:r w:rsidRPr="00E94E27">
              <w:rPr>
                <w:noProof/>
                <w:webHidden/>
                <w:sz w:val="22"/>
              </w:rPr>
              <w:fldChar w:fldCharType="end"/>
            </w:r>
          </w:hyperlink>
        </w:p>
        <w:p w14:paraId="5B7F22D2" w14:textId="3CED4047" w:rsidR="00E94E27" w:rsidRPr="00E94E27" w:rsidRDefault="00E94E27" w:rsidP="00E94E27">
          <w:pPr>
            <w:pStyle w:val="Verzeichnis1"/>
            <w:tabs>
              <w:tab w:val="right" w:leader="dot" w:pos="9016"/>
            </w:tabs>
            <w:spacing w:line="480" w:lineRule="auto"/>
            <w:rPr>
              <w:rFonts w:asciiTheme="minorHAnsi" w:eastAsiaTheme="minorEastAsia" w:hAnsiTheme="minorHAnsi"/>
              <w:noProof/>
              <w:sz w:val="22"/>
              <w:lang w:eastAsia="de-CH"/>
            </w:rPr>
          </w:pPr>
          <w:hyperlink w:anchor="_Toc237907086" w:history="1">
            <w:r w:rsidRPr="00E94E27">
              <w:rPr>
                <w:rStyle w:val="Hyperlink"/>
                <w:rFonts w:cs="Arial"/>
                <w:noProof/>
                <w:sz w:val="22"/>
                <w:lang w:val="en-US"/>
              </w:rPr>
              <w:t>Supplementary Figure 3</w:t>
            </w:r>
            <w:r w:rsidRPr="00E94E27">
              <w:rPr>
                <w:noProof/>
                <w:webHidden/>
                <w:sz w:val="22"/>
              </w:rPr>
              <w:tab/>
            </w:r>
            <w:r w:rsidRPr="00E94E27">
              <w:rPr>
                <w:noProof/>
                <w:webHidden/>
                <w:sz w:val="22"/>
              </w:rPr>
              <w:fldChar w:fldCharType="begin"/>
            </w:r>
            <w:r w:rsidRPr="00E94E27">
              <w:rPr>
                <w:noProof/>
                <w:webHidden/>
                <w:sz w:val="22"/>
              </w:rPr>
              <w:instrText xml:space="preserve"> PAGEREF _Toc237907086 \h </w:instrText>
            </w:r>
            <w:r w:rsidRPr="00E94E27">
              <w:rPr>
                <w:noProof/>
                <w:webHidden/>
                <w:sz w:val="22"/>
              </w:rPr>
            </w:r>
            <w:r w:rsidRPr="00E94E27">
              <w:rPr>
                <w:noProof/>
                <w:webHidden/>
                <w:sz w:val="22"/>
              </w:rPr>
              <w:fldChar w:fldCharType="separate"/>
            </w:r>
            <w:r w:rsidRPr="00E94E27">
              <w:rPr>
                <w:noProof/>
                <w:webHidden/>
                <w:sz w:val="22"/>
              </w:rPr>
              <w:t>16</w:t>
            </w:r>
            <w:r w:rsidRPr="00E94E27">
              <w:rPr>
                <w:noProof/>
                <w:webHidden/>
                <w:sz w:val="22"/>
              </w:rPr>
              <w:fldChar w:fldCharType="end"/>
            </w:r>
          </w:hyperlink>
        </w:p>
        <w:p w14:paraId="3767C874" w14:textId="2F4F6FAE" w:rsidR="00E94E27" w:rsidRPr="00E94E27" w:rsidRDefault="00E94E27" w:rsidP="00E94E27">
          <w:pPr>
            <w:pStyle w:val="Verzeichnis1"/>
            <w:tabs>
              <w:tab w:val="right" w:leader="dot" w:pos="9016"/>
            </w:tabs>
            <w:spacing w:line="480" w:lineRule="auto"/>
            <w:rPr>
              <w:rFonts w:asciiTheme="minorHAnsi" w:eastAsiaTheme="minorEastAsia" w:hAnsiTheme="minorHAnsi"/>
              <w:noProof/>
              <w:sz w:val="22"/>
              <w:lang w:eastAsia="de-CH"/>
            </w:rPr>
          </w:pPr>
          <w:hyperlink w:anchor="_Toc237907087" w:history="1">
            <w:r w:rsidRPr="00E94E27">
              <w:rPr>
                <w:rStyle w:val="Hyperlink"/>
                <w:rFonts w:cs="Arial"/>
                <w:noProof/>
                <w:sz w:val="22"/>
                <w:lang w:val="en-US"/>
              </w:rPr>
              <w:t>Supplementary Figure 4</w:t>
            </w:r>
            <w:r w:rsidRPr="00E94E27">
              <w:rPr>
                <w:noProof/>
                <w:webHidden/>
                <w:sz w:val="22"/>
              </w:rPr>
              <w:tab/>
            </w:r>
            <w:r w:rsidRPr="00E94E27">
              <w:rPr>
                <w:noProof/>
                <w:webHidden/>
                <w:sz w:val="22"/>
              </w:rPr>
              <w:fldChar w:fldCharType="begin"/>
            </w:r>
            <w:r w:rsidRPr="00E94E27">
              <w:rPr>
                <w:noProof/>
                <w:webHidden/>
                <w:sz w:val="22"/>
              </w:rPr>
              <w:instrText xml:space="preserve"> PAGEREF _Toc237907087 \h </w:instrText>
            </w:r>
            <w:r w:rsidRPr="00E94E27">
              <w:rPr>
                <w:noProof/>
                <w:webHidden/>
                <w:sz w:val="22"/>
              </w:rPr>
            </w:r>
            <w:r w:rsidRPr="00E94E27">
              <w:rPr>
                <w:noProof/>
                <w:webHidden/>
                <w:sz w:val="22"/>
              </w:rPr>
              <w:fldChar w:fldCharType="separate"/>
            </w:r>
            <w:r w:rsidRPr="00E94E27">
              <w:rPr>
                <w:noProof/>
                <w:webHidden/>
                <w:sz w:val="22"/>
              </w:rPr>
              <w:t>17</w:t>
            </w:r>
            <w:r w:rsidRPr="00E94E27">
              <w:rPr>
                <w:noProof/>
                <w:webHidden/>
                <w:sz w:val="22"/>
              </w:rPr>
              <w:fldChar w:fldCharType="end"/>
            </w:r>
          </w:hyperlink>
        </w:p>
        <w:p w14:paraId="2381CEC7" w14:textId="55E3BBBF" w:rsidR="00E94E27" w:rsidRPr="00E94E27" w:rsidRDefault="00E94E27" w:rsidP="00E94E27">
          <w:pPr>
            <w:pStyle w:val="Verzeichnis1"/>
            <w:tabs>
              <w:tab w:val="right" w:leader="dot" w:pos="9016"/>
            </w:tabs>
            <w:spacing w:line="480" w:lineRule="auto"/>
            <w:rPr>
              <w:rFonts w:asciiTheme="minorHAnsi" w:eastAsiaTheme="minorEastAsia" w:hAnsiTheme="minorHAnsi"/>
              <w:noProof/>
              <w:sz w:val="22"/>
              <w:lang w:eastAsia="de-CH"/>
            </w:rPr>
          </w:pPr>
          <w:hyperlink w:anchor="_Toc237907088" w:history="1">
            <w:r w:rsidRPr="00E94E27">
              <w:rPr>
                <w:rStyle w:val="Hyperlink"/>
                <w:rFonts w:cs="Arial"/>
                <w:noProof/>
                <w:sz w:val="22"/>
                <w:lang w:val="en-US"/>
              </w:rPr>
              <w:t>Supplementary Figure 5</w:t>
            </w:r>
            <w:r w:rsidRPr="00E94E27">
              <w:rPr>
                <w:noProof/>
                <w:webHidden/>
                <w:sz w:val="22"/>
              </w:rPr>
              <w:tab/>
            </w:r>
            <w:r w:rsidRPr="00E94E27">
              <w:rPr>
                <w:noProof/>
                <w:webHidden/>
                <w:sz w:val="22"/>
              </w:rPr>
              <w:fldChar w:fldCharType="begin"/>
            </w:r>
            <w:r w:rsidRPr="00E94E27">
              <w:rPr>
                <w:noProof/>
                <w:webHidden/>
                <w:sz w:val="22"/>
              </w:rPr>
              <w:instrText xml:space="preserve"> PAGEREF _Toc237907088 \h </w:instrText>
            </w:r>
            <w:r w:rsidRPr="00E94E27">
              <w:rPr>
                <w:noProof/>
                <w:webHidden/>
                <w:sz w:val="22"/>
              </w:rPr>
            </w:r>
            <w:r w:rsidRPr="00E94E27">
              <w:rPr>
                <w:noProof/>
                <w:webHidden/>
                <w:sz w:val="22"/>
              </w:rPr>
              <w:fldChar w:fldCharType="separate"/>
            </w:r>
            <w:r w:rsidRPr="00E94E27">
              <w:rPr>
                <w:noProof/>
                <w:webHidden/>
                <w:sz w:val="22"/>
              </w:rPr>
              <w:t>18</w:t>
            </w:r>
            <w:r w:rsidRPr="00E94E27">
              <w:rPr>
                <w:noProof/>
                <w:webHidden/>
                <w:sz w:val="22"/>
              </w:rPr>
              <w:fldChar w:fldCharType="end"/>
            </w:r>
          </w:hyperlink>
        </w:p>
        <w:p w14:paraId="45E66A74" w14:textId="36C58D12" w:rsidR="00E94E27" w:rsidRPr="00E94E27" w:rsidRDefault="00E94E27" w:rsidP="00E94E27">
          <w:pPr>
            <w:pStyle w:val="Verzeichnis1"/>
            <w:tabs>
              <w:tab w:val="right" w:leader="dot" w:pos="9016"/>
            </w:tabs>
            <w:spacing w:line="480" w:lineRule="auto"/>
            <w:rPr>
              <w:rFonts w:asciiTheme="minorHAnsi" w:eastAsiaTheme="minorEastAsia" w:hAnsiTheme="minorHAnsi"/>
              <w:noProof/>
              <w:sz w:val="22"/>
              <w:lang w:eastAsia="de-CH"/>
            </w:rPr>
          </w:pPr>
          <w:hyperlink w:anchor="_Toc237907089" w:history="1">
            <w:r w:rsidRPr="00E94E27">
              <w:rPr>
                <w:rStyle w:val="Hyperlink"/>
                <w:rFonts w:cs="Arial"/>
                <w:noProof/>
                <w:sz w:val="22"/>
                <w:lang w:val="en-US"/>
              </w:rPr>
              <w:t>Supplementary Figure 6</w:t>
            </w:r>
            <w:r w:rsidRPr="00E94E27">
              <w:rPr>
                <w:noProof/>
                <w:webHidden/>
                <w:sz w:val="22"/>
              </w:rPr>
              <w:tab/>
            </w:r>
            <w:r w:rsidRPr="00E94E27">
              <w:rPr>
                <w:noProof/>
                <w:webHidden/>
                <w:sz w:val="22"/>
              </w:rPr>
              <w:fldChar w:fldCharType="begin"/>
            </w:r>
            <w:r w:rsidRPr="00E94E27">
              <w:rPr>
                <w:noProof/>
                <w:webHidden/>
                <w:sz w:val="22"/>
              </w:rPr>
              <w:instrText xml:space="preserve"> PAGEREF _Toc237907089 \h </w:instrText>
            </w:r>
            <w:r w:rsidRPr="00E94E27">
              <w:rPr>
                <w:noProof/>
                <w:webHidden/>
                <w:sz w:val="22"/>
              </w:rPr>
            </w:r>
            <w:r w:rsidRPr="00E94E27">
              <w:rPr>
                <w:noProof/>
                <w:webHidden/>
                <w:sz w:val="22"/>
              </w:rPr>
              <w:fldChar w:fldCharType="separate"/>
            </w:r>
            <w:r w:rsidRPr="00E94E27">
              <w:rPr>
                <w:noProof/>
                <w:webHidden/>
                <w:sz w:val="22"/>
              </w:rPr>
              <w:t>20</w:t>
            </w:r>
            <w:r w:rsidRPr="00E94E27">
              <w:rPr>
                <w:noProof/>
                <w:webHidden/>
                <w:sz w:val="22"/>
              </w:rPr>
              <w:fldChar w:fldCharType="end"/>
            </w:r>
          </w:hyperlink>
        </w:p>
        <w:p w14:paraId="338ECCE4" w14:textId="4B4AF115" w:rsidR="00E94E27" w:rsidRPr="00E94E27" w:rsidRDefault="00E94E27" w:rsidP="00E94E27">
          <w:pPr>
            <w:pStyle w:val="Verzeichnis1"/>
            <w:tabs>
              <w:tab w:val="right" w:leader="dot" w:pos="9016"/>
            </w:tabs>
            <w:spacing w:line="480" w:lineRule="auto"/>
            <w:rPr>
              <w:rFonts w:asciiTheme="minorHAnsi" w:eastAsiaTheme="minorEastAsia" w:hAnsiTheme="minorHAnsi"/>
              <w:noProof/>
              <w:sz w:val="22"/>
              <w:lang w:eastAsia="de-CH"/>
            </w:rPr>
          </w:pPr>
          <w:hyperlink w:anchor="_Toc237907090" w:history="1">
            <w:r w:rsidRPr="00E94E27">
              <w:rPr>
                <w:rStyle w:val="Hyperlink"/>
                <w:rFonts w:cs="Arial"/>
                <w:noProof/>
                <w:sz w:val="22"/>
                <w:lang w:val="en-US"/>
              </w:rPr>
              <w:t>Supplementary Figure 7</w:t>
            </w:r>
            <w:r w:rsidRPr="00E94E27">
              <w:rPr>
                <w:noProof/>
                <w:webHidden/>
                <w:sz w:val="22"/>
              </w:rPr>
              <w:tab/>
            </w:r>
            <w:r w:rsidRPr="00E94E27">
              <w:rPr>
                <w:noProof/>
                <w:webHidden/>
                <w:sz w:val="22"/>
              </w:rPr>
              <w:fldChar w:fldCharType="begin"/>
            </w:r>
            <w:r w:rsidRPr="00E94E27">
              <w:rPr>
                <w:noProof/>
                <w:webHidden/>
                <w:sz w:val="22"/>
              </w:rPr>
              <w:instrText xml:space="preserve"> PAGEREF _Toc237907090 \h </w:instrText>
            </w:r>
            <w:r w:rsidRPr="00E94E27">
              <w:rPr>
                <w:noProof/>
                <w:webHidden/>
                <w:sz w:val="22"/>
              </w:rPr>
            </w:r>
            <w:r w:rsidRPr="00E94E27">
              <w:rPr>
                <w:noProof/>
                <w:webHidden/>
                <w:sz w:val="22"/>
              </w:rPr>
              <w:fldChar w:fldCharType="separate"/>
            </w:r>
            <w:r w:rsidRPr="00E94E27">
              <w:rPr>
                <w:noProof/>
                <w:webHidden/>
                <w:sz w:val="22"/>
              </w:rPr>
              <w:t>21</w:t>
            </w:r>
            <w:r w:rsidRPr="00E94E27">
              <w:rPr>
                <w:noProof/>
                <w:webHidden/>
                <w:sz w:val="22"/>
              </w:rPr>
              <w:fldChar w:fldCharType="end"/>
            </w:r>
          </w:hyperlink>
        </w:p>
        <w:p w14:paraId="08571E20" w14:textId="12305663" w:rsidR="00E94E27" w:rsidRPr="00E94E27" w:rsidRDefault="00E94E27" w:rsidP="00E94E27">
          <w:pPr>
            <w:pStyle w:val="Verzeichnis1"/>
            <w:tabs>
              <w:tab w:val="right" w:leader="dot" w:pos="9016"/>
            </w:tabs>
            <w:spacing w:line="480" w:lineRule="auto"/>
            <w:rPr>
              <w:rFonts w:asciiTheme="minorHAnsi" w:eastAsiaTheme="minorEastAsia" w:hAnsiTheme="minorHAnsi"/>
              <w:noProof/>
              <w:sz w:val="22"/>
              <w:lang w:eastAsia="de-CH"/>
            </w:rPr>
          </w:pPr>
          <w:hyperlink w:anchor="_Toc237907091" w:history="1">
            <w:r w:rsidRPr="00E94E27">
              <w:rPr>
                <w:rStyle w:val="Hyperlink"/>
                <w:rFonts w:cs="Arial"/>
                <w:noProof/>
                <w:sz w:val="22"/>
                <w:lang w:val="en-US"/>
              </w:rPr>
              <w:t>Supplementary Figure 8</w:t>
            </w:r>
            <w:r w:rsidRPr="00E94E27">
              <w:rPr>
                <w:noProof/>
                <w:webHidden/>
                <w:sz w:val="22"/>
              </w:rPr>
              <w:tab/>
            </w:r>
            <w:r w:rsidRPr="00E94E27">
              <w:rPr>
                <w:noProof/>
                <w:webHidden/>
                <w:sz w:val="22"/>
              </w:rPr>
              <w:fldChar w:fldCharType="begin"/>
            </w:r>
            <w:r w:rsidRPr="00E94E27">
              <w:rPr>
                <w:noProof/>
                <w:webHidden/>
                <w:sz w:val="22"/>
              </w:rPr>
              <w:instrText xml:space="preserve"> PAGEREF _Toc237907091 \h </w:instrText>
            </w:r>
            <w:r w:rsidRPr="00E94E27">
              <w:rPr>
                <w:noProof/>
                <w:webHidden/>
                <w:sz w:val="22"/>
              </w:rPr>
            </w:r>
            <w:r w:rsidRPr="00E94E27">
              <w:rPr>
                <w:noProof/>
                <w:webHidden/>
                <w:sz w:val="22"/>
              </w:rPr>
              <w:fldChar w:fldCharType="separate"/>
            </w:r>
            <w:r w:rsidRPr="00E94E27">
              <w:rPr>
                <w:noProof/>
                <w:webHidden/>
                <w:sz w:val="22"/>
              </w:rPr>
              <w:t>22</w:t>
            </w:r>
            <w:r w:rsidRPr="00E94E27">
              <w:rPr>
                <w:noProof/>
                <w:webHidden/>
                <w:sz w:val="22"/>
              </w:rPr>
              <w:fldChar w:fldCharType="end"/>
            </w:r>
          </w:hyperlink>
        </w:p>
        <w:p w14:paraId="242636FE" w14:textId="112B5631" w:rsidR="00873263" w:rsidRPr="004B3D8B" w:rsidRDefault="006B2A80" w:rsidP="00E94E27">
          <w:pPr>
            <w:spacing w:line="480" w:lineRule="auto"/>
            <w:rPr>
              <w:rFonts w:cs="Arial"/>
              <w:b/>
              <w:bCs/>
              <w:sz w:val="22"/>
              <w:lang w:val="de-DE"/>
            </w:rPr>
          </w:pPr>
          <w:r w:rsidRPr="00E94E27">
            <w:rPr>
              <w:rFonts w:cs="Arial"/>
              <w:b/>
              <w:bCs/>
              <w:sz w:val="22"/>
              <w:lang w:val="de-DE"/>
            </w:rPr>
            <w:fldChar w:fldCharType="end"/>
          </w:r>
        </w:p>
      </w:sdtContent>
    </w:sdt>
    <w:p w14:paraId="7DB6A30F" w14:textId="613AB45D" w:rsidR="006B2A80" w:rsidRPr="004B3D8B" w:rsidRDefault="006B2A80" w:rsidP="004B3D8B">
      <w:pPr>
        <w:spacing w:line="480" w:lineRule="auto"/>
        <w:rPr>
          <w:rFonts w:cs="Arial"/>
          <w:b/>
          <w:bCs/>
          <w:sz w:val="22"/>
          <w:lang w:val="de-DE"/>
        </w:rPr>
      </w:pPr>
      <w:r w:rsidRPr="004B3D8B">
        <w:rPr>
          <w:rFonts w:cs="Arial"/>
          <w:b/>
          <w:bCs/>
          <w:sz w:val="22"/>
        </w:rPr>
        <w:br w:type="page"/>
      </w:r>
    </w:p>
    <w:p w14:paraId="6F7AE531" w14:textId="5975226D" w:rsidR="00507E71" w:rsidRPr="004B3D8B" w:rsidRDefault="00507E71" w:rsidP="004B3D8B">
      <w:pPr>
        <w:pStyle w:val="berschrift1"/>
        <w:spacing w:line="480" w:lineRule="auto"/>
        <w:rPr>
          <w:rFonts w:cs="Arial"/>
          <w:sz w:val="22"/>
          <w:szCs w:val="22"/>
          <w:lang w:val="en-US"/>
        </w:rPr>
      </w:pPr>
      <w:bookmarkStart w:id="2" w:name="_Toc237907082"/>
      <w:r w:rsidRPr="004B3D8B">
        <w:rPr>
          <w:rFonts w:cs="Arial"/>
          <w:sz w:val="22"/>
          <w:szCs w:val="22"/>
          <w:lang w:val="en-US"/>
        </w:rPr>
        <w:lastRenderedPageBreak/>
        <w:t>Methods</w:t>
      </w:r>
      <w:bookmarkEnd w:id="1"/>
      <w:bookmarkEnd w:id="2"/>
    </w:p>
    <w:p w14:paraId="58B77898" w14:textId="77777777" w:rsidR="00507E71" w:rsidRPr="004B3D8B" w:rsidRDefault="00507E71" w:rsidP="004B3D8B">
      <w:pPr>
        <w:pStyle w:val="Head3"/>
        <w:spacing w:line="480" w:lineRule="auto"/>
        <w:rPr>
          <w:rFonts w:cs="Arial"/>
          <w:b w:val="0"/>
          <w:bCs w:val="0"/>
          <w:szCs w:val="22"/>
        </w:rPr>
      </w:pPr>
      <w:bookmarkStart w:id="3" w:name="_Toc234394127"/>
      <w:r w:rsidRPr="004B3D8B">
        <w:rPr>
          <w:rFonts w:cs="Arial"/>
          <w:b w:val="0"/>
          <w:bCs w:val="0"/>
          <w:szCs w:val="22"/>
        </w:rPr>
        <w:t>CAR T-cell production</w:t>
      </w:r>
      <w:bookmarkEnd w:id="3"/>
    </w:p>
    <w:p w14:paraId="1A561437" w14:textId="77777777" w:rsidR="00507E71" w:rsidRPr="004B3D8B" w:rsidRDefault="00507E71" w:rsidP="004B3D8B">
      <w:pPr>
        <w:pStyle w:val="Head4"/>
        <w:spacing w:line="480" w:lineRule="auto"/>
        <w:rPr>
          <w:rFonts w:cs="Arial"/>
          <w:b w:val="0"/>
          <w:bCs w:val="0"/>
          <w:sz w:val="22"/>
        </w:rPr>
      </w:pPr>
      <w:bookmarkStart w:id="4" w:name="_Toc234394129"/>
      <w:r w:rsidRPr="004B3D8B">
        <w:rPr>
          <w:rFonts w:cs="Arial"/>
          <w:b w:val="0"/>
          <w:bCs w:val="0"/>
          <w:sz w:val="22"/>
        </w:rPr>
        <w:t>Purification of T Cells from Peripheral Blood</w:t>
      </w:r>
      <w:bookmarkEnd w:id="4"/>
    </w:p>
    <w:p w14:paraId="735251B4" w14:textId="7BD38112" w:rsidR="00507E71" w:rsidRDefault="00507E71" w:rsidP="004B3D8B">
      <w:pPr>
        <w:spacing w:line="480" w:lineRule="auto"/>
        <w:jc w:val="both"/>
        <w:rPr>
          <w:rFonts w:cs="Arial"/>
          <w:sz w:val="22"/>
          <w:lang w:val="en-US"/>
        </w:rPr>
      </w:pPr>
      <w:r w:rsidRPr="004B3D8B">
        <w:rPr>
          <w:rFonts w:cs="Arial"/>
          <w:sz w:val="22"/>
          <w:lang w:val="en-US"/>
        </w:rPr>
        <w:t>Peripheral blood was obtained from healthy donors through the Zurich Blood Donation Service (</w:t>
      </w:r>
      <w:proofErr w:type="spellStart"/>
      <w:r w:rsidRPr="004B3D8B">
        <w:rPr>
          <w:rFonts w:cs="Arial"/>
          <w:sz w:val="22"/>
          <w:lang w:val="en-US"/>
        </w:rPr>
        <w:t>Blutspende</w:t>
      </w:r>
      <w:proofErr w:type="spellEnd"/>
      <w:r w:rsidRPr="004B3D8B">
        <w:rPr>
          <w:rFonts w:cs="Arial"/>
          <w:sz w:val="22"/>
          <w:lang w:val="en-US"/>
        </w:rPr>
        <w:t xml:space="preserve"> Zurich, Switzerland) and peripheral blood mononuclear cells (PBMCs) were isolated by density-gradient centrifugation with </w:t>
      </w:r>
      <w:proofErr w:type="spellStart"/>
      <w:r w:rsidRPr="004B3D8B">
        <w:rPr>
          <w:rFonts w:cs="Arial"/>
          <w:sz w:val="22"/>
          <w:lang w:val="en-US"/>
        </w:rPr>
        <w:t>Ficol</w:t>
      </w:r>
      <w:r w:rsidR="001B5350">
        <w:rPr>
          <w:rFonts w:cs="Arial"/>
          <w:sz w:val="22"/>
          <w:lang w:val="en-US"/>
        </w:rPr>
        <w:t>l</w:t>
      </w:r>
      <w:proofErr w:type="spellEnd"/>
      <w:r w:rsidRPr="004B3D8B">
        <w:rPr>
          <w:rFonts w:cs="Arial"/>
          <w:sz w:val="22"/>
          <w:lang w:val="en-US"/>
        </w:rPr>
        <w:t xml:space="preserve">-Paque Plus (#17-1440-03, </w:t>
      </w:r>
      <w:proofErr w:type="spellStart"/>
      <w:r w:rsidRPr="004B3D8B">
        <w:rPr>
          <w:rFonts w:cs="Arial"/>
          <w:sz w:val="22"/>
          <w:lang w:val="en-US"/>
        </w:rPr>
        <w:t>Cytiva</w:t>
      </w:r>
      <w:proofErr w:type="spellEnd"/>
      <w:r w:rsidR="003D6337" w:rsidRPr="004B3D8B">
        <w:rPr>
          <w:rFonts w:cs="Arial"/>
          <w:sz w:val="22"/>
          <w:lang w:val="en-US"/>
        </w:rPr>
        <w:t>, Marlborough, MA, USA</w:t>
      </w:r>
      <w:r w:rsidRPr="004B3D8B">
        <w:rPr>
          <w:rFonts w:cs="Arial"/>
          <w:sz w:val="22"/>
          <w:lang w:val="en-US"/>
        </w:rPr>
        <w:t xml:space="preserve">). T cells were subsequently purified using the </w:t>
      </w:r>
      <w:proofErr w:type="spellStart"/>
      <w:r w:rsidRPr="004B3D8B">
        <w:rPr>
          <w:rFonts w:cs="Arial"/>
          <w:sz w:val="22"/>
          <w:lang w:val="en-US"/>
        </w:rPr>
        <w:t>EasySep</w:t>
      </w:r>
      <w:proofErr w:type="spellEnd"/>
      <w:r w:rsidRPr="004B3D8B">
        <w:rPr>
          <w:rFonts w:cs="Arial"/>
          <w:sz w:val="22"/>
          <w:lang w:val="en-US"/>
        </w:rPr>
        <w:t xml:space="preserve"> Human T-cell Isolation Kit (#17951, </w:t>
      </w:r>
      <w:proofErr w:type="spellStart"/>
      <w:r w:rsidRPr="004B3D8B">
        <w:rPr>
          <w:rFonts w:cs="Arial"/>
          <w:sz w:val="22"/>
          <w:lang w:val="en-US"/>
        </w:rPr>
        <w:t>Stemcell</w:t>
      </w:r>
      <w:proofErr w:type="spellEnd"/>
      <w:r w:rsidRPr="004B3D8B">
        <w:rPr>
          <w:rFonts w:cs="Arial"/>
          <w:sz w:val="22"/>
          <w:lang w:val="en-US"/>
        </w:rPr>
        <w:t xml:space="preserve"> Technologies</w:t>
      </w:r>
      <w:r w:rsidR="003D6337" w:rsidRPr="004B3D8B">
        <w:rPr>
          <w:rFonts w:cs="Arial"/>
          <w:sz w:val="22"/>
          <w:lang w:val="en-US"/>
        </w:rPr>
        <w:t>, Vancouver, Canada</w:t>
      </w:r>
      <w:r w:rsidRPr="004B3D8B">
        <w:rPr>
          <w:rFonts w:cs="Arial"/>
          <w:sz w:val="22"/>
          <w:lang w:val="en-US"/>
        </w:rPr>
        <w:t>) according to the manufacturer’s instructions. Purified T cells were either cryopreserved or used immediately for downstream applications.</w:t>
      </w:r>
    </w:p>
    <w:p w14:paraId="0F50DD3A" w14:textId="77777777" w:rsidR="004B3D8B" w:rsidRPr="004B3D8B" w:rsidRDefault="004B3D8B" w:rsidP="004B3D8B">
      <w:pPr>
        <w:spacing w:line="480" w:lineRule="auto"/>
        <w:jc w:val="both"/>
        <w:rPr>
          <w:rFonts w:cs="Arial"/>
          <w:sz w:val="22"/>
          <w:lang w:val="en-US"/>
        </w:rPr>
      </w:pPr>
    </w:p>
    <w:p w14:paraId="38154A6C" w14:textId="77777777" w:rsidR="00507E71" w:rsidRPr="004B3D8B" w:rsidRDefault="00507E71" w:rsidP="004B3D8B">
      <w:pPr>
        <w:pStyle w:val="Head4"/>
        <w:spacing w:line="480" w:lineRule="auto"/>
        <w:rPr>
          <w:rFonts w:cs="Arial"/>
          <w:b w:val="0"/>
          <w:bCs w:val="0"/>
          <w:sz w:val="22"/>
        </w:rPr>
      </w:pPr>
      <w:bookmarkStart w:id="5" w:name="_Toc234394130"/>
      <w:r w:rsidRPr="004B3D8B">
        <w:rPr>
          <w:rFonts w:cs="Arial"/>
          <w:b w:val="0"/>
          <w:bCs w:val="0"/>
          <w:sz w:val="22"/>
        </w:rPr>
        <w:t>CAR T-Cell Production with LV</w:t>
      </w:r>
      <w:bookmarkEnd w:id="5"/>
    </w:p>
    <w:p w14:paraId="23D4D798" w14:textId="468C5FCF" w:rsidR="00507E71" w:rsidRPr="004B3D8B" w:rsidRDefault="00507E71" w:rsidP="004B3D8B">
      <w:pPr>
        <w:autoSpaceDE w:val="0"/>
        <w:autoSpaceDN w:val="0"/>
        <w:adjustRightInd w:val="0"/>
        <w:spacing w:line="480" w:lineRule="auto"/>
        <w:jc w:val="both"/>
        <w:rPr>
          <w:rFonts w:cs="Arial"/>
          <w:sz w:val="22"/>
          <w:lang w:val="en-US"/>
        </w:rPr>
      </w:pPr>
      <w:r w:rsidRPr="004B3D8B">
        <w:rPr>
          <w:rFonts w:cs="Arial"/>
          <w:sz w:val="22"/>
          <w:lang w:val="en-US"/>
        </w:rPr>
        <w:t xml:space="preserve">Lentiviral particles containing the CAR plasmid were generated by transfecting HEK293-T cells at approximately 70% confluency in a T75 flask. To produce the transfection mixture, the CAR-encoding transfer vector (4 </w:t>
      </w:r>
      <w:r w:rsidRPr="004B3D8B">
        <w:rPr>
          <w:rFonts w:cs="Arial"/>
          <w:sz w:val="22"/>
        </w:rPr>
        <w:t>μ</w:t>
      </w:r>
      <w:r w:rsidRPr="004B3D8B">
        <w:rPr>
          <w:rFonts w:cs="Arial"/>
          <w:sz w:val="22"/>
          <w:lang w:val="en-US"/>
        </w:rPr>
        <w:t xml:space="preserve">g), psPAX2 packaging plasmid (4 </w:t>
      </w:r>
      <w:r w:rsidRPr="004B3D8B">
        <w:rPr>
          <w:rFonts w:cs="Arial"/>
          <w:sz w:val="22"/>
        </w:rPr>
        <w:t>μ</w:t>
      </w:r>
      <w:r w:rsidRPr="004B3D8B">
        <w:rPr>
          <w:rFonts w:cs="Arial"/>
          <w:sz w:val="22"/>
          <w:lang w:val="en-US"/>
        </w:rPr>
        <w:t>g, #12259</w:t>
      </w:r>
      <w:r w:rsidR="003D6337" w:rsidRPr="004B3D8B">
        <w:rPr>
          <w:rFonts w:cs="Arial"/>
          <w:sz w:val="22"/>
          <w:lang w:val="en-US"/>
        </w:rPr>
        <w:t xml:space="preserve">, </w:t>
      </w:r>
      <w:proofErr w:type="spellStart"/>
      <w:r w:rsidR="003D6337" w:rsidRPr="004B3D8B">
        <w:rPr>
          <w:rFonts w:cs="Arial"/>
          <w:sz w:val="22"/>
          <w:lang w:val="en-US"/>
        </w:rPr>
        <w:t>Addgene</w:t>
      </w:r>
      <w:proofErr w:type="spellEnd"/>
      <w:r w:rsidR="003D6337" w:rsidRPr="004B3D8B">
        <w:rPr>
          <w:rFonts w:cs="Arial"/>
          <w:sz w:val="22"/>
          <w:lang w:val="en-US"/>
        </w:rPr>
        <w:t>, Watertown, MA, USA</w:t>
      </w:r>
      <w:r w:rsidRPr="004B3D8B">
        <w:rPr>
          <w:rFonts w:cs="Arial"/>
          <w:sz w:val="22"/>
          <w:lang w:val="en-US"/>
        </w:rPr>
        <w:t xml:space="preserve">), and the </w:t>
      </w:r>
      <w:proofErr w:type="spellStart"/>
      <w:r w:rsidRPr="004B3D8B">
        <w:rPr>
          <w:rFonts w:cs="Arial"/>
          <w:sz w:val="22"/>
          <w:lang w:val="en-US"/>
        </w:rPr>
        <w:t>pCAG</w:t>
      </w:r>
      <w:proofErr w:type="spellEnd"/>
      <w:r w:rsidRPr="004B3D8B">
        <w:rPr>
          <w:rFonts w:cs="Arial"/>
          <w:sz w:val="22"/>
          <w:lang w:val="en-US"/>
        </w:rPr>
        <w:t xml:space="preserve">-VSVG envelope plasmid (2.2 </w:t>
      </w:r>
      <w:r w:rsidRPr="004B3D8B">
        <w:rPr>
          <w:rFonts w:cs="Arial"/>
          <w:sz w:val="22"/>
        </w:rPr>
        <w:t>μ</w:t>
      </w:r>
      <w:r w:rsidRPr="004B3D8B">
        <w:rPr>
          <w:rFonts w:cs="Arial"/>
          <w:sz w:val="22"/>
          <w:lang w:val="en-US"/>
        </w:rPr>
        <w:t>g, #35616</w:t>
      </w:r>
      <w:r w:rsidR="003D6337" w:rsidRPr="004B3D8B">
        <w:rPr>
          <w:rFonts w:cs="Arial"/>
          <w:sz w:val="22"/>
          <w:lang w:val="en-US"/>
        </w:rPr>
        <w:t xml:space="preserve">, </w:t>
      </w:r>
      <w:proofErr w:type="spellStart"/>
      <w:r w:rsidR="003D6337" w:rsidRPr="004B3D8B">
        <w:rPr>
          <w:rFonts w:cs="Arial"/>
          <w:sz w:val="22"/>
          <w:lang w:val="en-US"/>
        </w:rPr>
        <w:t>Addgene</w:t>
      </w:r>
      <w:proofErr w:type="spellEnd"/>
      <w:r w:rsidRPr="004B3D8B">
        <w:rPr>
          <w:rFonts w:cs="Arial"/>
          <w:sz w:val="22"/>
          <w:lang w:val="en-US"/>
        </w:rPr>
        <w:t xml:space="preserve">) were mixed with 500 </w:t>
      </w:r>
      <w:r w:rsidRPr="004B3D8B">
        <w:rPr>
          <w:rFonts w:cs="Arial"/>
          <w:sz w:val="22"/>
        </w:rPr>
        <w:t>μ</w:t>
      </w:r>
      <w:r w:rsidRPr="004B3D8B">
        <w:rPr>
          <w:rFonts w:cs="Arial"/>
          <w:sz w:val="22"/>
          <w:lang w:val="en-US"/>
        </w:rPr>
        <w:t xml:space="preserve">L Jet-PRIME buffer and 20 </w:t>
      </w:r>
      <w:r w:rsidRPr="004B3D8B">
        <w:rPr>
          <w:rFonts w:cs="Arial"/>
          <w:sz w:val="22"/>
        </w:rPr>
        <w:t>μ</w:t>
      </w:r>
      <w:r w:rsidRPr="004B3D8B">
        <w:rPr>
          <w:rFonts w:cs="Arial"/>
          <w:sz w:val="22"/>
          <w:lang w:val="en-US"/>
        </w:rPr>
        <w:t xml:space="preserve">L Jet-PRIME transfection reagent (#PPT101000046, </w:t>
      </w:r>
      <w:proofErr w:type="spellStart"/>
      <w:r w:rsidRPr="004B3D8B">
        <w:rPr>
          <w:rFonts w:cs="Arial"/>
          <w:sz w:val="22"/>
          <w:lang w:val="en-US"/>
        </w:rPr>
        <w:t>Polyplus</w:t>
      </w:r>
      <w:proofErr w:type="spellEnd"/>
      <w:r w:rsidR="003D6337" w:rsidRPr="004B3D8B">
        <w:rPr>
          <w:rFonts w:cs="Arial"/>
          <w:sz w:val="22"/>
          <w:lang w:val="en-US"/>
        </w:rPr>
        <w:t>, Illkirch, France</w:t>
      </w:r>
      <w:r w:rsidRPr="004B3D8B">
        <w:rPr>
          <w:rFonts w:cs="Arial"/>
          <w:sz w:val="22"/>
          <w:lang w:val="en-US"/>
        </w:rPr>
        <w:t>), followed by incubation for 15 min at room temperature (RT). After 4-6 hours, the medium was replaced with fresh Dulbecco’s Modified Eagle Medium (DMEM, #11965092, Gibco</w:t>
      </w:r>
      <w:r w:rsidR="003D6337" w:rsidRPr="004B3D8B">
        <w:rPr>
          <w:rFonts w:cs="Arial"/>
          <w:sz w:val="22"/>
          <w:lang w:val="en-US"/>
        </w:rPr>
        <w:t>, Grand Island, NY, USA</w:t>
      </w:r>
      <w:r w:rsidRPr="004B3D8B">
        <w:rPr>
          <w:rFonts w:cs="Arial"/>
          <w:sz w:val="22"/>
          <w:lang w:val="en-US"/>
        </w:rPr>
        <w:t xml:space="preserve">) supplemented with fetal-bovine serum (FBS, 10%), Penicillin/Streptomycin (100 U/mL / 100 mg/mL) and Sodium Pyruvate (1mM, #11360039, </w:t>
      </w:r>
      <w:proofErr w:type="spellStart"/>
      <w:r w:rsidRPr="004B3D8B">
        <w:rPr>
          <w:rFonts w:cs="Arial"/>
          <w:sz w:val="22"/>
          <w:lang w:val="en-US"/>
        </w:rPr>
        <w:t>Thermo</w:t>
      </w:r>
      <w:proofErr w:type="spellEnd"/>
      <w:r w:rsidRPr="004B3D8B">
        <w:rPr>
          <w:rFonts w:cs="Arial"/>
          <w:sz w:val="22"/>
          <w:lang w:val="en-US"/>
        </w:rPr>
        <w:t xml:space="preserve"> Fisher Scientific</w:t>
      </w:r>
      <w:r w:rsidR="003D6337" w:rsidRPr="004B3D8B">
        <w:rPr>
          <w:rFonts w:cs="Arial"/>
          <w:sz w:val="22"/>
          <w:lang w:val="en-US"/>
        </w:rPr>
        <w:t>, Waltham, MA, USA</w:t>
      </w:r>
      <w:r w:rsidRPr="004B3D8B">
        <w:rPr>
          <w:rFonts w:cs="Arial"/>
          <w:sz w:val="22"/>
          <w:lang w:val="en-US"/>
        </w:rPr>
        <w:t xml:space="preserve">). After 2 days of culture, viral supernatants were harvested, centrifuged (400 x g, 5 min), and filtered through a 0.45 </w:t>
      </w:r>
      <w:r w:rsidRPr="004B3D8B">
        <w:rPr>
          <w:rFonts w:cs="Arial"/>
          <w:sz w:val="22"/>
        </w:rPr>
        <w:t>μ</w:t>
      </w:r>
      <w:r w:rsidRPr="004B3D8B">
        <w:rPr>
          <w:rFonts w:cs="Arial"/>
          <w:sz w:val="22"/>
          <w:lang w:val="en-US"/>
        </w:rPr>
        <w:t>m filter to remove cellular debris. Concentration of virus particles was achieved by adding PEG-it Precipitation Solution (SBI-LV825A-1, System Biosciences</w:t>
      </w:r>
      <w:r w:rsidR="003D6337" w:rsidRPr="004B3D8B">
        <w:rPr>
          <w:rFonts w:cs="Arial"/>
          <w:sz w:val="22"/>
          <w:lang w:val="en-US"/>
        </w:rPr>
        <w:t>, Palo Alto, CA, USA</w:t>
      </w:r>
      <w:r w:rsidRPr="004B3D8B">
        <w:rPr>
          <w:rFonts w:cs="Arial"/>
          <w:sz w:val="22"/>
          <w:lang w:val="en-US"/>
        </w:rPr>
        <w:t xml:space="preserve">) at a ratio of 1:5, followed by overnight incubation at 4°C, centrifugation (1500 x g, 30 </w:t>
      </w:r>
      <w:r w:rsidRPr="004B3D8B">
        <w:rPr>
          <w:rFonts w:cs="Arial"/>
          <w:sz w:val="22"/>
          <w:lang w:val="en-US"/>
        </w:rPr>
        <w:lastRenderedPageBreak/>
        <w:t>min), and re-suspension of the virus pellet in cell culture medium (1:200 of the initial supernatant volume). Concentrated virus was stored at -80°C until further use.</w:t>
      </w:r>
    </w:p>
    <w:p w14:paraId="375FAB33" w14:textId="49053FBC" w:rsidR="00507E71" w:rsidRDefault="00507E71" w:rsidP="004B3D8B">
      <w:pPr>
        <w:autoSpaceDE w:val="0"/>
        <w:autoSpaceDN w:val="0"/>
        <w:adjustRightInd w:val="0"/>
        <w:spacing w:line="480" w:lineRule="auto"/>
        <w:jc w:val="both"/>
        <w:rPr>
          <w:rFonts w:cs="Arial"/>
          <w:sz w:val="22"/>
          <w:lang w:val="en-US"/>
        </w:rPr>
      </w:pPr>
      <w:r w:rsidRPr="004B3D8B">
        <w:rPr>
          <w:rFonts w:cs="Arial"/>
          <w:sz w:val="22"/>
          <w:lang w:val="en-US"/>
        </w:rPr>
        <w:t>For CAR T-cell generation, 1 x 10</w:t>
      </w:r>
      <w:r w:rsidRPr="004B3D8B">
        <w:rPr>
          <w:rFonts w:cs="Arial"/>
          <w:sz w:val="22"/>
          <w:vertAlign w:val="superscript"/>
          <w:lang w:val="en-US"/>
        </w:rPr>
        <w:t>6</w:t>
      </w:r>
      <w:r w:rsidRPr="004B3D8B">
        <w:rPr>
          <w:rFonts w:cs="Arial"/>
          <w:sz w:val="22"/>
          <w:lang w:val="en-US"/>
        </w:rPr>
        <w:t xml:space="preserve"> freshly isolated or thawed human T cells were cultured in 500 </w:t>
      </w:r>
      <w:r w:rsidRPr="004B3D8B">
        <w:rPr>
          <w:rFonts w:cs="Arial"/>
          <w:sz w:val="22"/>
        </w:rPr>
        <w:t>μ</w:t>
      </w:r>
      <w:r w:rsidRPr="004B3D8B">
        <w:rPr>
          <w:rFonts w:cs="Arial"/>
          <w:sz w:val="22"/>
          <w:lang w:val="en-US"/>
        </w:rPr>
        <w:t xml:space="preserve">L T-cell culture medium (Advanced RPMI 1640 (#12633012, Gibco) supplemented with FBS (10%), </w:t>
      </w:r>
      <w:proofErr w:type="spellStart"/>
      <w:r w:rsidRPr="004B3D8B">
        <w:rPr>
          <w:rFonts w:cs="Arial"/>
          <w:sz w:val="22"/>
          <w:lang w:val="en-US"/>
        </w:rPr>
        <w:t>Glutamax</w:t>
      </w:r>
      <w:proofErr w:type="spellEnd"/>
      <w:r w:rsidRPr="004B3D8B">
        <w:rPr>
          <w:rFonts w:cs="Arial"/>
          <w:sz w:val="22"/>
          <w:lang w:val="en-US"/>
        </w:rPr>
        <w:t xml:space="preserve"> (2mM, 35050061, Gibco), and Penicillin/Streptomycin (100 U/mL / 100 </w:t>
      </w:r>
      <w:r w:rsidRPr="004B3D8B">
        <w:rPr>
          <w:rFonts w:cs="Arial"/>
          <w:sz w:val="22"/>
        </w:rPr>
        <w:t>μ</w:t>
      </w:r>
      <w:r w:rsidRPr="004B3D8B">
        <w:rPr>
          <w:rFonts w:cs="Arial"/>
          <w:sz w:val="22"/>
          <w:lang w:val="en-US"/>
        </w:rPr>
        <w:t>g/mL)) and stimulated with 80 U/mL IL-2 (</w:t>
      </w:r>
      <w:proofErr w:type="spellStart"/>
      <w:r w:rsidRPr="004B3D8B">
        <w:rPr>
          <w:rFonts w:cs="Arial"/>
          <w:sz w:val="22"/>
          <w:lang w:val="en-US"/>
        </w:rPr>
        <w:t>Proleukin</w:t>
      </w:r>
      <w:proofErr w:type="spellEnd"/>
      <w:r w:rsidRPr="004B3D8B">
        <w:rPr>
          <w:rFonts w:cs="Arial"/>
          <w:sz w:val="22"/>
          <w:lang w:val="en-US"/>
        </w:rPr>
        <w:t>®, Novartis</w:t>
      </w:r>
      <w:r w:rsidR="003D6337" w:rsidRPr="004B3D8B">
        <w:rPr>
          <w:rFonts w:cs="Arial"/>
          <w:sz w:val="22"/>
          <w:lang w:val="en-US"/>
        </w:rPr>
        <w:t>, Basel, Switzerland</w:t>
      </w:r>
      <w:r w:rsidRPr="004B3D8B">
        <w:rPr>
          <w:rFonts w:cs="Arial"/>
          <w:sz w:val="22"/>
          <w:lang w:val="en-US"/>
        </w:rPr>
        <w:t xml:space="preserve">). T-cell activation was achieved by adding </w:t>
      </w:r>
      <w:r w:rsidR="001B5350">
        <w:rPr>
          <w:rFonts w:cs="Arial"/>
          <w:sz w:val="22"/>
          <w:lang w:val="en-US"/>
        </w:rPr>
        <w:t>anti-</w:t>
      </w:r>
      <w:r w:rsidRPr="004B3D8B">
        <w:rPr>
          <w:rFonts w:cs="Arial"/>
          <w:sz w:val="22"/>
          <w:lang w:val="en-US"/>
        </w:rPr>
        <w:t xml:space="preserve">CD3/CD28 </w:t>
      </w:r>
      <w:proofErr w:type="spellStart"/>
      <w:r w:rsidRPr="004B3D8B">
        <w:rPr>
          <w:rFonts w:cs="Arial"/>
          <w:sz w:val="22"/>
          <w:lang w:val="en-US"/>
        </w:rPr>
        <w:t>Dyna</w:t>
      </w:r>
      <w:r w:rsidR="001B5350">
        <w:rPr>
          <w:rFonts w:cs="Arial"/>
          <w:sz w:val="22"/>
          <w:lang w:val="en-US"/>
        </w:rPr>
        <w:t>B</w:t>
      </w:r>
      <w:r w:rsidRPr="004B3D8B">
        <w:rPr>
          <w:rFonts w:cs="Arial"/>
          <w:sz w:val="22"/>
          <w:lang w:val="en-US"/>
        </w:rPr>
        <w:t>eads</w:t>
      </w:r>
      <w:proofErr w:type="spellEnd"/>
      <w:r w:rsidRPr="004B3D8B">
        <w:rPr>
          <w:rFonts w:cs="Arial"/>
          <w:sz w:val="22"/>
          <w:lang w:val="en-US"/>
        </w:rPr>
        <w:t xml:space="preserve"> (#11131D, </w:t>
      </w:r>
      <w:proofErr w:type="spellStart"/>
      <w:r w:rsidRPr="004B3D8B">
        <w:rPr>
          <w:rFonts w:cs="Arial"/>
          <w:sz w:val="22"/>
          <w:lang w:val="en-US"/>
        </w:rPr>
        <w:t>Thermo</w:t>
      </w:r>
      <w:proofErr w:type="spellEnd"/>
      <w:r w:rsidRPr="004B3D8B">
        <w:rPr>
          <w:rFonts w:cs="Arial"/>
          <w:sz w:val="22"/>
          <w:lang w:val="en-US"/>
        </w:rPr>
        <w:t xml:space="preserve"> Fisher Scientific) at a </w:t>
      </w:r>
      <w:r w:rsidR="001B5350">
        <w:rPr>
          <w:rFonts w:cs="Arial"/>
          <w:sz w:val="22"/>
          <w:lang w:val="en-US"/>
        </w:rPr>
        <w:t xml:space="preserve">cell-to-bead </w:t>
      </w:r>
      <w:r w:rsidRPr="004B3D8B">
        <w:rPr>
          <w:rFonts w:cs="Arial"/>
          <w:sz w:val="22"/>
          <w:lang w:val="en-US"/>
        </w:rPr>
        <w:t xml:space="preserve">ratio of 1:1. After 14-16 hours, 15 </w:t>
      </w:r>
      <w:r w:rsidRPr="004B3D8B">
        <w:rPr>
          <w:rFonts w:cs="Arial"/>
          <w:sz w:val="22"/>
        </w:rPr>
        <w:t>μ</w:t>
      </w:r>
      <w:r w:rsidRPr="004B3D8B">
        <w:rPr>
          <w:rFonts w:cs="Arial"/>
          <w:sz w:val="22"/>
          <w:lang w:val="en-US"/>
        </w:rPr>
        <w:t xml:space="preserve">L concentrated virus and 8 </w:t>
      </w:r>
      <w:r w:rsidRPr="004B3D8B">
        <w:rPr>
          <w:rFonts w:cs="Arial"/>
          <w:sz w:val="22"/>
        </w:rPr>
        <w:t>μ</w:t>
      </w:r>
      <w:r w:rsidRPr="004B3D8B">
        <w:rPr>
          <w:rFonts w:cs="Arial"/>
          <w:sz w:val="22"/>
          <w:lang w:val="en-US"/>
        </w:rPr>
        <w:t>g/mL Polybrene Transfection Reagent (#TR-1003-G, Sigma Aldrich</w:t>
      </w:r>
      <w:r w:rsidR="003D6337" w:rsidRPr="004B3D8B">
        <w:rPr>
          <w:rFonts w:cs="Arial"/>
          <w:sz w:val="22"/>
          <w:lang w:val="en-US"/>
        </w:rPr>
        <w:t>, St. Louis, MO, USA</w:t>
      </w:r>
      <w:r w:rsidRPr="004B3D8B">
        <w:rPr>
          <w:rFonts w:cs="Arial"/>
          <w:sz w:val="22"/>
          <w:lang w:val="en-US"/>
        </w:rPr>
        <w:t xml:space="preserve">) were added, followed by </w:t>
      </w:r>
      <w:proofErr w:type="spellStart"/>
      <w:r w:rsidRPr="004B3D8B">
        <w:rPr>
          <w:rFonts w:cs="Arial"/>
          <w:sz w:val="22"/>
          <w:lang w:val="en-US"/>
        </w:rPr>
        <w:t>spinoculation</w:t>
      </w:r>
      <w:proofErr w:type="spellEnd"/>
      <w:r w:rsidRPr="004B3D8B">
        <w:rPr>
          <w:rFonts w:cs="Arial"/>
          <w:sz w:val="22"/>
          <w:lang w:val="en-US"/>
        </w:rPr>
        <w:t xml:space="preserve"> (1000 x g, 32°C, 60 min). The following day, viral particles were removed by centrifuging (400 x g, 5 min) the cells and re-suspending in fresh T-cell culture medium. </w:t>
      </w:r>
      <w:proofErr w:type="spellStart"/>
      <w:r w:rsidRPr="004B3D8B">
        <w:rPr>
          <w:rFonts w:cs="Arial"/>
          <w:sz w:val="22"/>
          <w:lang w:val="en-US"/>
        </w:rPr>
        <w:t>Dyna</w:t>
      </w:r>
      <w:r w:rsidR="001B5350">
        <w:rPr>
          <w:rFonts w:cs="Arial"/>
          <w:sz w:val="22"/>
          <w:lang w:val="en-US"/>
        </w:rPr>
        <w:t>B</w:t>
      </w:r>
      <w:r w:rsidRPr="004B3D8B">
        <w:rPr>
          <w:rFonts w:cs="Arial"/>
          <w:sz w:val="22"/>
          <w:lang w:val="en-US"/>
        </w:rPr>
        <w:t>eads</w:t>
      </w:r>
      <w:proofErr w:type="spellEnd"/>
      <w:r w:rsidRPr="004B3D8B">
        <w:rPr>
          <w:rFonts w:cs="Arial"/>
          <w:sz w:val="22"/>
          <w:lang w:val="en-US"/>
        </w:rPr>
        <w:t xml:space="preserve"> were removed one day later using magnetic separation. If necessary, CAR T cells were purified on day 6 and cultured until days 10-12. Fresh medium and IL-2 were added as required based on cell density. T cells were either cryopreserved or used immediately.</w:t>
      </w:r>
    </w:p>
    <w:p w14:paraId="308908FA" w14:textId="77777777" w:rsidR="004B3D8B" w:rsidRPr="004B3D8B" w:rsidRDefault="004B3D8B" w:rsidP="004B3D8B">
      <w:pPr>
        <w:autoSpaceDE w:val="0"/>
        <w:autoSpaceDN w:val="0"/>
        <w:adjustRightInd w:val="0"/>
        <w:spacing w:line="480" w:lineRule="auto"/>
        <w:jc w:val="both"/>
        <w:rPr>
          <w:rFonts w:cs="Arial"/>
          <w:sz w:val="22"/>
          <w:lang w:val="en-US"/>
        </w:rPr>
      </w:pPr>
    </w:p>
    <w:p w14:paraId="6C379A38" w14:textId="77777777" w:rsidR="00507E71" w:rsidRPr="004B3D8B" w:rsidRDefault="00507E71" w:rsidP="004B3D8B">
      <w:pPr>
        <w:pStyle w:val="Head4"/>
        <w:spacing w:line="480" w:lineRule="auto"/>
        <w:rPr>
          <w:rFonts w:cs="Arial"/>
          <w:b w:val="0"/>
          <w:bCs w:val="0"/>
          <w:sz w:val="22"/>
        </w:rPr>
      </w:pPr>
      <w:bookmarkStart w:id="6" w:name="_Toc234394131"/>
      <w:r w:rsidRPr="004B3D8B">
        <w:rPr>
          <w:rFonts w:cs="Arial"/>
          <w:b w:val="0"/>
          <w:bCs w:val="0"/>
          <w:sz w:val="22"/>
        </w:rPr>
        <w:t>CAR T-Cell Production with SB</w:t>
      </w:r>
      <w:bookmarkEnd w:id="6"/>
    </w:p>
    <w:p w14:paraId="2C243641" w14:textId="4DA22237" w:rsidR="00507E71" w:rsidRDefault="00507E71" w:rsidP="004B3D8B">
      <w:pPr>
        <w:autoSpaceDE w:val="0"/>
        <w:autoSpaceDN w:val="0"/>
        <w:adjustRightInd w:val="0"/>
        <w:spacing w:line="480" w:lineRule="auto"/>
        <w:jc w:val="both"/>
        <w:rPr>
          <w:rFonts w:cs="Arial"/>
          <w:sz w:val="22"/>
          <w:lang w:val="en-US"/>
        </w:rPr>
      </w:pPr>
      <w:r w:rsidRPr="004B3D8B">
        <w:rPr>
          <w:rFonts w:cs="Arial"/>
          <w:sz w:val="22"/>
          <w:lang w:val="en-US"/>
        </w:rPr>
        <w:t xml:space="preserve">Freshly isolated or thawed human T cells were centrifuged (400 x g, 5 min) and resuspended in electroporation medium (Advanced RPMI </w:t>
      </w:r>
      <w:proofErr w:type="gramStart"/>
      <w:r w:rsidRPr="004B3D8B">
        <w:rPr>
          <w:rFonts w:cs="Arial"/>
          <w:sz w:val="22"/>
          <w:lang w:val="en-US"/>
        </w:rPr>
        <w:t>1640 (#</w:t>
      </w:r>
      <w:proofErr w:type="gramEnd"/>
      <w:r w:rsidRPr="004B3D8B">
        <w:rPr>
          <w:rFonts w:cs="Arial"/>
          <w:sz w:val="22"/>
          <w:lang w:val="en-US"/>
        </w:rPr>
        <w:t xml:space="preserve">12633012, Gibco) supplemented with FBS (20%) and </w:t>
      </w:r>
      <w:proofErr w:type="spellStart"/>
      <w:r w:rsidRPr="004B3D8B">
        <w:rPr>
          <w:rFonts w:cs="Arial"/>
          <w:sz w:val="22"/>
          <w:lang w:val="en-US"/>
        </w:rPr>
        <w:t>Glutamax</w:t>
      </w:r>
      <w:proofErr w:type="spellEnd"/>
      <w:r w:rsidRPr="004B3D8B">
        <w:rPr>
          <w:rFonts w:cs="Arial"/>
          <w:sz w:val="22"/>
          <w:lang w:val="en-US"/>
        </w:rPr>
        <w:t xml:space="preserve"> (2</w:t>
      </w:r>
      <w:proofErr w:type="gramStart"/>
      <w:r w:rsidRPr="004B3D8B">
        <w:rPr>
          <w:rFonts w:cs="Arial"/>
          <w:sz w:val="22"/>
          <w:lang w:val="en-US"/>
        </w:rPr>
        <w:t xml:space="preserve">mM, </w:t>
      </w:r>
      <w:r w:rsidR="003D6337" w:rsidRPr="004B3D8B">
        <w:rPr>
          <w:rFonts w:cs="Arial"/>
          <w:sz w:val="22"/>
          <w:lang w:val="en-US"/>
        </w:rPr>
        <w:t>#</w:t>
      </w:r>
      <w:proofErr w:type="gramEnd"/>
      <w:r w:rsidRPr="004B3D8B">
        <w:rPr>
          <w:rFonts w:cs="Arial"/>
          <w:sz w:val="22"/>
          <w:lang w:val="en-US"/>
        </w:rPr>
        <w:t>35050061, Gibco). For each condition, 5 x 10</w:t>
      </w:r>
      <w:r w:rsidRPr="004B3D8B">
        <w:rPr>
          <w:rFonts w:cs="Arial"/>
          <w:sz w:val="22"/>
          <w:vertAlign w:val="superscript"/>
          <w:lang w:val="en-US"/>
        </w:rPr>
        <w:t>6</w:t>
      </w:r>
      <w:r w:rsidRPr="004B3D8B">
        <w:rPr>
          <w:rFonts w:cs="Arial"/>
          <w:sz w:val="22"/>
          <w:lang w:val="en-US"/>
        </w:rPr>
        <w:t xml:space="preserve"> cells were resuspended in 100 </w:t>
      </w:r>
      <w:r w:rsidRPr="004B3D8B">
        <w:rPr>
          <w:rFonts w:cs="Arial"/>
          <w:sz w:val="22"/>
        </w:rPr>
        <w:t>μ</w:t>
      </w:r>
      <w:r w:rsidRPr="004B3D8B">
        <w:rPr>
          <w:rFonts w:cs="Arial"/>
          <w:sz w:val="22"/>
          <w:lang w:val="en-US"/>
        </w:rPr>
        <w:t>L P3 Primary Cell Nucleofection Solution (#V4XP-3024, Lonza</w:t>
      </w:r>
      <w:r w:rsidR="003D6337" w:rsidRPr="004B3D8B">
        <w:rPr>
          <w:rFonts w:cs="Arial"/>
          <w:sz w:val="22"/>
          <w:lang w:val="en-US"/>
        </w:rPr>
        <w:t>, Basel, Switzerland</w:t>
      </w:r>
      <w:r w:rsidRPr="004B3D8B">
        <w:rPr>
          <w:rFonts w:cs="Arial"/>
          <w:sz w:val="22"/>
          <w:lang w:val="en-US"/>
        </w:rPr>
        <w:t xml:space="preserve">) containing 7.5 </w:t>
      </w:r>
      <w:r w:rsidRPr="004B3D8B">
        <w:rPr>
          <w:rFonts w:cs="Arial"/>
          <w:sz w:val="22"/>
        </w:rPr>
        <w:t>μ</w:t>
      </w:r>
      <w:r w:rsidRPr="004B3D8B">
        <w:rPr>
          <w:rFonts w:cs="Arial"/>
          <w:sz w:val="22"/>
          <w:lang w:val="en-US"/>
        </w:rPr>
        <w:t xml:space="preserve">g CAR vector and 2.5 </w:t>
      </w:r>
      <w:r w:rsidRPr="004B3D8B">
        <w:rPr>
          <w:rFonts w:cs="Arial"/>
          <w:sz w:val="22"/>
        </w:rPr>
        <w:t>μ</w:t>
      </w:r>
      <w:r w:rsidRPr="004B3D8B">
        <w:rPr>
          <w:rFonts w:cs="Arial"/>
          <w:sz w:val="22"/>
          <w:lang w:val="en-US"/>
        </w:rPr>
        <w:t>g SB100X transposase plasmid (</w:t>
      </w:r>
      <w:r w:rsidR="003D6337" w:rsidRPr="004B3D8B">
        <w:rPr>
          <w:rFonts w:cs="Arial"/>
          <w:sz w:val="22"/>
          <w:lang w:val="en-US"/>
        </w:rPr>
        <w:t>#</w:t>
      </w:r>
      <w:r w:rsidRPr="004B3D8B">
        <w:rPr>
          <w:rFonts w:cs="Arial"/>
          <w:sz w:val="22"/>
          <w:lang w:val="en-US"/>
        </w:rPr>
        <w:t>34879</w:t>
      </w:r>
      <w:r w:rsidR="003D6337" w:rsidRPr="004B3D8B">
        <w:rPr>
          <w:rFonts w:cs="Arial"/>
          <w:sz w:val="22"/>
          <w:lang w:val="en-US"/>
        </w:rPr>
        <w:t xml:space="preserve">, </w:t>
      </w:r>
      <w:proofErr w:type="spellStart"/>
      <w:r w:rsidR="003D6337" w:rsidRPr="004B3D8B">
        <w:rPr>
          <w:rFonts w:cs="Arial"/>
          <w:sz w:val="22"/>
          <w:lang w:val="en-US"/>
        </w:rPr>
        <w:t>Addgene</w:t>
      </w:r>
      <w:proofErr w:type="spellEnd"/>
      <w:r w:rsidRPr="004B3D8B">
        <w:rPr>
          <w:rFonts w:cs="Arial"/>
          <w:sz w:val="22"/>
          <w:lang w:val="en-US"/>
        </w:rPr>
        <w:t xml:space="preserve">). For the nucleofection control condition, cells were resuspended in 100 </w:t>
      </w:r>
      <w:r w:rsidRPr="004B3D8B">
        <w:rPr>
          <w:rFonts w:cs="Arial"/>
          <w:sz w:val="22"/>
        </w:rPr>
        <w:t>μ</w:t>
      </w:r>
      <w:r w:rsidRPr="004B3D8B">
        <w:rPr>
          <w:rFonts w:cs="Arial"/>
          <w:sz w:val="22"/>
          <w:lang w:val="en-US"/>
        </w:rPr>
        <w:t xml:space="preserve">L P3 Primary Cell Nucleofection </w:t>
      </w:r>
      <w:proofErr w:type="gramStart"/>
      <w:r w:rsidRPr="004B3D8B">
        <w:rPr>
          <w:rFonts w:cs="Arial"/>
          <w:sz w:val="22"/>
          <w:lang w:val="en-US"/>
        </w:rPr>
        <w:t>Solution (#</w:t>
      </w:r>
      <w:proofErr w:type="gramEnd"/>
      <w:r w:rsidRPr="004B3D8B">
        <w:rPr>
          <w:rFonts w:cs="Arial"/>
          <w:sz w:val="22"/>
          <w:lang w:val="en-US"/>
        </w:rPr>
        <w:t xml:space="preserve">V4XP-3024, Lonza) containing 2 </w:t>
      </w:r>
      <w:r w:rsidRPr="004B3D8B">
        <w:rPr>
          <w:rFonts w:cs="Arial"/>
          <w:sz w:val="22"/>
        </w:rPr>
        <w:t>μ</w:t>
      </w:r>
      <w:r w:rsidRPr="004B3D8B">
        <w:rPr>
          <w:rFonts w:cs="Arial"/>
          <w:sz w:val="22"/>
          <w:lang w:val="en-US"/>
        </w:rPr>
        <w:t xml:space="preserve">L GFP control plasmid. Electroporation was performed using 100 µL </w:t>
      </w:r>
      <w:proofErr w:type="spellStart"/>
      <w:r w:rsidRPr="004B3D8B">
        <w:rPr>
          <w:rFonts w:cs="Arial"/>
          <w:sz w:val="22"/>
          <w:lang w:val="en-US"/>
        </w:rPr>
        <w:t>Nucleocuvette</w:t>
      </w:r>
      <w:proofErr w:type="spellEnd"/>
      <w:r w:rsidRPr="004B3D8B">
        <w:rPr>
          <w:rFonts w:cs="Arial"/>
          <w:sz w:val="22"/>
          <w:lang w:val="en-US"/>
        </w:rPr>
        <w:t xml:space="preserve">® Vessels (Lonza) using the Lonza 4D-Nucleofector System with pulse code EO-115. Immediately after </w:t>
      </w:r>
      <w:r w:rsidRPr="004B3D8B">
        <w:rPr>
          <w:rFonts w:cs="Arial"/>
          <w:sz w:val="22"/>
          <w:lang w:val="en-US"/>
        </w:rPr>
        <w:lastRenderedPageBreak/>
        <w:t xml:space="preserve">electroporation, cells were transferred into 6-well plates containing 4 mL pre-warmed electroporation medium and incubated under standard culture conditions. After 2 hours, half of the medium was replaced with T-cell culture medium. One day after electroporation, T cells were activated using </w:t>
      </w:r>
      <w:r w:rsidR="001B5350">
        <w:rPr>
          <w:rFonts w:cs="Arial"/>
          <w:sz w:val="22"/>
          <w:lang w:val="en-US"/>
        </w:rPr>
        <w:t>anti-</w:t>
      </w:r>
      <w:r w:rsidRPr="004B3D8B">
        <w:rPr>
          <w:rFonts w:cs="Arial"/>
          <w:sz w:val="22"/>
          <w:lang w:val="en-US"/>
        </w:rPr>
        <w:t>CD3/CD2</w:t>
      </w:r>
      <w:r w:rsidR="001B5350">
        <w:rPr>
          <w:rFonts w:cs="Arial"/>
          <w:sz w:val="22"/>
          <w:lang w:val="en-US"/>
        </w:rPr>
        <w:t>8</w:t>
      </w:r>
      <w:r w:rsidRPr="004B3D8B">
        <w:rPr>
          <w:rFonts w:cs="Arial"/>
          <w:sz w:val="22"/>
          <w:lang w:val="en-US"/>
        </w:rPr>
        <w:t xml:space="preserve"> </w:t>
      </w:r>
      <w:proofErr w:type="spellStart"/>
      <w:proofErr w:type="gramStart"/>
      <w:r w:rsidRPr="004B3D8B">
        <w:rPr>
          <w:rFonts w:cs="Arial"/>
          <w:sz w:val="22"/>
          <w:lang w:val="en-US"/>
        </w:rPr>
        <w:t>Dynabeads</w:t>
      </w:r>
      <w:proofErr w:type="spellEnd"/>
      <w:r w:rsidRPr="004B3D8B">
        <w:rPr>
          <w:rFonts w:cs="Arial"/>
          <w:sz w:val="22"/>
          <w:lang w:val="en-US"/>
        </w:rPr>
        <w:t xml:space="preserve"> (#</w:t>
      </w:r>
      <w:proofErr w:type="gramEnd"/>
      <w:r w:rsidRPr="004B3D8B">
        <w:rPr>
          <w:rFonts w:cs="Arial"/>
          <w:sz w:val="22"/>
          <w:lang w:val="en-US"/>
        </w:rPr>
        <w:t xml:space="preserve">11131D, </w:t>
      </w:r>
      <w:proofErr w:type="spellStart"/>
      <w:r w:rsidRPr="004B3D8B">
        <w:rPr>
          <w:rFonts w:cs="Arial"/>
          <w:sz w:val="22"/>
          <w:lang w:val="en-US"/>
        </w:rPr>
        <w:t>Thermo</w:t>
      </w:r>
      <w:proofErr w:type="spellEnd"/>
      <w:r w:rsidRPr="004B3D8B">
        <w:rPr>
          <w:rFonts w:cs="Arial"/>
          <w:sz w:val="22"/>
          <w:lang w:val="en-US"/>
        </w:rPr>
        <w:t xml:space="preserve"> Fisher Scientific) at a </w:t>
      </w:r>
      <w:r w:rsidR="001B5350">
        <w:rPr>
          <w:rFonts w:cs="Arial"/>
          <w:sz w:val="22"/>
          <w:lang w:val="en-US"/>
        </w:rPr>
        <w:t xml:space="preserve">cell-to-bead </w:t>
      </w:r>
      <w:r w:rsidRPr="004B3D8B">
        <w:rPr>
          <w:rFonts w:cs="Arial"/>
          <w:sz w:val="22"/>
          <w:lang w:val="en-US"/>
        </w:rPr>
        <w:t>ratio of 1:1 and stimulated with 80 U/mL IL-2 (</w:t>
      </w:r>
      <w:proofErr w:type="spellStart"/>
      <w:r w:rsidRPr="004B3D8B">
        <w:rPr>
          <w:rFonts w:cs="Arial"/>
          <w:sz w:val="22"/>
          <w:lang w:val="en-US"/>
        </w:rPr>
        <w:t>Proleukin</w:t>
      </w:r>
      <w:proofErr w:type="spellEnd"/>
      <w:r w:rsidRPr="004B3D8B">
        <w:rPr>
          <w:rFonts w:cs="Arial"/>
          <w:sz w:val="22"/>
          <w:lang w:val="en-US"/>
        </w:rPr>
        <w:t xml:space="preserve">®, Novartis). Beads were removed by magnetic </w:t>
      </w:r>
      <w:r w:rsidR="00AA1CB5" w:rsidRPr="004B3D8B">
        <w:rPr>
          <w:rFonts w:cs="Arial"/>
          <w:sz w:val="22"/>
          <w:lang w:val="en-US"/>
        </w:rPr>
        <w:t>separat</w:t>
      </w:r>
      <w:r w:rsidR="00AA1CB5">
        <w:rPr>
          <w:rFonts w:cs="Arial"/>
          <w:sz w:val="22"/>
          <w:lang w:val="en-US"/>
        </w:rPr>
        <w:t>ion</w:t>
      </w:r>
      <w:r w:rsidR="00AA1CB5" w:rsidRPr="004B3D8B">
        <w:rPr>
          <w:rFonts w:cs="Arial"/>
          <w:sz w:val="22"/>
          <w:lang w:val="en-US"/>
        </w:rPr>
        <w:t xml:space="preserve"> </w:t>
      </w:r>
      <w:r w:rsidRPr="004B3D8B">
        <w:rPr>
          <w:rFonts w:cs="Arial"/>
          <w:sz w:val="22"/>
          <w:lang w:val="en-US"/>
        </w:rPr>
        <w:t>after 4 days. If necessary, CAR T cells were purified on day 6 and cultured until days 10-12. Fresh medium and IL-2 were added as required based on cell density. T cells were either cryopreserved or used immediately.</w:t>
      </w:r>
    </w:p>
    <w:p w14:paraId="11EED45D" w14:textId="77777777" w:rsidR="004B3D8B" w:rsidRPr="004B3D8B" w:rsidRDefault="004B3D8B" w:rsidP="004B3D8B">
      <w:pPr>
        <w:autoSpaceDE w:val="0"/>
        <w:autoSpaceDN w:val="0"/>
        <w:adjustRightInd w:val="0"/>
        <w:spacing w:line="480" w:lineRule="auto"/>
        <w:jc w:val="both"/>
        <w:rPr>
          <w:rFonts w:cs="Arial"/>
          <w:sz w:val="22"/>
          <w:lang w:val="en-US"/>
        </w:rPr>
      </w:pPr>
    </w:p>
    <w:p w14:paraId="04422246" w14:textId="77777777" w:rsidR="00507E71" w:rsidRPr="004B3D8B" w:rsidRDefault="00507E71" w:rsidP="004B3D8B">
      <w:pPr>
        <w:pStyle w:val="Head4"/>
        <w:spacing w:line="480" w:lineRule="auto"/>
        <w:rPr>
          <w:rFonts w:cs="Arial"/>
          <w:b w:val="0"/>
          <w:bCs w:val="0"/>
          <w:sz w:val="22"/>
        </w:rPr>
      </w:pPr>
      <w:bookmarkStart w:id="7" w:name="_Toc234394132"/>
      <w:r w:rsidRPr="004B3D8B">
        <w:rPr>
          <w:rFonts w:cs="Arial"/>
          <w:b w:val="0"/>
          <w:bCs w:val="0"/>
          <w:sz w:val="22"/>
        </w:rPr>
        <w:t>Purification of CAR T cells</w:t>
      </w:r>
      <w:bookmarkEnd w:id="7"/>
    </w:p>
    <w:p w14:paraId="782995EB" w14:textId="4A3F4121" w:rsidR="00507E71" w:rsidRDefault="00507E71" w:rsidP="004B3D8B">
      <w:pPr>
        <w:autoSpaceDE w:val="0"/>
        <w:autoSpaceDN w:val="0"/>
        <w:adjustRightInd w:val="0"/>
        <w:spacing w:line="480" w:lineRule="auto"/>
        <w:jc w:val="both"/>
        <w:rPr>
          <w:rFonts w:cs="Arial"/>
          <w:sz w:val="22"/>
          <w:lang w:val="en-US"/>
        </w:rPr>
      </w:pPr>
      <w:r w:rsidRPr="004B3D8B">
        <w:rPr>
          <w:rFonts w:cs="Arial"/>
          <w:sz w:val="22"/>
          <w:lang w:val="en-US"/>
        </w:rPr>
        <w:t xml:space="preserve">CAR T cells were purified between days 6 and 8 following electroporation. </w:t>
      </w:r>
      <w:r w:rsidRPr="004B3D8B">
        <w:rPr>
          <w:rFonts w:cs="Arial"/>
          <w:color w:val="000000"/>
          <w:sz w:val="22"/>
          <w:lang w:val="en-US"/>
          <w14:textFill>
            <w14:solidFill>
              <w14:srgbClr w14:val="000000">
                <w14:lumMod w14:val="75000"/>
              </w14:srgbClr>
            </w14:solidFill>
          </w14:textFill>
        </w:rPr>
        <w:t>To this end, c</w:t>
      </w:r>
      <w:r w:rsidRPr="004B3D8B">
        <w:rPr>
          <w:rFonts w:cs="Arial"/>
          <w:sz w:val="22"/>
          <w:lang w:val="en-US"/>
        </w:rPr>
        <w:t xml:space="preserve">ells were washed twice </w:t>
      </w:r>
      <w:r w:rsidRPr="004B3D8B">
        <w:rPr>
          <w:rFonts w:cs="Arial"/>
          <w:color w:val="000000"/>
          <w:sz w:val="22"/>
          <w:lang w:val="en-US"/>
          <w14:textFill>
            <w14:solidFill>
              <w14:srgbClr w14:val="000000">
                <w14:lumMod w14:val="75000"/>
              </w14:srgbClr>
            </w14:solidFill>
          </w14:textFill>
        </w:rPr>
        <w:t xml:space="preserve">with MACS buffer </w:t>
      </w:r>
      <w:r w:rsidRPr="004B3D8B">
        <w:rPr>
          <w:rFonts w:cs="Arial"/>
          <w:sz w:val="22"/>
          <w:lang w:val="en-US"/>
        </w:rPr>
        <w:t>(PBS</w:t>
      </w:r>
      <w:r w:rsidRPr="004B3D8B">
        <w:rPr>
          <w:rFonts w:cs="Arial"/>
          <w:color w:val="000000"/>
          <w:sz w:val="22"/>
          <w:lang w:val="en-US"/>
          <w14:textFill>
            <w14:solidFill>
              <w14:srgbClr w14:val="000000">
                <w14:lumMod w14:val="75000"/>
              </w14:srgbClr>
            </w14:solidFill>
          </w14:textFill>
        </w:rPr>
        <w:t xml:space="preserve"> (#10010023, Gibco)</w:t>
      </w:r>
      <w:r w:rsidRPr="004B3D8B">
        <w:rPr>
          <w:rFonts w:cs="Arial"/>
          <w:sz w:val="22"/>
          <w:lang w:val="en-US"/>
        </w:rPr>
        <w:t xml:space="preserve"> supplemented with 5 mM EDTA and 0.5% FBS) </w:t>
      </w:r>
      <w:r w:rsidRPr="004B3D8B">
        <w:rPr>
          <w:rFonts w:cs="Arial"/>
          <w:color w:val="000000"/>
          <w:sz w:val="22"/>
          <w:lang w:val="en-US"/>
          <w14:textFill>
            <w14:solidFill>
              <w14:srgbClr w14:val="000000">
                <w14:lumMod w14:val="75000"/>
              </w14:srgbClr>
            </w14:solidFill>
          </w14:textFill>
        </w:rPr>
        <w:t xml:space="preserve">and resuspended in 100 </w:t>
      </w:r>
      <w:r w:rsidRPr="004B3D8B">
        <w:rPr>
          <w:rFonts w:cs="Arial"/>
          <w:sz w:val="22"/>
        </w:rPr>
        <w:t>μ</w:t>
      </w:r>
      <w:r w:rsidRPr="004B3D8B">
        <w:rPr>
          <w:rFonts w:cs="Arial"/>
          <w:sz w:val="22"/>
          <w:lang w:val="en-US"/>
        </w:rPr>
        <w:t>L primary antibody solution per 1 x 10</w:t>
      </w:r>
      <w:r w:rsidRPr="004B3D8B">
        <w:rPr>
          <w:rFonts w:cs="Arial"/>
          <w:sz w:val="22"/>
          <w:vertAlign w:val="superscript"/>
          <w:lang w:val="en-US"/>
        </w:rPr>
        <w:t>7</w:t>
      </w:r>
      <w:r w:rsidRPr="004B3D8B">
        <w:rPr>
          <w:rFonts w:cs="Arial"/>
          <w:sz w:val="22"/>
          <w:lang w:val="en-US"/>
        </w:rPr>
        <w:t xml:space="preserve"> cells. Following incubation for 30 min at 4°C, cells were washed twice and resuspended in 90 </w:t>
      </w:r>
      <w:r w:rsidRPr="004B3D8B">
        <w:rPr>
          <w:rFonts w:cs="Arial"/>
          <w:sz w:val="22"/>
        </w:rPr>
        <w:t>μ</w:t>
      </w:r>
      <w:r w:rsidRPr="004B3D8B">
        <w:rPr>
          <w:rFonts w:cs="Arial"/>
          <w:sz w:val="22"/>
          <w:lang w:val="en-US"/>
        </w:rPr>
        <w:t xml:space="preserve">L MACS buffer + 10 </w:t>
      </w:r>
      <w:r w:rsidRPr="004B3D8B">
        <w:rPr>
          <w:rFonts w:cs="Arial"/>
          <w:sz w:val="22"/>
        </w:rPr>
        <w:t>μ</w:t>
      </w:r>
      <w:r w:rsidRPr="004B3D8B">
        <w:rPr>
          <w:rFonts w:cs="Arial"/>
          <w:sz w:val="22"/>
          <w:lang w:val="en-US"/>
        </w:rPr>
        <w:t xml:space="preserve">L magnetic </w:t>
      </w:r>
      <w:proofErr w:type="gramStart"/>
      <w:r w:rsidRPr="004B3D8B">
        <w:rPr>
          <w:rFonts w:cs="Arial"/>
          <w:sz w:val="22"/>
          <w:lang w:val="en-US"/>
        </w:rPr>
        <w:t>microbeads (#</w:t>
      </w:r>
      <w:proofErr w:type="gramEnd"/>
      <w:r w:rsidRPr="004B3D8B">
        <w:rPr>
          <w:rFonts w:cs="Arial"/>
          <w:sz w:val="22"/>
          <w:lang w:val="en-US"/>
        </w:rPr>
        <w:t xml:space="preserve">130-046-702 or #130-090-485, </w:t>
      </w:r>
      <w:proofErr w:type="spellStart"/>
      <w:r w:rsidRPr="004B3D8B">
        <w:rPr>
          <w:rFonts w:cs="Arial"/>
          <w:sz w:val="22"/>
          <w:lang w:val="en-US"/>
        </w:rPr>
        <w:t>Miltenyi</w:t>
      </w:r>
      <w:proofErr w:type="spellEnd"/>
      <w:r w:rsidRPr="004B3D8B">
        <w:rPr>
          <w:rFonts w:cs="Arial"/>
          <w:sz w:val="22"/>
          <w:lang w:val="en-US"/>
        </w:rPr>
        <w:t xml:space="preserve"> Biotec) per 1 x 10</w:t>
      </w:r>
      <w:r w:rsidRPr="004B3D8B">
        <w:rPr>
          <w:rFonts w:cs="Arial"/>
          <w:sz w:val="22"/>
          <w:vertAlign w:val="superscript"/>
          <w:lang w:val="en-US"/>
        </w:rPr>
        <w:t>7</w:t>
      </w:r>
      <w:r w:rsidRPr="004B3D8B">
        <w:rPr>
          <w:rFonts w:cs="Arial"/>
          <w:sz w:val="22"/>
          <w:lang w:val="en-US"/>
        </w:rPr>
        <w:t xml:space="preserve"> cells. After an additional 30 min incubation at 4°C and a subsequent washing step, cells were purified using LS bead columns (130-042-401, </w:t>
      </w:r>
      <w:proofErr w:type="spellStart"/>
      <w:r w:rsidRPr="004B3D8B">
        <w:rPr>
          <w:rFonts w:cs="Arial"/>
          <w:sz w:val="22"/>
          <w:lang w:val="en-US"/>
        </w:rPr>
        <w:t>Miltenyi</w:t>
      </w:r>
      <w:proofErr w:type="spellEnd"/>
      <w:r w:rsidRPr="004B3D8B">
        <w:rPr>
          <w:rFonts w:cs="Arial"/>
          <w:sz w:val="22"/>
          <w:lang w:val="en-US"/>
        </w:rPr>
        <w:t xml:space="preserve"> Biotec</w:t>
      </w:r>
      <w:r w:rsidR="003D6337" w:rsidRPr="004B3D8B">
        <w:rPr>
          <w:rFonts w:cs="Arial"/>
          <w:sz w:val="22"/>
          <w:lang w:val="en-US"/>
        </w:rPr>
        <w:t xml:space="preserve">, </w:t>
      </w:r>
      <w:proofErr w:type="spellStart"/>
      <w:r w:rsidR="003D6337" w:rsidRPr="004B3D8B">
        <w:rPr>
          <w:rFonts w:cs="Arial"/>
          <w:sz w:val="22"/>
          <w:lang w:val="en-US"/>
        </w:rPr>
        <w:t>Bergisch</w:t>
      </w:r>
      <w:proofErr w:type="spellEnd"/>
      <w:r w:rsidR="003D6337" w:rsidRPr="004B3D8B">
        <w:rPr>
          <w:rFonts w:cs="Arial"/>
          <w:sz w:val="22"/>
          <w:lang w:val="en-US"/>
        </w:rPr>
        <w:t xml:space="preserve"> Gladbach, Germany</w:t>
      </w:r>
      <w:r w:rsidRPr="004B3D8B">
        <w:rPr>
          <w:rFonts w:cs="Arial"/>
          <w:sz w:val="22"/>
          <w:lang w:val="en-US"/>
        </w:rPr>
        <w:t>) mounted on magnetic separators. Purified CAR T cells were counted, centrifuged (400 x g, 5 min) and suspended in fresh T-cell culture medium supplemented with 80 U/mL IL-2 (</w:t>
      </w:r>
      <w:proofErr w:type="spellStart"/>
      <w:r w:rsidRPr="004B3D8B">
        <w:rPr>
          <w:rFonts w:cs="Arial"/>
          <w:sz w:val="22"/>
          <w:lang w:val="en-US"/>
        </w:rPr>
        <w:t>Proleukin</w:t>
      </w:r>
      <w:proofErr w:type="spellEnd"/>
      <w:r w:rsidRPr="004B3D8B">
        <w:rPr>
          <w:rFonts w:cs="Arial"/>
          <w:sz w:val="22"/>
          <w:lang w:val="en-US"/>
        </w:rPr>
        <w:t>®, Novartis) at a density of 0.75-1.25 x 10</w:t>
      </w:r>
      <w:r w:rsidRPr="004B3D8B">
        <w:rPr>
          <w:rFonts w:cs="Arial"/>
          <w:sz w:val="22"/>
          <w:vertAlign w:val="superscript"/>
          <w:lang w:val="en-US"/>
        </w:rPr>
        <w:t>6</w:t>
      </w:r>
      <w:r w:rsidRPr="004B3D8B">
        <w:rPr>
          <w:rFonts w:cs="Arial"/>
          <w:sz w:val="22"/>
          <w:lang w:val="en-US"/>
        </w:rPr>
        <w:t xml:space="preserve"> cells/</w:t>
      </w:r>
      <w:proofErr w:type="spellStart"/>
      <w:r w:rsidRPr="004B3D8B">
        <w:rPr>
          <w:rFonts w:cs="Arial"/>
          <w:sz w:val="22"/>
          <w:lang w:val="en-US"/>
        </w:rPr>
        <w:t>mL.</w:t>
      </w:r>
      <w:proofErr w:type="spellEnd"/>
    </w:p>
    <w:p w14:paraId="7512F6B8" w14:textId="2E9DA3E9" w:rsidR="004B3D8B" w:rsidRDefault="00CF2A16" w:rsidP="005B4DB4">
      <w:pPr>
        <w:pStyle w:val="Head3"/>
        <w:spacing w:line="480" w:lineRule="auto"/>
        <w:rPr>
          <w:b w:val="0"/>
          <w:bCs w:val="0"/>
        </w:rPr>
      </w:pPr>
      <w:r w:rsidRPr="005B4DB4">
        <w:rPr>
          <w:b w:val="0"/>
          <w:bCs w:val="0"/>
        </w:rPr>
        <w:t>Cell lines</w:t>
      </w:r>
    </w:p>
    <w:p w14:paraId="1DDB6DBF" w14:textId="51BB504B" w:rsidR="00CF2A16" w:rsidRPr="005B4DB4" w:rsidRDefault="00CF2A16" w:rsidP="005B4DB4">
      <w:pPr>
        <w:pStyle w:val="Head3"/>
        <w:spacing w:line="480" w:lineRule="auto"/>
        <w:jc w:val="both"/>
        <w:rPr>
          <w:rFonts w:cs="Arial"/>
          <w:b w:val="0"/>
          <w:bCs w:val="0"/>
          <w:i w:val="0"/>
          <w:iCs w:val="0"/>
          <w:szCs w:val="22"/>
        </w:rPr>
      </w:pPr>
      <w:r w:rsidRPr="005B4DB4">
        <w:rPr>
          <w:rFonts w:cs="Arial"/>
          <w:b w:val="0"/>
          <w:bCs w:val="0"/>
          <w:i w:val="0"/>
          <w:iCs w:val="0"/>
          <w:szCs w:val="22"/>
        </w:rPr>
        <w:t xml:space="preserve">THP-1 and MOLM-14 were tested negative for mycoplasma and authenticated recently (June 2026). The human cell line authentication service of </w:t>
      </w:r>
      <w:proofErr w:type="spellStart"/>
      <w:r w:rsidRPr="005B4DB4">
        <w:rPr>
          <w:rFonts w:cs="Arial"/>
          <w:b w:val="0"/>
          <w:bCs w:val="0"/>
          <w:i w:val="0"/>
          <w:iCs w:val="0"/>
          <w:szCs w:val="22"/>
        </w:rPr>
        <w:t>Microsynth</w:t>
      </w:r>
      <w:proofErr w:type="spellEnd"/>
      <w:r w:rsidRPr="005B4DB4">
        <w:rPr>
          <w:rFonts w:cs="Arial"/>
          <w:b w:val="0"/>
          <w:bCs w:val="0"/>
          <w:i w:val="0"/>
          <w:iCs w:val="0"/>
          <w:szCs w:val="22"/>
        </w:rPr>
        <w:t xml:space="preserve"> was used. In short, profiling of the human cell lines was done using highly polymorphic short tandem repeat loci (STRs). STR loci were amplified using the </w:t>
      </w:r>
      <w:proofErr w:type="spellStart"/>
      <w:r w:rsidRPr="005B4DB4">
        <w:rPr>
          <w:rFonts w:cs="Arial"/>
          <w:b w:val="0"/>
          <w:bCs w:val="0"/>
          <w:i w:val="0"/>
          <w:iCs w:val="0"/>
          <w:szCs w:val="22"/>
        </w:rPr>
        <w:t>PowerPlex</w:t>
      </w:r>
      <w:proofErr w:type="spellEnd"/>
      <w:r w:rsidRPr="005B4DB4">
        <w:rPr>
          <w:rFonts w:cs="Arial"/>
          <w:b w:val="0"/>
          <w:bCs w:val="0"/>
          <w:i w:val="0"/>
          <w:iCs w:val="0"/>
          <w:szCs w:val="22"/>
        </w:rPr>
        <w:t>® 16 HS System (Promega). Fragment analysis was done on an ABI3730xl (Life Technologies</w:t>
      </w:r>
      <w:proofErr w:type="gramStart"/>
      <w:r w:rsidRPr="005B4DB4">
        <w:rPr>
          <w:rFonts w:cs="Arial"/>
          <w:b w:val="0"/>
          <w:bCs w:val="0"/>
          <w:i w:val="0"/>
          <w:iCs w:val="0"/>
          <w:szCs w:val="22"/>
        </w:rPr>
        <w:t>)</w:t>
      </w:r>
      <w:proofErr w:type="gramEnd"/>
      <w:r w:rsidRPr="005B4DB4">
        <w:rPr>
          <w:rFonts w:cs="Arial"/>
          <w:b w:val="0"/>
          <w:bCs w:val="0"/>
          <w:i w:val="0"/>
          <w:iCs w:val="0"/>
          <w:szCs w:val="22"/>
        </w:rPr>
        <w:t xml:space="preserve"> and the resulting data were analyzed with </w:t>
      </w:r>
      <w:proofErr w:type="spellStart"/>
      <w:r w:rsidRPr="005B4DB4">
        <w:rPr>
          <w:rFonts w:cs="Arial"/>
          <w:b w:val="0"/>
          <w:bCs w:val="0"/>
          <w:i w:val="0"/>
          <w:iCs w:val="0"/>
          <w:szCs w:val="22"/>
        </w:rPr>
        <w:lastRenderedPageBreak/>
        <w:t>GeneMarker</w:t>
      </w:r>
      <w:proofErr w:type="spellEnd"/>
      <w:r w:rsidRPr="005B4DB4">
        <w:rPr>
          <w:rFonts w:cs="Arial"/>
          <w:b w:val="0"/>
          <w:bCs w:val="0"/>
          <w:i w:val="0"/>
          <w:iCs w:val="0"/>
          <w:szCs w:val="22"/>
        </w:rPr>
        <w:t xml:space="preserve"> HID software (</w:t>
      </w:r>
      <w:proofErr w:type="spellStart"/>
      <w:r w:rsidRPr="005B4DB4">
        <w:rPr>
          <w:rFonts w:cs="Arial"/>
          <w:b w:val="0"/>
          <w:bCs w:val="0"/>
          <w:i w:val="0"/>
          <w:iCs w:val="0"/>
          <w:szCs w:val="22"/>
        </w:rPr>
        <w:t>Softgenetics</w:t>
      </w:r>
      <w:proofErr w:type="spellEnd"/>
      <w:r w:rsidRPr="005B4DB4">
        <w:rPr>
          <w:rFonts w:cs="Arial"/>
          <w:b w:val="0"/>
          <w:bCs w:val="0"/>
          <w:i w:val="0"/>
          <w:iCs w:val="0"/>
          <w:szCs w:val="22"/>
        </w:rPr>
        <w:t>). There was no detectable contamination with human origin</w:t>
      </w:r>
      <w:r w:rsidR="00EC181B" w:rsidRPr="005B4DB4">
        <w:rPr>
          <w:rFonts w:cs="Arial"/>
          <w:b w:val="0"/>
          <w:bCs w:val="0"/>
          <w:i w:val="0"/>
          <w:iCs w:val="0"/>
          <w:szCs w:val="22"/>
        </w:rPr>
        <w:t xml:space="preserve"> and the data of the submitted samples matched 100% to the reference STR profiles of THP-1 (</w:t>
      </w:r>
      <w:proofErr w:type="spellStart"/>
      <w:r w:rsidR="00EC181B" w:rsidRPr="005B4DB4">
        <w:rPr>
          <w:rFonts w:cs="Arial"/>
          <w:b w:val="0"/>
          <w:bCs w:val="0"/>
          <w:i w:val="0"/>
          <w:iCs w:val="0"/>
          <w:szCs w:val="22"/>
        </w:rPr>
        <w:t>Cellosaurus</w:t>
      </w:r>
      <w:proofErr w:type="spellEnd"/>
      <w:r w:rsidR="00EC181B" w:rsidRPr="005B4DB4">
        <w:rPr>
          <w:rFonts w:cs="Arial"/>
          <w:b w:val="0"/>
          <w:bCs w:val="0"/>
          <w:i w:val="0"/>
          <w:iCs w:val="0"/>
          <w:szCs w:val="22"/>
        </w:rPr>
        <w:t xml:space="preserve">, </w:t>
      </w:r>
      <w:proofErr w:type="gramStart"/>
      <w:r w:rsidR="00EC181B" w:rsidRPr="005B4DB4">
        <w:rPr>
          <w:rFonts w:cs="Arial"/>
          <w:b w:val="0"/>
          <w:bCs w:val="0"/>
          <w:i w:val="0"/>
          <w:iCs w:val="0"/>
          <w:szCs w:val="22"/>
        </w:rPr>
        <w:t>RRID:CVCL</w:t>
      </w:r>
      <w:proofErr w:type="gramEnd"/>
      <w:r w:rsidR="00EC181B" w:rsidRPr="005B4DB4">
        <w:rPr>
          <w:rFonts w:cs="Arial"/>
          <w:b w:val="0"/>
          <w:bCs w:val="0"/>
          <w:i w:val="0"/>
          <w:iCs w:val="0"/>
          <w:szCs w:val="22"/>
        </w:rPr>
        <w:t>_0006_[DSMZ]) and MOLM-14 (</w:t>
      </w:r>
      <w:proofErr w:type="spellStart"/>
      <w:r w:rsidR="00EC181B" w:rsidRPr="005B4DB4">
        <w:rPr>
          <w:rFonts w:cs="Arial"/>
          <w:b w:val="0"/>
          <w:bCs w:val="0"/>
          <w:i w:val="0"/>
          <w:iCs w:val="0"/>
          <w:szCs w:val="22"/>
        </w:rPr>
        <w:t>Cellosaurus</w:t>
      </w:r>
      <w:proofErr w:type="spellEnd"/>
      <w:r w:rsidR="00EC181B" w:rsidRPr="005B4DB4">
        <w:rPr>
          <w:rFonts w:cs="Arial"/>
          <w:b w:val="0"/>
          <w:bCs w:val="0"/>
          <w:i w:val="0"/>
          <w:iCs w:val="0"/>
          <w:szCs w:val="22"/>
        </w:rPr>
        <w:t xml:space="preserve">, </w:t>
      </w:r>
      <w:proofErr w:type="gramStart"/>
      <w:r w:rsidR="00EC181B" w:rsidRPr="005B4DB4">
        <w:rPr>
          <w:rFonts w:cs="Arial"/>
          <w:b w:val="0"/>
          <w:bCs w:val="0"/>
          <w:i w:val="0"/>
          <w:iCs w:val="0"/>
          <w:szCs w:val="22"/>
        </w:rPr>
        <w:t>RRID:CVCL</w:t>
      </w:r>
      <w:proofErr w:type="gramEnd"/>
      <w:r w:rsidR="00EC181B" w:rsidRPr="005B4DB4">
        <w:rPr>
          <w:rFonts w:cs="Arial"/>
          <w:b w:val="0"/>
          <w:bCs w:val="0"/>
          <w:i w:val="0"/>
          <w:iCs w:val="0"/>
          <w:szCs w:val="22"/>
        </w:rPr>
        <w:t>_7916).</w:t>
      </w:r>
    </w:p>
    <w:p w14:paraId="23531295" w14:textId="77777777" w:rsidR="00CF2A16" w:rsidRPr="00B37EEC" w:rsidRDefault="00CF2A16" w:rsidP="005B4DB4">
      <w:pPr>
        <w:pStyle w:val="Head3"/>
        <w:spacing w:line="480" w:lineRule="auto"/>
        <w:rPr>
          <w:rFonts w:cs="Arial"/>
        </w:rPr>
      </w:pPr>
    </w:p>
    <w:p w14:paraId="6E6944F1" w14:textId="77777777" w:rsidR="00507E71" w:rsidRPr="004B3D8B" w:rsidRDefault="00507E71" w:rsidP="004B3D8B">
      <w:pPr>
        <w:pStyle w:val="Head3"/>
        <w:spacing w:line="480" w:lineRule="auto"/>
        <w:rPr>
          <w:rFonts w:cs="Arial"/>
          <w:b w:val="0"/>
          <w:bCs w:val="0"/>
          <w:szCs w:val="22"/>
        </w:rPr>
      </w:pPr>
      <w:bookmarkStart w:id="8" w:name="_Toc234394133"/>
      <w:r w:rsidRPr="004B3D8B">
        <w:rPr>
          <w:rFonts w:cs="Arial"/>
          <w:b w:val="0"/>
          <w:bCs w:val="0"/>
          <w:szCs w:val="22"/>
        </w:rPr>
        <w:t>Cell culture</w:t>
      </w:r>
      <w:bookmarkEnd w:id="8"/>
    </w:p>
    <w:p w14:paraId="658F1FE2" w14:textId="014750FD" w:rsidR="00507E71" w:rsidRPr="004B3D8B" w:rsidRDefault="00507E71" w:rsidP="004B3D8B">
      <w:pPr>
        <w:spacing w:line="480" w:lineRule="auto"/>
        <w:jc w:val="both"/>
        <w:rPr>
          <w:rFonts w:cs="Arial"/>
          <w:sz w:val="22"/>
          <w:lang w:val="en-US"/>
        </w:rPr>
      </w:pPr>
      <w:r w:rsidRPr="004B3D8B">
        <w:rPr>
          <w:rFonts w:cs="Arial"/>
          <w:sz w:val="22"/>
          <w:lang w:val="en-US"/>
        </w:rPr>
        <w:t xml:space="preserve">Cryovials were thawed in a pre-warmed water bath at 37°C, and the contents were transferred to 15 mL tubes. Pre-warmed thawing medium (culture medium supplemented with an additional 10% FBS) was added dropwise while gently agitating the tube to dilute the freezing medium, followed by centrifugation (400 x g, 5 min) and re-suspension of cells in thawing medium at the desired concentration. For cryopreservation, cells were centrifuged (400 x g, 5 min) and resuspended in cold, pure FBS at the desired concentration. Subsequently, 500 </w:t>
      </w:r>
      <w:r w:rsidRPr="004B3D8B">
        <w:rPr>
          <w:rFonts w:cs="Arial"/>
          <w:sz w:val="22"/>
        </w:rPr>
        <w:t>μ</w:t>
      </w:r>
      <w:r w:rsidRPr="004B3D8B">
        <w:rPr>
          <w:rFonts w:cs="Arial"/>
          <w:sz w:val="22"/>
          <w:lang w:val="en-US"/>
        </w:rPr>
        <w:t>L of the cell suspension w</w:t>
      </w:r>
      <w:r w:rsidR="001B5350">
        <w:rPr>
          <w:rFonts w:cs="Arial"/>
          <w:sz w:val="22"/>
          <w:lang w:val="en-US"/>
        </w:rPr>
        <w:t>as</w:t>
      </w:r>
      <w:r w:rsidRPr="004B3D8B">
        <w:rPr>
          <w:rFonts w:cs="Arial"/>
          <w:sz w:val="22"/>
          <w:lang w:val="en-US"/>
        </w:rPr>
        <w:t xml:space="preserve"> transferred to a cryopreservation vial, followed by addition of 500 </w:t>
      </w:r>
      <w:r w:rsidRPr="004B3D8B">
        <w:rPr>
          <w:rFonts w:cs="Arial"/>
          <w:sz w:val="22"/>
        </w:rPr>
        <w:t>μ</w:t>
      </w:r>
      <w:r w:rsidRPr="004B3D8B">
        <w:rPr>
          <w:rFonts w:cs="Arial"/>
          <w:sz w:val="22"/>
          <w:lang w:val="en-US"/>
        </w:rPr>
        <w:t xml:space="preserve">L cold freezing medium (FBS + 20% Dimethyl sulfoxide). Cryo-vials were placed in </w:t>
      </w:r>
      <w:proofErr w:type="gramStart"/>
      <w:r w:rsidRPr="004B3D8B">
        <w:rPr>
          <w:rFonts w:cs="Arial"/>
          <w:sz w:val="22"/>
          <w:lang w:val="en-US"/>
        </w:rPr>
        <w:t>freezing-containers</w:t>
      </w:r>
      <w:proofErr w:type="gramEnd"/>
      <w:r w:rsidRPr="004B3D8B">
        <w:rPr>
          <w:rFonts w:cs="Arial"/>
          <w:sz w:val="22"/>
          <w:lang w:val="en-US"/>
        </w:rPr>
        <w:t xml:space="preserve"> with a cooling rate of 1°C/min and stored at -80°C for at least 24 hours before transferring them to the vapor phase of liquid nitrogen for long-term storage.</w:t>
      </w:r>
    </w:p>
    <w:p w14:paraId="73CF1320" w14:textId="77777777" w:rsidR="00507E71" w:rsidRPr="004B3D8B" w:rsidRDefault="00507E71" w:rsidP="004B3D8B">
      <w:pPr>
        <w:spacing w:line="480" w:lineRule="auto"/>
        <w:jc w:val="both"/>
        <w:rPr>
          <w:rFonts w:cs="Arial"/>
          <w:sz w:val="22"/>
          <w:lang w:val="en-US"/>
        </w:rPr>
      </w:pPr>
      <w:r w:rsidRPr="004B3D8B">
        <w:rPr>
          <w:rFonts w:cs="Arial"/>
          <w:sz w:val="22"/>
          <w:lang w:val="en-US"/>
        </w:rPr>
        <w:t xml:space="preserve">CAR T cells were cultured in T-cell culture medium (Advanced RPMI </w:t>
      </w:r>
      <w:proofErr w:type="gramStart"/>
      <w:r w:rsidRPr="004B3D8B">
        <w:rPr>
          <w:rFonts w:cs="Arial"/>
          <w:sz w:val="22"/>
          <w:lang w:val="en-US"/>
        </w:rPr>
        <w:t>1640 (#</w:t>
      </w:r>
      <w:proofErr w:type="gramEnd"/>
      <w:r w:rsidRPr="004B3D8B">
        <w:rPr>
          <w:rFonts w:cs="Arial"/>
          <w:sz w:val="22"/>
          <w:lang w:val="en-US"/>
        </w:rPr>
        <w:t xml:space="preserve">12633012, Gibco) supplemented with FBS (10%), </w:t>
      </w:r>
      <w:proofErr w:type="spellStart"/>
      <w:r w:rsidRPr="004B3D8B">
        <w:rPr>
          <w:rFonts w:cs="Arial"/>
          <w:sz w:val="22"/>
          <w:lang w:val="en-US"/>
        </w:rPr>
        <w:t>Glutamax</w:t>
      </w:r>
      <w:proofErr w:type="spellEnd"/>
      <w:r w:rsidRPr="004B3D8B">
        <w:rPr>
          <w:rFonts w:cs="Arial"/>
          <w:sz w:val="22"/>
          <w:lang w:val="en-US"/>
        </w:rPr>
        <w:t xml:space="preserve"> (2</w:t>
      </w:r>
      <w:proofErr w:type="gramStart"/>
      <w:r w:rsidRPr="004B3D8B">
        <w:rPr>
          <w:rFonts w:cs="Arial"/>
          <w:sz w:val="22"/>
          <w:lang w:val="en-US"/>
        </w:rPr>
        <w:t>mM, #</w:t>
      </w:r>
      <w:proofErr w:type="gramEnd"/>
      <w:r w:rsidRPr="004B3D8B">
        <w:rPr>
          <w:rFonts w:cs="Arial"/>
          <w:sz w:val="22"/>
          <w:lang w:val="en-US"/>
        </w:rPr>
        <w:t xml:space="preserve">35050061, Gibco), and Penicillin/Streptomycin (100 U/mL / 100 </w:t>
      </w:r>
      <w:r w:rsidRPr="004B3D8B">
        <w:rPr>
          <w:rFonts w:cs="Arial"/>
          <w:sz w:val="22"/>
        </w:rPr>
        <w:t>μ</w:t>
      </w:r>
      <w:r w:rsidRPr="004B3D8B">
        <w:rPr>
          <w:rFonts w:cs="Arial"/>
          <w:sz w:val="22"/>
          <w:lang w:val="en-US"/>
        </w:rPr>
        <w:t xml:space="preserve">g/mL)). Cell lines were cultured in cell line culture medium (RPMI </w:t>
      </w:r>
      <w:proofErr w:type="gramStart"/>
      <w:r w:rsidRPr="004B3D8B">
        <w:rPr>
          <w:rFonts w:cs="Arial"/>
          <w:sz w:val="22"/>
          <w:lang w:val="en-US"/>
        </w:rPr>
        <w:t>1640 (#</w:t>
      </w:r>
      <w:proofErr w:type="gramEnd"/>
      <w:r w:rsidRPr="004B3D8B">
        <w:rPr>
          <w:rFonts w:cs="Arial"/>
          <w:sz w:val="22"/>
          <w:lang w:val="en-US"/>
        </w:rPr>
        <w:t xml:space="preserve">11875085, Gibco) supplemented with FBS (10%) and Penicillin/Streptomycin (100 U/mL / 100 </w:t>
      </w:r>
      <w:r w:rsidRPr="004B3D8B">
        <w:rPr>
          <w:rFonts w:cs="Arial"/>
          <w:sz w:val="22"/>
        </w:rPr>
        <w:t>μ</w:t>
      </w:r>
      <w:r w:rsidRPr="004B3D8B">
        <w:rPr>
          <w:rFonts w:cs="Arial"/>
          <w:sz w:val="22"/>
          <w:lang w:val="en-US"/>
        </w:rPr>
        <w:t>g/mL)). Cultures were maintained at 37°C in a humidified atmosphere containing 5% CO2 and passages regularly upon reaching appropriate cell density or when medium acidification became evident.</w:t>
      </w:r>
    </w:p>
    <w:p w14:paraId="6A1D972D" w14:textId="1D1257C6" w:rsidR="00507E71" w:rsidRDefault="00507E71" w:rsidP="004B3D8B">
      <w:pPr>
        <w:spacing w:line="480" w:lineRule="auto"/>
        <w:jc w:val="both"/>
        <w:rPr>
          <w:rFonts w:cs="Arial"/>
          <w:sz w:val="22"/>
          <w:lang w:val="en-US"/>
        </w:rPr>
      </w:pPr>
      <w:r w:rsidRPr="004B3D8B">
        <w:rPr>
          <w:rFonts w:cs="Arial"/>
          <w:sz w:val="22"/>
          <w:lang w:val="en-US"/>
        </w:rPr>
        <w:t>T cells used for CAR T-cell production were isolated from healthy donor blood obtained from the Zurich Blood Collection Service (</w:t>
      </w:r>
      <w:proofErr w:type="spellStart"/>
      <w:r w:rsidRPr="004B3D8B">
        <w:rPr>
          <w:rFonts w:cs="Arial"/>
          <w:sz w:val="22"/>
          <w:lang w:val="en-US"/>
        </w:rPr>
        <w:t>Blutspende</w:t>
      </w:r>
      <w:proofErr w:type="spellEnd"/>
      <w:r w:rsidRPr="004B3D8B">
        <w:rPr>
          <w:rFonts w:cs="Arial"/>
          <w:sz w:val="22"/>
          <w:lang w:val="en-US"/>
        </w:rPr>
        <w:t xml:space="preserve"> Zurich, Switzerland). Cell lines were purchased from the American Type Culture Collection (ATCC). THP1 and MOLM14 cell lines </w:t>
      </w:r>
      <w:r w:rsidRPr="004B3D8B">
        <w:rPr>
          <w:rFonts w:cs="Arial"/>
          <w:sz w:val="22"/>
          <w:lang w:val="en-US"/>
        </w:rPr>
        <w:lastRenderedPageBreak/>
        <w:t xml:space="preserve">were further modified to generate LILRB2 KO and overexpressing variants as described below. </w:t>
      </w:r>
    </w:p>
    <w:p w14:paraId="441AC644" w14:textId="77777777" w:rsidR="004B3D8B" w:rsidRPr="004B3D8B" w:rsidRDefault="004B3D8B" w:rsidP="004B3D8B">
      <w:pPr>
        <w:spacing w:line="480" w:lineRule="auto"/>
        <w:jc w:val="both"/>
        <w:rPr>
          <w:rFonts w:cs="Arial"/>
          <w:sz w:val="22"/>
          <w:lang w:val="en-US"/>
        </w:rPr>
      </w:pPr>
    </w:p>
    <w:p w14:paraId="0C3D9090" w14:textId="77777777" w:rsidR="00507E71" w:rsidRPr="004B3D8B" w:rsidRDefault="00507E71" w:rsidP="004B3D8B">
      <w:pPr>
        <w:pStyle w:val="Head4"/>
        <w:spacing w:line="480" w:lineRule="auto"/>
        <w:rPr>
          <w:rFonts w:cs="Arial"/>
          <w:b w:val="0"/>
          <w:bCs w:val="0"/>
          <w:sz w:val="22"/>
        </w:rPr>
      </w:pPr>
      <w:bookmarkStart w:id="9" w:name="_Toc234394136"/>
      <w:r w:rsidRPr="004B3D8B">
        <w:rPr>
          <w:rFonts w:cs="Arial"/>
          <w:b w:val="0"/>
          <w:bCs w:val="0"/>
          <w:sz w:val="22"/>
        </w:rPr>
        <w:t>Generation of LILRB2 KO and Overexpressing Cell Lines</w:t>
      </w:r>
      <w:bookmarkEnd w:id="9"/>
    </w:p>
    <w:p w14:paraId="30DF976A" w14:textId="13DF9723" w:rsidR="00507E71" w:rsidRPr="004B3D8B" w:rsidRDefault="00507E71" w:rsidP="004B3D8B">
      <w:pPr>
        <w:autoSpaceDE w:val="0"/>
        <w:autoSpaceDN w:val="0"/>
        <w:adjustRightInd w:val="0"/>
        <w:spacing w:line="480" w:lineRule="auto"/>
        <w:jc w:val="both"/>
        <w:rPr>
          <w:rFonts w:cs="Arial"/>
          <w:sz w:val="22"/>
          <w:lang w:val="en-US"/>
        </w:rPr>
      </w:pPr>
      <w:r w:rsidRPr="004B3D8B">
        <w:rPr>
          <w:rFonts w:cs="Arial"/>
          <w:sz w:val="22"/>
          <w:lang w:val="en-US"/>
        </w:rPr>
        <w:t xml:space="preserve">LILRB2 knockout cell lines were generated using the </w:t>
      </w:r>
      <w:proofErr w:type="spellStart"/>
      <w:r w:rsidRPr="004B3D8B">
        <w:rPr>
          <w:rFonts w:cs="Arial"/>
          <w:sz w:val="22"/>
          <w:lang w:val="en-US"/>
        </w:rPr>
        <w:t>Synthego</w:t>
      </w:r>
      <w:proofErr w:type="spellEnd"/>
      <w:r w:rsidRPr="004B3D8B">
        <w:rPr>
          <w:rFonts w:cs="Arial"/>
          <w:sz w:val="22"/>
          <w:lang w:val="en-US"/>
        </w:rPr>
        <w:t xml:space="preserve"> CRISPR gene knockout kit V2 (</w:t>
      </w:r>
      <w:proofErr w:type="spellStart"/>
      <w:r w:rsidRPr="004B3D8B">
        <w:rPr>
          <w:rFonts w:cs="Arial"/>
          <w:sz w:val="22"/>
          <w:lang w:val="en-US"/>
        </w:rPr>
        <w:t>Synthego</w:t>
      </w:r>
      <w:proofErr w:type="spellEnd"/>
      <w:r w:rsidRPr="004B3D8B">
        <w:rPr>
          <w:rFonts w:cs="Arial"/>
          <w:sz w:val="22"/>
          <w:lang w:val="en-US"/>
        </w:rPr>
        <w:t xml:space="preserve"> Corporation, </w:t>
      </w:r>
      <w:r w:rsidR="003D6337" w:rsidRPr="004B3D8B">
        <w:rPr>
          <w:rFonts w:cs="Arial"/>
          <w:sz w:val="22"/>
          <w:lang w:val="en-US"/>
        </w:rPr>
        <w:t xml:space="preserve">Redwood City, CA, </w:t>
      </w:r>
      <w:r w:rsidRPr="004B3D8B">
        <w:rPr>
          <w:rFonts w:cs="Arial"/>
          <w:sz w:val="22"/>
          <w:lang w:val="en-US"/>
        </w:rPr>
        <w:t>USA) in combination with the SF Cell Line 4D-Nucleofector X Kit S (V4XC-2032, Lonza) according to the manufacturer</w:t>
      </w:r>
      <w:r w:rsidR="001B5350">
        <w:rPr>
          <w:rFonts w:cs="Arial"/>
          <w:sz w:val="22"/>
          <w:lang w:val="en-US"/>
        </w:rPr>
        <w:t>’</w:t>
      </w:r>
      <w:r w:rsidRPr="004B3D8B">
        <w:rPr>
          <w:rFonts w:cs="Arial"/>
          <w:sz w:val="22"/>
          <w:lang w:val="en-US"/>
        </w:rPr>
        <w:t>s protocol. Four days after electroporation, single</w:t>
      </w:r>
      <w:r w:rsidR="001B5350">
        <w:rPr>
          <w:rFonts w:cs="Arial"/>
          <w:sz w:val="22"/>
          <w:lang w:val="en-US"/>
        </w:rPr>
        <w:t>-</w:t>
      </w:r>
      <w:r w:rsidRPr="004B3D8B">
        <w:rPr>
          <w:rFonts w:cs="Arial"/>
          <w:sz w:val="22"/>
          <w:lang w:val="en-US"/>
        </w:rPr>
        <w:t xml:space="preserve">cell clones were expanded by limiting dilution. In detail, cells were diluted to a concentration of 6-12 cells/mL, and 100 </w:t>
      </w:r>
      <w:r w:rsidRPr="004B3D8B">
        <w:rPr>
          <w:rFonts w:cs="Arial"/>
          <w:sz w:val="22"/>
        </w:rPr>
        <w:t>μ</w:t>
      </w:r>
      <w:r w:rsidRPr="004B3D8B">
        <w:rPr>
          <w:rFonts w:cs="Arial"/>
          <w:sz w:val="22"/>
          <w:lang w:val="en-US"/>
        </w:rPr>
        <w:t xml:space="preserve">L cell suspension </w:t>
      </w:r>
      <w:r w:rsidR="001B5350" w:rsidRPr="004B3D8B">
        <w:rPr>
          <w:rFonts w:cs="Arial"/>
          <w:sz w:val="22"/>
          <w:lang w:val="en-US"/>
        </w:rPr>
        <w:t>w</w:t>
      </w:r>
      <w:r w:rsidR="001B5350">
        <w:rPr>
          <w:rFonts w:cs="Arial"/>
          <w:sz w:val="22"/>
          <w:lang w:val="en-US"/>
        </w:rPr>
        <w:t>as</w:t>
      </w:r>
      <w:r w:rsidR="001B5350" w:rsidRPr="004B3D8B">
        <w:rPr>
          <w:rFonts w:cs="Arial"/>
          <w:sz w:val="22"/>
          <w:lang w:val="en-US"/>
        </w:rPr>
        <w:t xml:space="preserve"> </w:t>
      </w:r>
      <w:r w:rsidRPr="004B3D8B">
        <w:rPr>
          <w:rFonts w:cs="Arial"/>
          <w:sz w:val="22"/>
          <w:lang w:val="en-US"/>
        </w:rPr>
        <w:t>seeded into each well of at least five 96-well plates. Half of the medium was replaced 1-2 times weekly. Emerging single clones were screened for LILRB2 expression by flow cytometry, and LILRB2</w:t>
      </w:r>
      <w:r w:rsidRPr="004B3D8B">
        <w:rPr>
          <w:rFonts w:cs="Arial"/>
          <w:sz w:val="22"/>
          <w:vertAlign w:val="superscript"/>
          <w:lang w:val="en-US"/>
        </w:rPr>
        <w:t>low</w:t>
      </w:r>
      <w:r w:rsidRPr="004B3D8B">
        <w:rPr>
          <w:rFonts w:cs="Arial"/>
          <w:sz w:val="22"/>
          <w:lang w:val="en-US"/>
        </w:rPr>
        <w:t xml:space="preserve"> clones were cryopreserved for further use. Successful gene disruption was confirmed by PCR amplification of the targeted LILRB2 locus followed by gel electrophoresis and Sanger sequencing (</w:t>
      </w:r>
      <w:proofErr w:type="spellStart"/>
      <w:r w:rsidRPr="004B3D8B">
        <w:rPr>
          <w:rFonts w:cs="Arial"/>
          <w:sz w:val="22"/>
          <w:lang w:val="en-US"/>
        </w:rPr>
        <w:t>Microsynth</w:t>
      </w:r>
      <w:proofErr w:type="spellEnd"/>
      <w:r w:rsidRPr="004B3D8B">
        <w:rPr>
          <w:rFonts w:cs="Arial"/>
          <w:sz w:val="22"/>
          <w:lang w:val="en-US"/>
        </w:rPr>
        <w:t xml:space="preserve">, </w:t>
      </w:r>
      <w:proofErr w:type="spellStart"/>
      <w:r w:rsidR="007D3E74" w:rsidRPr="004B3D8B">
        <w:rPr>
          <w:rFonts w:cs="Arial"/>
          <w:sz w:val="22"/>
          <w:lang w:val="en-US"/>
        </w:rPr>
        <w:t>Balgach</w:t>
      </w:r>
      <w:proofErr w:type="spellEnd"/>
      <w:r w:rsidR="007D3E74" w:rsidRPr="004B3D8B">
        <w:rPr>
          <w:rFonts w:cs="Arial"/>
          <w:sz w:val="22"/>
          <w:lang w:val="en-US"/>
        </w:rPr>
        <w:t>, Switzerland</w:t>
      </w:r>
      <w:r w:rsidRPr="004B3D8B">
        <w:rPr>
          <w:rFonts w:cs="Arial"/>
          <w:sz w:val="22"/>
          <w:lang w:val="en-US"/>
        </w:rPr>
        <w:t>).</w:t>
      </w:r>
    </w:p>
    <w:p w14:paraId="0CC092B4" w14:textId="47D46D7D" w:rsidR="00507E71" w:rsidRDefault="00507E71" w:rsidP="004B3D8B">
      <w:pPr>
        <w:autoSpaceDE w:val="0"/>
        <w:autoSpaceDN w:val="0"/>
        <w:adjustRightInd w:val="0"/>
        <w:spacing w:line="480" w:lineRule="auto"/>
        <w:jc w:val="both"/>
        <w:rPr>
          <w:rFonts w:cs="Arial"/>
          <w:sz w:val="22"/>
          <w:lang w:val="en-US"/>
        </w:rPr>
      </w:pPr>
      <w:r w:rsidRPr="004B3D8B">
        <w:rPr>
          <w:rFonts w:cs="Arial"/>
          <w:sz w:val="22"/>
          <w:lang w:val="en-US"/>
        </w:rPr>
        <w:t>LILRB2-overexpressing cell lines were generated by lentiviral transduction as described above for CAR T-cell production, except that standard cell culture medium was used and no activation of cells was performed. Three days after removal of the virus particles, the transduced cell pool was analyzed for LILRB2 overexpression and subjected to limited dilution for single clone selection as described above. Outgrowing sing</w:t>
      </w:r>
      <w:r w:rsidR="001B5350">
        <w:rPr>
          <w:rFonts w:cs="Arial"/>
          <w:sz w:val="22"/>
          <w:lang w:val="en-US"/>
        </w:rPr>
        <w:t>le</w:t>
      </w:r>
      <w:r w:rsidRPr="004B3D8B">
        <w:rPr>
          <w:rFonts w:cs="Arial"/>
          <w:sz w:val="22"/>
          <w:lang w:val="en-US"/>
        </w:rPr>
        <w:t xml:space="preserve"> cell clones were screened for LILRB2 expression by flow cytometry, and overexpressing clones were cryopreserved for further use.</w:t>
      </w:r>
    </w:p>
    <w:p w14:paraId="57D5A59D" w14:textId="77777777" w:rsidR="004B3D8B" w:rsidRPr="004B3D8B" w:rsidRDefault="004B3D8B" w:rsidP="004B3D8B">
      <w:pPr>
        <w:autoSpaceDE w:val="0"/>
        <w:autoSpaceDN w:val="0"/>
        <w:adjustRightInd w:val="0"/>
        <w:spacing w:line="480" w:lineRule="auto"/>
        <w:jc w:val="both"/>
        <w:rPr>
          <w:rFonts w:cs="Arial"/>
          <w:sz w:val="22"/>
          <w:lang w:val="en-US"/>
        </w:rPr>
      </w:pPr>
    </w:p>
    <w:p w14:paraId="52C8CB05" w14:textId="77777777" w:rsidR="00507E71" w:rsidRPr="004B3D8B" w:rsidRDefault="00507E71" w:rsidP="004B3D8B">
      <w:pPr>
        <w:pStyle w:val="Head4"/>
        <w:spacing w:line="480" w:lineRule="auto"/>
        <w:rPr>
          <w:rFonts w:cs="Arial"/>
          <w:b w:val="0"/>
          <w:bCs w:val="0"/>
          <w:sz w:val="22"/>
        </w:rPr>
      </w:pPr>
      <w:bookmarkStart w:id="10" w:name="_Toc234394137"/>
      <w:r w:rsidRPr="004B3D8B">
        <w:rPr>
          <w:rFonts w:cs="Arial"/>
          <w:b w:val="0"/>
          <w:bCs w:val="0"/>
          <w:sz w:val="22"/>
        </w:rPr>
        <w:t>Cytotoxicity and Safety Assays</w:t>
      </w:r>
      <w:bookmarkEnd w:id="10"/>
    </w:p>
    <w:p w14:paraId="7C217187" w14:textId="67807D1F" w:rsidR="00507E71" w:rsidRPr="004B3D8B" w:rsidRDefault="00507E71" w:rsidP="004B3D8B">
      <w:pPr>
        <w:spacing w:line="480" w:lineRule="auto"/>
        <w:jc w:val="both"/>
        <w:rPr>
          <w:rFonts w:cs="Arial"/>
          <w:sz w:val="22"/>
          <w:lang w:val="en-US"/>
        </w:rPr>
      </w:pPr>
      <w:r w:rsidRPr="004B3D8B">
        <w:rPr>
          <w:rFonts w:cs="Arial"/>
          <w:sz w:val="22"/>
          <w:lang w:val="en-US"/>
        </w:rPr>
        <w:t>Cytotoxic activity was assessed by co-culturing effector and target cells at defined effector</w:t>
      </w:r>
      <w:r w:rsidR="001B5350">
        <w:rPr>
          <w:rFonts w:cs="Arial"/>
          <w:sz w:val="22"/>
          <w:lang w:val="en-US"/>
        </w:rPr>
        <w:t>-</w:t>
      </w:r>
      <w:r w:rsidRPr="004B3D8B">
        <w:rPr>
          <w:rFonts w:cs="Arial"/>
          <w:sz w:val="22"/>
          <w:lang w:val="en-US"/>
        </w:rPr>
        <w:t>to</w:t>
      </w:r>
      <w:r w:rsidR="001B5350">
        <w:rPr>
          <w:rFonts w:cs="Arial"/>
          <w:sz w:val="22"/>
          <w:lang w:val="en-US"/>
        </w:rPr>
        <w:t>-</w:t>
      </w:r>
      <w:r w:rsidRPr="004B3D8B">
        <w:rPr>
          <w:rFonts w:cs="Arial"/>
          <w:sz w:val="22"/>
          <w:lang w:val="en-US"/>
        </w:rPr>
        <w:t>target (</w:t>
      </w:r>
      <w:proofErr w:type="gramStart"/>
      <w:r w:rsidRPr="004B3D8B">
        <w:rPr>
          <w:rFonts w:cs="Arial"/>
          <w:sz w:val="22"/>
          <w:lang w:val="en-US"/>
        </w:rPr>
        <w:t>E:T</w:t>
      </w:r>
      <w:proofErr w:type="gramEnd"/>
      <w:r w:rsidRPr="004B3D8B">
        <w:rPr>
          <w:rFonts w:cs="Arial"/>
          <w:sz w:val="22"/>
          <w:lang w:val="en-US"/>
        </w:rPr>
        <w:t xml:space="preserve">) ratios. After 24 hours or 120 hours (5 days), supernatants were collected for </w:t>
      </w:r>
      <w:r w:rsidRPr="004B3D8B">
        <w:rPr>
          <w:rFonts w:cs="Arial"/>
          <w:sz w:val="22"/>
          <w:lang w:val="en-US"/>
        </w:rPr>
        <w:lastRenderedPageBreak/>
        <w:t xml:space="preserve">subsequent cytokine </w:t>
      </w:r>
      <w:proofErr w:type="gramStart"/>
      <w:r w:rsidRPr="004B3D8B">
        <w:rPr>
          <w:rFonts w:cs="Arial"/>
          <w:sz w:val="22"/>
          <w:lang w:val="en-US"/>
        </w:rPr>
        <w:t>analysis</w:t>
      </w:r>
      <w:proofErr w:type="gramEnd"/>
      <w:r w:rsidRPr="004B3D8B">
        <w:rPr>
          <w:rFonts w:cs="Arial"/>
          <w:sz w:val="22"/>
          <w:lang w:val="en-US"/>
        </w:rPr>
        <w:t xml:space="preserve"> and cells were harvested for flow cytometric evaluation. For experiments assessing the impact of LILRB2 blockade, 4 µg/mL anti-LILRB2 </w:t>
      </w:r>
      <w:proofErr w:type="gramStart"/>
      <w:r w:rsidRPr="004B3D8B">
        <w:rPr>
          <w:rFonts w:cs="Arial"/>
          <w:sz w:val="22"/>
          <w:lang w:val="en-US"/>
        </w:rPr>
        <w:t>antibody (#</w:t>
      </w:r>
      <w:proofErr w:type="gramEnd"/>
      <w:r w:rsidRPr="004B3D8B">
        <w:rPr>
          <w:rFonts w:cs="Arial"/>
          <w:sz w:val="22"/>
          <w:lang w:val="en-US"/>
        </w:rPr>
        <w:t>MAB2078, R&amp;</w:t>
      </w:r>
      <w:proofErr w:type="gramStart"/>
      <w:r w:rsidRPr="004B3D8B">
        <w:rPr>
          <w:rFonts w:cs="Arial"/>
          <w:sz w:val="22"/>
          <w:lang w:val="en-US"/>
        </w:rPr>
        <w:t>D; #</w:t>
      </w:r>
      <w:proofErr w:type="gramEnd"/>
      <w:r w:rsidRPr="004B3D8B">
        <w:rPr>
          <w:rFonts w:cs="Arial"/>
          <w:sz w:val="22"/>
          <w:lang w:val="en-US"/>
        </w:rPr>
        <w:t>PA5-46983, Invitrogen</w:t>
      </w:r>
      <w:r w:rsidR="007D3E74" w:rsidRPr="004B3D8B">
        <w:rPr>
          <w:rFonts w:cs="Arial"/>
          <w:sz w:val="22"/>
          <w:lang w:val="en-US"/>
        </w:rPr>
        <w:t>, Carlsbad, CA, USA</w:t>
      </w:r>
      <w:r w:rsidRPr="004B3D8B">
        <w:rPr>
          <w:rFonts w:cs="Arial"/>
          <w:sz w:val="22"/>
          <w:lang w:val="en-US"/>
        </w:rPr>
        <w:t xml:space="preserve">) or isotype control IgG was added to each condition. </w:t>
      </w:r>
    </w:p>
    <w:p w14:paraId="2A0D4BC5" w14:textId="62C7BA70" w:rsidR="00507E71" w:rsidRPr="004B3D8B" w:rsidRDefault="00507E71" w:rsidP="004B3D8B">
      <w:pPr>
        <w:spacing w:line="480" w:lineRule="auto"/>
        <w:jc w:val="both"/>
        <w:rPr>
          <w:rFonts w:cs="Arial"/>
          <w:sz w:val="22"/>
          <w:lang w:val="en-US"/>
        </w:rPr>
      </w:pPr>
      <w:r w:rsidRPr="004B3D8B">
        <w:rPr>
          <w:rFonts w:cs="Arial"/>
          <w:sz w:val="22"/>
          <w:lang w:val="en-US"/>
        </w:rPr>
        <w:t>Apoptosis and necrosis were quantified using the GFP-certified apoptosis-necrosis detection kit according to manufacturer</w:t>
      </w:r>
      <w:r w:rsidR="001B5350">
        <w:rPr>
          <w:rFonts w:cs="Arial"/>
          <w:sz w:val="22"/>
          <w:lang w:val="en-US"/>
        </w:rPr>
        <w:t>’</w:t>
      </w:r>
      <w:r w:rsidRPr="004B3D8B">
        <w:rPr>
          <w:rFonts w:cs="Arial"/>
          <w:sz w:val="22"/>
          <w:lang w:val="en-US"/>
        </w:rPr>
        <w:t>s protocol (ENZ-51002-100, Enzo Life Sciences</w:t>
      </w:r>
      <w:r w:rsidR="007D3E74" w:rsidRPr="004B3D8B">
        <w:rPr>
          <w:rFonts w:cs="Arial"/>
          <w:sz w:val="22"/>
          <w:lang w:val="en-US"/>
        </w:rPr>
        <w:t>, Farmingdale, NY, USA</w:t>
      </w:r>
      <w:r w:rsidRPr="004B3D8B">
        <w:rPr>
          <w:rFonts w:cs="Arial"/>
          <w:sz w:val="22"/>
          <w:lang w:val="en-US"/>
        </w:rPr>
        <w:t>). Leukemic target cells were identified either through intrinsic GFP expression or by staining with a FITC-conjugated antibod</w:t>
      </w:r>
      <w:r w:rsidR="001B5350">
        <w:rPr>
          <w:rFonts w:cs="Arial"/>
          <w:sz w:val="22"/>
          <w:lang w:val="en-US"/>
        </w:rPr>
        <w:t>y</w:t>
      </w:r>
      <w:r w:rsidRPr="004B3D8B">
        <w:rPr>
          <w:rFonts w:cs="Arial"/>
          <w:sz w:val="22"/>
          <w:lang w:val="en-US"/>
        </w:rPr>
        <w:t xml:space="preserve">. Killing activity was calculated as follows: </w:t>
      </w:r>
    </w:p>
    <w:p w14:paraId="5B2084A1" w14:textId="25CE56E0" w:rsidR="00507E71" w:rsidRPr="004B3D8B" w:rsidRDefault="00507E71" w:rsidP="004B3D8B">
      <w:pPr>
        <w:spacing w:line="480" w:lineRule="auto"/>
        <w:jc w:val="both"/>
        <w:rPr>
          <w:rFonts w:cs="Arial"/>
          <w:sz w:val="22"/>
          <w:lang w:val="en-US"/>
        </w:rPr>
      </w:pPr>
      <m:oMath>
        <m:r>
          <w:rPr>
            <w:rFonts w:ascii="Cambria Math" w:hAnsi="Cambria Math" w:cs="Arial"/>
            <w:sz w:val="22"/>
            <w:lang w:val="en-US"/>
          </w:rPr>
          <m:t>100-</m:t>
        </m:r>
        <m:f>
          <m:fPr>
            <m:ctrlPr>
              <w:rPr>
                <w:rFonts w:ascii="Cambria Math" w:hAnsi="Cambria Math" w:cs="Arial"/>
                <w:sz w:val="22"/>
              </w:rPr>
            </m:ctrlPr>
          </m:fPr>
          <m:num>
            <m:r>
              <m:rPr>
                <m:sty m:val="p"/>
              </m:rPr>
              <w:rPr>
                <w:rFonts w:ascii="Cambria Math" w:hAnsi="Cambria Math" w:cs="Arial"/>
                <w:sz w:val="22"/>
                <w:lang w:val="en-US"/>
              </w:rPr>
              <m:t>%</m:t>
            </m:r>
            <m:r>
              <m:rPr>
                <m:nor/>
              </m:rPr>
              <w:rPr>
                <w:rFonts w:cs="Arial"/>
                <w:sz w:val="22"/>
                <w:lang w:val="en-US"/>
              </w:rPr>
              <m:t>live target cells in co-culture</m:t>
            </m:r>
          </m:num>
          <m:den>
            <m:r>
              <m:rPr>
                <m:sty m:val="p"/>
              </m:rPr>
              <w:rPr>
                <w:rFonts w:ascii="Cambria Math" w:hAnsi="Cambria Math" w:cs="Arial"/>
                <w:sz w:val="22"/>
                <w:lang w:val="en-US"/>
              </w:rPr>
              <m:t>%</m:t>
            </m:r>
            <m:r>
              <m:rPr>
                <m:nor/>
              </m:rPr>
              <w:rPr>
                <w:rFonts w:cs="Arial"/>
                <w:sz w:val="22"/>
                <w:lang w:val="en-US"/>
              </w:rPr>
              <m:t>live target cells in control condition</m:t>
            </m:r>
          </m:den>
        </m:f>
        <m:r>
          <w:rPr>
            <w:rFonts w:ascii="Cambria Math" w:hAnsi="Cambria Math" w:cs="Arial"/>
            <w:sz w:val="22"/>
            <w:lang w:val="en-US"/>
          </w:rPr>
          <m:t>×100</m:t>
        </m:r>
      </m:oMath>
      <w:r w:rsidRPr="004B3D8B">
        <w:rPr>
          <w:rFonts w:cs="Arial"/>
          <w:sz w:val="22"/>
          <w:lang w:val="en-US"/>
        </w:rPr>
        <w:t xml:space="preserve"> </w:t>
      </w:r>
      <w:r w:rsidRPr="004B3D8B">
        <w:rPr>
          <w:rFonts w:cs="Arial"/>
          <w:sz w:val="22"/>
          <w:lang w:val="en-US"/>
        </w:rPr>
        <w:fldChar w:fldCharType="begin">
          <w:fldData xml:space="preserve">PEVuZE5vdGU+PENpdGU+PEF1dGhvcj5NYWduYW5pPC9BdXRob3I+PFllYXI+MjAyMzwvWWVhcj48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</w:fldData>
        </w:fldChar>
      </w:r>
      <w:r w:rsidR="00DE475B">
        <w:rPr>
          <w:rFonts w:cs="Arial"/>
          <w:sz w:val="22"/>
          <w:lang w:val="en-US"/>
        </w:rPr>
        <w:instrText xml:space="preserve"> ADDIN EN.CITE </w:instrText>
      </w:r>
      <w:r w:rsidR="00DE475B">
        <w:rPr>
          <w:rFonts w:cs="Arial"/>
          <w:sz w:val="22"/>
          <w:lang w:val="en-US"/>
        </w:rPr>
        <w:fldChar w:fldCharType="begin">
          <w:fldData xml:space="preserve">PEVuZE5vdGU+PENpdGU+PEF1dGhvcj5NYWduYW5pPC9BdXRob3I+PFllYXI+MjAyMzwvWWVhcj48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</w:fldData>
        </w:fldChar>
      </w:r>
      <w:r w:rsidR="00DE475B">
        <w:rPr>
          <w:rFonts w:cs="Arial"/>
          <w:sz w:val="22"/>
          <w:lang w:val="en-US"/>
        </w:rPr>
        <w:instrText xml:space="preserve"> ADDIN EN.CITE.DATA </w:instrText>
      </w:r>
      <w:r w:rsidR="00DE475B">
        <w:rPr>
          <w:rFonts w:cs="Arial"/>
          <w:sz w:val="22"/>
          <w:lang w:val="en-US"/>
        </w:rPr>
      </w:r>
      <w:r w:rsidR="00DE475B">
        <w:rPr>
          <w:rFonts w:cs="Arial"/>
          <w:sz w:val="22"/>
          <w:lang w:val="en-US"/>
        </w:rPr>
        <w:fldChar w:fldCharType="end"/>
      </w:r>
      <w:r w:rsidRPr="004B3D8B">
        <w:rPr>
          <w:rFonts w:cs="Arial"/>
          <w:sz w:val="22"/>
          <w:lang w:val="en-US"/>
        </w:rPr>
      </w:r>
      <w:r w:rsidRPr="004B3D8B">
        <w:rPr>
          <w:rFonts w:cs="Arial"/>
          <w:sz w:val="22"/>
          <w:lang w:val="en-US"/>
        </w:rPr>
        <w:fldChar w:fldCharType="separate"/>
      </w:r>
      <w:r w:rsidR="00DE475B">
        <w:rPr>
          <w:rFonts w:cs="Arial"/>
          <w:noProof/>
          <w:sz w:val="22"/>
          <w:lang w:val="en-US"/>
        </w:rPr>
        <w:t>(1)</w:t>
      </w:r>
      <w:r w:rsidRPr="004B3D8B">
        <w:rPr>
          <w:rFonts w:cs="Arial"/>
          <w:sz w:val="22"/>
          <w:lang w:val="en-US"/>
        </w:rPr>
        <w:fldChar w:fldCharType="end"/>
      </w:r>
      <w:r w:rsidRPr="004B3D8B">
        <w:rPr>
          <w:rFonts w:cs="Arial"/>
          <w:sz w:val="22"/>
          <w:lang w:val="en-US"/>
        </w:rPr>
        <w:t xml:space="preserve">. </w:t>
      </w:r>
    </w:p>
    <w:p w14:paraId="098CF9F2" w14:textId="46F61B8C" w:rsidR="00507E71" w:rsidRPr="004B3D8B" w:rsidRDefault="00507E71" w:rsidP="004B3D8B">
      <w:pPr>
        <w:spacing w:line="480" w:lineRule="auto"/>
        <w:jc w:val="both"/>
        <w:rPr>
          <w:rFonts w:cs="Arial"/>
          <w:sz w:val="22"/>
          <w:lang w:val="en-US"/>
        </w:rPr>
      </w:pPr>
      <w:r w:rsidRPr="004B3D8B">
        <w:rPr>
          <w:rFonts w:cs="Arial"/>
          <w:sz w:val="22"/>
          <w:lang w:val="en-US"/>
        </w:rPr>
        <w:t xml:space="preserve">For quantitative analyses, antibody-based cell staining and quantitative counting </w:t>
      </w:r>
      <w:proofErr w:type="gramStart"/>
      <w:r w:rsidRPr="004B3D8B">
        <w:rPr>
          <w:rFonts w:cs="Arial"/>
          <w:sz w:val="22"/>
          <w:lang w:val="en-US"/>
        </w:rPr>
        <w:t>beads (#</w:t>
      </w:r>
      <w:proofErr w:type="gramEnd"/>
      <w:r w:rsidRPr="004B3D8B">
        <w:rPr>
          <w:rFonts w:cs="Arial"/>
          <w:sz w:val="22"/>
          <w:lang w:val="en-US"/>
        </w:rPr>
        <w:t>7547053, Beckman Coulter</w:t>
      </w:r>
      <w:r w:rsidR="007D3E74" w:rsidRPr="004B3D8B">
        <w:rPr>
          <w:rFonts w:cs="Arial"/>
          <w:sz w:val="22"/>
          <w:lang w:val="en-US"/>
        </w:rPr>
        <w:t>, Brea, CA, USA</w:t>
      </w:r>
      <w:r w:rsidRPr="004B3D8B">
        <w:rPr>
          <w:rFonts w:cs="Arial"/>
          <w:sz w:val="22"/>
          <w:lang w:val="en-US"/>
        </w:rPr>
        <w:t xml:space="preserve">) were combined with flow cytometry. Absolut target cell counts were calculated as: </w:t>
      </w:r>
    </w:p>
    <w:p w14:paraId="005D6A25" w14:textId="77777777" w:rsidR="00507E71" w:rsidRPr="004B3D8B" w:rsidRDefault="00B75993" w:rsidP="004B3D8B">
      <w:pPr>
        <w:spacing w:line="480" w:lineRule="auto"/>
        <w:jc w:val="both"/>
        <w:rPr>
          <w:rFonts w:cs="Arial"/>
          <w:sz w:val="22"/>
          <w:lang w:val="en-US"/>
        </w:rPr>
      </w:pPr>
      <m:oMath>
        <m:f>
          <m:fPr>
            <m:ctrlPr>
              <w:rPr>
                <w:rFonts w:ascii="Cambria Math" w:hAnsi="Cambria Math" w:cs="Arial"/>
                <w:sz w:val="22"/>
              </w:rPr>
            </m:ctrlPr>
          </m:fPr>
          <m:num>
            <m:r>
              <m:rPr>
                <m:nor/>
              </m:rPr>
              <w:rPr>
                <w:rFonts w:cs="Arial"/>
                <w:sz w:val="22"/>
                <w:lang w:val="en-US"/>
              </w:rPr>
              <m:t>live target cell count</m:t>
            </m:r>
          </m:num>
          <m:den>
            <m:r>
              <m:rPr>
                <m:nor/>
              </m:rPr>
              <w:rPr>
                <w:rFonts w:cs="Arial"/>
                <w:sz w:val="22"/>
                <w:lang w:val="en-US"/>
              </w:rPr>
              <m:t>bead count</m:t>
            </m:r>
          </m:den>
        </m:f>
        <m:r>
          <w:rPr>
            <w:rFonts w:ascii="Cambria Math" w:hAnsi="Cambria Math" w:cs="Arial"/>
            <w:sz w:val="22"/>
            <w:lang w:val="en-US"/>
          </w:rPr>
          <m:t>×</m:t>
        </m:r>
        <m:r>
          <m:rPr>
            <m:nor/>
          </m:rPr>
          <w:rPr>
            <w:rFonts w:cs="Arial"/>
            <w:sz w:val="22"/>
            <w:lang w:val="en-US"/>
          </w:rPr>
          <m:t>number of beads added</m:t>
        </m:r>
      </m:oMath>
      <w:r w:rsidR="00507E71" w:rsidRPr="004B3D8B">
        <w:rPr>
          <w:rFonts w:cs="Arial"/>
          <w:sz w:val="22"/>
          <w:lang w:val="en-US"/>
        </w:rPr>
        <w:t xml:space="preserve">. </w:t>
      </w:r>
    </w:p>
    <w:p w14:paraId="1ABDCDE2" w14:textId="77777777" w:rsidR="00507E71" w:rsidRPr="004B3D8B" w:rsidRDefault="00507E71" w:rsidP="004B3D8B">
      <w:pPr>
        <w:spacing w:line="480" w:lineRule="auto"/>
        <w:jc w:val="both"/>
        <w:rPr>
          <w:rFonts w:cs="Arial"/>
          <w:sz w:val="22"/>
          <w:lang w:val="en-US"/>
        </w:rPr>
      </w:pPr>
      <w:r w:rsidRPr="004B3D8B">
        <w:rPr>
          <w:rFonts w:cs="Arial"/>
          <w:sz w:val="22"/>
          <w:lang w:val="en-US"/>
        </w:rPr>
        <w:t xml:space="preserve">Killing activity was subsequently determined as: </w:t>
      </w:r>
    </w:p>
    <w:p w14:paraId="7E9012AB" w14:textId="77777777" w:rsidR="00507E71" w:rsidRPr="004B3D8B" w:rsidRDefault="00507E71" w:rsidP="004B3D8B">
      <w:pPr>
        <w:spacing w:line="480" w:lineRule="auto"/>
        <w:jc w:val="both"/>
        <w:rPr>
          <w:rFonts w:cs="Arial"/>
          <w:sz w:val="22"/>
          <w:lang w:val="en-US"/>
        </w:rPr>
      </w:pPr>
      <m:oMath>
        <m:r>
          <w:rPr>
            <w:rFonts w:ascii="Cambria Math" w:hAnsi="Cambria Math" w:cs="Arial"/>
            <w:sz w:val="22"/>
            <w:lang w:val="en-US"/>
          </w:rPr>
          <m:t>100-</m:t>
        </m:r>
        <m:f>
          <m:fPr>
            <m:ctrlPr>
              <w:rPr>
                <w:rFonts w:ascii="Cambria Math" w:hAnsi="Cambria Math" w:cs="Arial"/>
                <w:sz w:val="22"/>
              </w:rPr>
            </m:ctrlPr>
          </m:fPr>
          <m:num>
            <m:r>
              <m:rPr>
                <m:nor/>
              </m:rPr>
              <w:rPr>
                <w:rFonts w:cs="Arial"/>
                <w:sz w:val="22"/>
                <w:lang w:val="en-US"/>
              </w:rPr>
              <m:t>absolute live target cell count in co-culture</m:t>
            </m:r>
          </m:num>
          <m:den>
            <m:r>
              <m:rPr>
                <m:nor/>
              </m:rPr>
              <w:rPr>
                <w:rFonts w:cs="Arial"/>
                <w:sz w:val="22"/>
                <w:lang w:val="en-US"/>
              </w:rPr>
              <m:t>absolute live target cell count in control condition</m:t>
            </m:r>
          </m:den>
        </m:f>
        <m:r>
          <w:rPr>
            <w:rFonts w:ascii="Cambria Math" w:hAnsi="Cambria Math" w:cs="Arial"/>
            <w:sz w:val="22"/>
            <w:lang w:val="en-US"/>
          </w:rPr>
          <m:t>×100</m:t>
        </m:r>
      </m:oMath>
      <w:r w:rsidRPr="004B3D8B">
        <w:rPr>
          <w:rFonts w:cs="Arial"/>
          <w:sz w:val="22"/>
          <w:lang w:val="en-US"/>
        </w:rPr>
        <w:t xml:space="preserve">. </w:t>
      </w:r>
    </w:p>
    <w:p w14:paraId="782921DA" w14:textId="2B38012E" w:rsidR="00507E71" w:rsidRDefault="00507E71" w:rsidP="004B3D8B">
      <w:pPr>
        <w:spacing w:line="480" w:lineRule="auto"/>
        <w:jc w:val="both"/>
        <w:rPr>
          <w:rFonts w:cs="Arial"/>
          <w:sz w:val="22"/>
          <w:lang w:val="en-US"/>
        </w:rPr>
      </w:pPr>
      <w:r w:rsidRPr="004B3D8B">
        <w:rPr>
          <w:rFonts w:cs="Arial"/>
          <w:sz w:val="22"/>
          <w:lang w:val="en-US"/>
        </w:rPr>
        <w:t>To evaluate depletion of healthy donor PBMC or BM cell subsets, absolute subset cell counts were normalized to the non-transfected (NT</w:t>
      </w:r>
      <w:r w:rsidR="00AA1CB5">
        <w:rPr>
          <w:rFonts w:cs="Arial"/>
          <w:sz w:val="22"/>
          <w:lang w:val="en-US"/>
        </w:rPr>
        <w:t>)</w:t>
      </w:r>
      <w:r w:rsidRPr="004B3D8B">
        <w:rPr>
          <w:rFonts w:cs="Arial"/>
          <w:sz w:val="22"/>
          <w:lang w:val="en-US"/>
        </w:rPr>
        <w:t xml:space="preserve"> control condition and expressed as fold change. All conditions were performed in duplicate or triplicate.</w:t>
      </w:r>
    </w:p>
    <w:p w14:paraId="2FC7B20A" w14:textId="77777777" w:rsidR="004B3D8B" w:rsidRPr="004B3D8B" w:rsidRDefault="004B3D8B" w:rsidP="004B3D8B">
      <w:pPr>
        <w:spacing w:line="480" w:lineRule="auto"/>
        <w:jc w:val="both"/>
        <w:rPr>
          <w:rFonts w:cs="Arial"/>
          <w:sz w:val="22"/>
          <w:lang w:val="en-US"/>
        </w:rPr>
      </w:pPr>
    </w:p>
    <w:p w14:paraId="5D04B296" w14:textId="77777777" w:rsidR="00507E71" w:rsidRPr="004B3D8B" w:rsidRDefault="00507E71" w:rsidP="004B3D8B">
      <w:pPr>
        <w:pStyle w:val="Head4"/>
        <w:spacing w:line="480" w:lineRule="auto"/>
        <w:rPr>
          <w:rFonts w:cs="Arial"/>
          <w:b w:val="0"/>
          <w:bCs w:val="0"/>
          <w:sz w:val="22"/>
        </w:rPr>
      </w:pPr>
      <w:bookmarkStart w:id="11" w:name="_Toc234394138"/>
      <w:r w:rsidRPr="004B3D8B">
        <w:rPr>
          <w:rFonts w:cs="Arial"/>
          <w:b w:val="0"/>
          <w:bCs w:val="0"/>
          <w:sz w:val="22"/>
        </w:rPr>
        <w:t>Re-challenge assay</w:t>
      </w:r>
      <w:bookmarkEnd w:id="11"/>
    </w:p>
    <w:p w14:paraId="18441137" w14:textId="77777777" w:rsidR="00507E71" w:rsidRDefault="00507E71" w:rsidP="004B3D8B">
      <w:pPr>
        <w:spacing w:line="480" w:lineRule="auto"/>
        <w:jc w:val="both"/>
        <w:rPr>
          <w:rFonts w:cs="Arial"/>
          <w:sz w:val="22"/>
          <w:lang w:val="en-US"/>
        </w:rPr>
      </w:pPr>
      <w:r w:rsidRPr="004B3D8B">
        <w:rPr>
          <w:rFonts w:cs="Arial"/>
          <w:sz w:val="22"/>
          <w:lang w:val="en-US"/>
        </w:rPr>
        <w:t>To assess effector-cell functionality following repeated antigen exposure, re-challenge assays were performed. Effector and target cells were initially co-cultured at an E:T ratio of 1:2.5 for five days, before being re-challenged with fresh target cells at the same E:T ratio. The re-</w:t>
      </w:r>
      <w:r w:rsidRPr="004B3D8B">
        <w:rPr>
          <w:rFonts w:cs="Arial"/>
          <w:sz w:val="22"/>
          <w:lang w:val="en-US"/>
        </w:rPr>
        <w:lastRenderedPageBreak/>
        <w:t>challenge process was repeated every three days for a total of up to four sequential re-challenges. Effector and target cell populations were analyzed by flow cytometry at each time point, and supernatants were collected for cytokine analysis. Killing activity was calculated as described above. All conditions were performed in duplicate or triplicate.</w:t>
      </w:r>
    </w:p>
    <w:p w14:paraId="631DA454" w14:textId="77777777" w:rsidR="004B3D8B" w:rsidRPr="004B3D8B" w:rsidRDefault="004B3D8B" w:rsidP="004B3D8B">
      <w:pPr>
        <w:spacing w:line="480" w:lineRule="auto"/>
        <w:jc w:val="both"/>
        <w:rPr>
          <w:rFonts w:cs="Arial"/>
          <w:sz w:val="22"/>
          <w:lang w:val="en-US"/>
        </w:rPr>
      </w:pPr>
    </w:p>
    <w:p w14:paraId="065533F7" w14:textId="77777777" w:rsidR="00507E71" w:rsidRPr="004B3D8B" w:rsidRDefault="00507E71" w:rsidP="004B3D8B">
      <w:pPr>
        <w:pStyle w:val="Head3"/>
        <w:spacing w:line="480" w:lineRule="auto"/>
        <w:rPr>
          <w:rFonts w:cs="Arial"/>
          <w:b w:val="0"/>
          <w:bCs w:val="0"/>
          <w:szCs w:val="22"/>
        </w:rPr>
      </w:pPr>
      <w:bookmarkStart w:id="12" w:name="_Toc234394139"/>
      <w:r w:rsidRPr="004B3D8B">
        <w:rPr>
          <w:rFonts w:cs="Arial"/>
          <w:b w:val="0"/>
          <w:bCs w:val="0"/>
          <w:szCs w:val="22"/>
        </w:rPr>
        <w:t>Cytokine release measurement by ELISA</w:t>
      </w:r>
      <w:bookmarkEnd w:id="12"/>
    </w:p>
    <w:p w14:paraId="0DB73B10" w14:textId="5A4F58CE" w:rsidR="00507E71" w:rsidRDefault="00507E71" w:rsidP="004B3D8B">
      <w:pPr>
        <w:spacing w:line="480" w:lineRule="auto"/>
        <w:jc w:val="both"/>
        <w:rPr>
          <w:rFonts w:cs="Arial"/>
          <w:sz w:val="22"/>
          <w:lang w:val="en-US"/>
        </w:rPr>
      </w:pPr>
      <w:r w:rsidRPr="004B3D8B">
        <w:rPr>
          <w:rFonts w:cs="Arial"/>
          <w:sz w:val="22"/>
          <w:lang w:val="en-US"/>
        </w:rPr>
        <w:t xml:space="preserve">Concentrations of IFN-γ, TNF-α, IL-2 and IL-10 levels in the supernatants collected from cytotoxicity and re-challenge assays were quantified using the enzyme-linked immunosorbent assay MAX sets (#431816, #430116, #430216, #430604; </w:t>
      </w:r>
      <w:proofErr w:type="spellStart"/>
      <w:r w:rsidRPr="004B3D8B">
        <w:rPr>
          <w:rFonts w:cs="Arial"/>
          <w:sz w:val="22"/>
          <w:lang w:val="en-US"/>
        </w:rPr>
        <w:t>Biolegend</w:t>
      </w:r>
      <w:proofErr w:type="spellEnd"/>
      <w:r w:rsidR="007D3E74" w:rsidRPr="004B3D8B">
        <w:rPr>
          <w:rFonts w:cs="Arial"/>
          <w:sz w:val="22"/>
          <w:lang w:val="en-US"/>
        </w:rPr>
        <w:t>, San Diego, CA, USA</w:t>
      </w:r>
      <w:r w:rsidRPr="004B3D8B">
        <w:rPr>
          <w:rFonts w:cs="Arial"/>
          <w:sz w:val="22"/>
          <w:lang w:val="en-US"/>
        </w:rPr>
        <w:t>) according to the manufacturer</w:t>
      </w:r>
      <w:r w:rsidR="001B5350">
        <w:rPr>
          <w:rFonts w:cs="Arial"/>
          <w:sz w:val="22"/>
          <w:lang w:val="en-US"/>
        </w:rPr>
        <w:t>’</w:t>
      </w:r>
      <w:r w:rsidRPr="004B3D8B">
        <w:rPr>
          <w:rFonts w:cs="Arial"/>
          <w:sz w:val="22"/>
          <w:lang w:val="en-US"/>
        </w:rPr>
        <w:t>s instructions. Samples were pre-diluted 1:100 for IFN-</w:t>
      </w:r>
      <w:r w:rsidRPr="004B3D8B">
        <w:rPr>
          <w:rFonts w:cs="Arial"/>
          <w:sz w:val="22"/>
        </w:rPr>
        <w:t>γ</w:t>
      </w:r>
      <w:r w:rsidRPr="004B3D8B">
        <w:rPr>
          <w:rFonts w:cs="Arial"/>
          <w:sz w:val="22"/>
          <w:lang w:val="en-US"/>
        </w:rPr>
        <w:t xml:space="preserve"> and IL-2, and 1:5 for TNF-</w:t>
      </w:r>
      <w:r w:rsidRPr="004B3D8B">
        <w:rPr>
          <w:rFonts w:cs="Arial"/>
          <w:sz w:val="22"/>
        </w:rPr>
        <w:t>α</w:t>
      </w:r>
      <w:r w:rsidRPr="004B3D8B">
        <w:rPr>
          <w:rFonts w:cs="Arial"/>
          <w:sz w:val="22"/>
          <w:lang w:val="en-US"/>
        </w:rPr>
        <w:t xml:space="preserve"> and IL-10. Absorbance was measured at 450 nm using a </w:t>
      </w:r>
      <w:proofErr w:type="spellStart"/>
      <w:r w:rsidRPr="004B3D8B">
        <w:rPr>
          <w:rFonts w:cs="Arial"/>
          <w:sz w:val="22"/>
          <w:lang w:val="en-US"/>
        </w:rPr>
        <w:t>BioTek</w:t>
      </w:r>
      <w:proofErr w:type="spellEnd"/>
      <w:r w:rsidRPr="004B3D8B">
        <w:rPr>
          <w:rFonts w:cs="Arial"/>
          <w:sz w:val="22"/>
          <w:lang w:val="en-US"/>
        </w:rPr>
        <w:t xml:space="preserve"> Synergy H1 plate reader (Agilent Technologies, </w:t>
      </w:r>
      <w:r w:rsidR="007D3E74" w:rsidRPr="004B3D8B">
        <w:rPr>
          <w:rFonts w:cs="Arial"/>
          <w:sz w:val="22"/>
          <w:lang w:val="en-US"/>
        </w:rPr>
        <w:t xml:space="preserve">Santa Clara, CA, </w:t>
      </w:r>
      <w:r w:rsidRPr="004B3D8B">
        <w:rPr>
          <w:rFonts w:cs="Arial"/>
          <w:sz w:val="22"/>
          <w:lang w:val="en-US"/>
        </w:rPr>
        <w:t>USA), and analyte concentrations were determined using a five-parameter logistic standard curve fit.</w:t>
      </w:r>
    </w:p>
    <w:p w14:paraId="04BE3BDF" w14:textId="77777777" w:rsidR="004B3D8B" w:rsidRPr="004B3D8B" w:rsidRDefault="004B3D8B" w:rsidP="004B3D8B">
      <w:pPr>
        <w:spacing w:line="480" w:lineRule="auto"/>
        <w:jc w:val="both"/>
        <w:rPr>
          <w:rFonts w:cs="Arial"/>
          <w:sz w:val="22"/>
          <w:lang w:val="en-US"/>
        </w:rPr>
      </w:pPr>
    </w:p>
    <w:p w14:paraId="49618E5B" w14:textId="77777777" w:rsidR="00507E71" w:rsidRPr="004B3D8B" w:rsidRDefault="00507E71" w:rsidP="004B3D8B">
      <w:pPr>
        <w:pStyle w:val="Head3"/>
        <w:spacing w:line="480" w:lineRule="auto"/>
        <w:rPr>
          <w:rFonts w:cs="Arial"/>
          <w:b w:val="0"/>
          <w:bCs w:val="0"/>
          <w:szCs w:val="22"/>
        </w:rPr>
      </w:pPr>
      <w:bookmarkStart w:id="13" w:name="_Toc234394140"/>
      <w:r w:rsidRPr="004B3D8B">
        <w:rPr>
          <w:rFonts w:cs="Arial"/>
          <w:b w:val="0"/>
          <w:bCs w:val="0"/>
          <w:szCs w:val="22"/>
        </w:rPr>
        <w:t>RNA Sequencing</w:t>
      </w:r>
      <w:bookmarkEnd w:id="13"/>
    </w:p>
    <w:p w14:paraId="3E9F2614" w14:textId="1B0175A3" w:rsidR="00507E71" w:rsidRDefault="00507E71" w:rsidP="004B3D8B">
      <w:pPr>
        <w:spacing w:line="480" w:lineRule="auto"/>
        <w:jc w:val="both"/>
        <w:rPr>
          <w:rFonts w:cs="Arial"/>
          <w:sz w:val="22"/>
          <w:lang w:val="en-US"/>
        </w:rPr>
      </w:pPr>
      <w:r w:rsidRPr="004B3D8B">
        <w:rPr>
          <w:rFonts w:cs="Arial"/>
          <w:sz w:val="22"/>
          <w:lang w:val="en-US"/>
        </w:rPr>
        <w:t xml:space="preserve">Following completion of the re-challenge assay, effector and target cell populations were sorted using a BD FACS Aria III 4L cell sorter. Sorted cells were </w:t>
      </w:r>
      <w:proofErr w:type="gramStart"/>
      <w:r w:rsidRPr="004B3D8B">
        <w:rPr>
          <w:rFonts w:cs="Arial"/>
          <w:sz w:val="22"/>
          <w:lang w:val="en-US"/>
        </w:rPr>
        <w:t>pelleted</w:t>
      </w:r>
      <w:proofErr w:type="gramEnd"/>
      <w:r w:rsidRPr="004B3D8B">
        <w:rPr>
          <w:rFonts w:cs="Arial"/>
          <w:sz w:val="22"/>
          <w:lang w:val="en-US"/>
        </w:rPr>
        <w:t xml:space="preserve"> by centrifugation at 800 x g for 5 min, and dry pellets were frozen at -80°C until RNA extraction. Total RNA was isolat</w:t>
      </w:r>
      <w:r w:rsidR="00AA1CB5">
        <w:rPr>
          <w:rFonts w:cs="Arial"/>
          <w:sz w:val="22"/>
          <w:lang w:val="en-US"/>
        </w:rPr>
        <w:t>ed</w:t>
      </w:r>
      <w:r w:rsidRPr="004B3D8B">
        <w:rPr>
          <w:rFonts w:cs="Arial"/>
          <w:sz w:val="22"/>
          <w:lang w:val="en-US"/>
        </w:rPr>
        <w:t xml:space="preserve"> using the RNeasy Micro Kit (#74004, QIAGEN</w:t>
      </w:r>
      <w:r w:rsidR="007D3E74" w:rsidRPr="004B3D8B">
        <w:rPr>
          <w:rFonts w:cs="Arial"/>
          <w:sz w:val="22"/>
          <w:lang w:val="en-US"/>
        </w:rPr>
        <w:t>, Hilden, Germany</w:t>
      </w:r>
      <w:r w:rsidRPr="004B3D8B">
        <w:rPr>
          <w:rFonts w:cs="Arial"/>
          <w:sz w:val="22"/>
          <w:lang w:val="en-US"/>
        </w:rPr>
        <w:t xml:space="preserve">) according to the manufacturers’ protocol. RNA sequencing was performed by the Functional Genomic Center Zurich (FGCZ) using an Illumina </w:t>
      </w:r>
      <w:proofErr w:type="spellStart"/>
      <w:r w:rsidRPr="004B3D8B">
        <w:rPr>
          <w:rFonts w:cs="Arial"/>
          <w:sz w:val="22"/>
          <w:lang w:val="en-US"/>
        </w:rPr>
        <w:t>NovaSeq</w:t>
      </w:r>
      <w:proofErr w:type="spellEnd"/>
      <w:r w:rsidRPr="004B3D8B">
        <w:rPr>
          <w:rFonts w:cs="Arial"/>
          <w:sz w:val="22"/>
          <w:lang w:val="en-US"/>
        </w:rPr>
        <w:t xml:space="preserve"> X Plus platform with the Smart-seq II workflow and a sequencing depth of 500 million reads. Data processing and analysis were conducted using the SUSHI next-generation sequencing analysis framework developed at FGCZ. </w:t>
      </w:r>
    </w:p>
    <w:p w14:paraId="6EFAE887" w14:textId="77777777" w:rsidR="004B3D8B" w:rsidRPr="004B3D8B" w:rsidRDefault="004B3D8B" w:rsidP="004B3D8B">
      <w:pPr>
        <w:spacing w:line="480" w:lineRule="auto"/>
        <w:jc w:val="both"/>
        <w:rPr>
          <w:rFonts w:cs="Arial"/>
          <w:sz w:val="22"/>
          <w:lang w:val="en-US"/>
        </w:rPr>
      </w:pPr>
    </w:p>
    <w:p w14:paraId="7A84B21E" w14:textId="77777777" w:rsidR="00507E71" w:rsidRPr="004B3D8B" w:rsidRDefault="00507E71" w:rsidP="004B3D8B">
      <w:pPr>
        <w:pStyle w:val="Head3"/>
        <w:spacing w:line="480" w:lineRule="auto"/>
        <w:rPr>
          <w:rFonts w:cs="Arial"/>
          <w:b w:val="0"/>
          <w:bCs w:val="0"/>
          <w:szCs w:val="22"/>
        </w:rPr>
      </w:pPr>
      <w:bookmarkStart w:id="14" w:name="_Toc234394141"/>
      <w:r w:rsidRPr="004B3D8B">
        <w:rPr>
          <w:rFonts w:cs="Arial"/>
          <w:b w:val="0"/>
          <w:bCs w:val="0"/>
          <w:szCs w:val="22"/>
        </w:rPr>
        <w:t>Flow cytometry</w:t>
      </w:r>
      <w:bookmarkEnd w:id="14"/>
    </w:p>
    <w:p w14:paraId="4FB21578" w14:textId="2C8C955C" w:rsidR="00507E71" w:rsidRDefault="00507E71" w:rsidP="004B3D8B">
      <w:pPr>
        <w:spacing w:line="480" w:lineRule="auto"/>
        <w:jc w:val="both"/>
        <w:rPr>
          <w:rFonts w:cs="Arial"/>
          <w:sz w:val="22"/>
          <w:lang w:val="en-US"/>
        </w:rPr>
      </w:pPr>
      <w:r w:rsidRPr="004B3D8B">
        <w:rPr>
          <w:rFonts w:cs="Arial"/>
          <w:sz w:val="22"/>
          <w:lang w:val="en-US"/>
        </w:rPr>
        <w:lastRenderedPageBreak/>
        <w:t xml:space="preserve">Cell suspension samples were incubated with fluorophore-conjugated antibodies diluted in phosphate-buffered saline (PBS) for 20-30 min at 4°C. Following staining, samples were washed and re-suspended in PBS supplemented with 2% FBS for analysis. Cell viability was assessed using the Zombie Aqua Fixable Viability Dye </w:t>
      </w:r>
      <w:proofErr w:type="gramStart"/>
      <w:r w:rsidRPr="004B3D8B">
        <w:rPr>
          <w:rFonts w:cs="Arial"/>
          <w:sz w:val="22"/>
          <w:lang w:val="en-US"/>
        </w:rPr>
        <w:t>Kit (#</w:t>
      </w:r>
      <w:proofErr w:type="gramEnd"/>
      <w:r w:rsidRPr="004B3D8B">
        <w:rPr>
          <w:rFonts w:cs="Arial"/>
          <w:sz w:val="22"/>
          <w:lang w:val="en-US"/>
        </w:rPr>
        <w:t xml:space="preserve">423102, </w:t>
      </w:r>
      <w:proofErr w:type="spellStart"/>
      <w:r w:rsidRPr="004B3D8B">
        <w:rPr>
          <w:rFonts w:cs="Arial"/>
          <w:sz w:val="22"/>
          <w:lang w:val="en-US"/>
        </w:rPr>
        <w:t>Biolegend</w:t>
      </w:r>
      <w:proofErr w:type="spellEnd"/>
      <w:r w:rsidRPr="004B3D8B">
        <w:rPr>
          <w:rFonts w:cs="Arial"/>
          <w:sz w:val="22"/>
          <w:lang w:val="en-US"/>
        </w:rPr>
        <w:t xml:space="preserve">), and Flow-Count </w:t>
      </w:r>
      <w:proofErr w:type="gramStart"/>
      <w:r w:rsidRPr="004B3D8B">
        <w:rPr>
          <w:rFonts w:cs="Arial"/>
          <w:sz w:val="22"/>
          <w:lang w:val="en-US"/>
        </w:rPr>
        <w:t>Fluorospheres (#</w:t>
      </w:r>
      <w:proofErr w:type="gramEnd"/>
      <w:r w:rsidRPr="004B3D8B">
        <w:rPr>
          <w:rFonts w:cs="Arial"/>
          <w:sz w:val="22"/>
          <w:lang w:val="en-US"/>
        </w:rPr>
        <w:t xml:space="preserve">7547053, Beckman Coulter) were used for quantitative analysis. For direct assessment of CAR surface expression, cells were incubated with biotinylated target proteins (e.g. LILRB2-Biotin, #AVI2078-050, R&amp;D Systems; or CD117-Biotin, #AVI10931-050, R&amp;D Systems) for 10 min in PBS, followed by incubation with a fluorophore-conjugated anti-biotin secondary antibody for 20 min. Data acquisition was performed using an LSR II </w:t>
      </w:r>
      <w:proofErr w:type="spellStart"/>
      <w:r w:rsidRPr="004B3D8B">
        <w:rPr>
          <w:rFonts w:cs="Arial"/>
          <w:sz w:val="22"/>
          <w:lang w:val="en-US"/>
        </w:rPr>
        <w:t>Fortessa</w:t>
      </w:r>
      <w:proofErr w:type="spellEnd"/>
      <w:r w:rsidRPr="004B3D8B">
        <w:rPr>
          <w:rFonts w:cs="Arial"/>
          <w:sz w:val="22"/>
          <w:lang w:val="en-US"/>
        </w:rPr>
        <w:t xml:space="preserve"> flow cytometer (BD Bioscience, </w:t>
      </w:r>
      <w:r w:rsidR="007D3E74" w:rsidRPr="004B3D8B">
        <w:rPr>
          <w:rFonts w:cs="Arial"/>
          <w:sz w:val="22"/>
          <w:lang w:val="en-US"/>
        </w:rPr>
        <w:t xml:space="preserve">San Jose, CA, </w:t>
      </w:r>
      <w:r w:rsidRPr="004B3D8B">
        <w:rPr>
          <w:rFonts w:cs="Arial"/>
          <w:sz w:val="22"/>
          <w:lang w:val="en-US"/>
        </w:rPr>
        <w:t xml:space="preserve">USA), and analyses were conducted with </w:t>
      </w:r>
      <w:proofErr w:type="spellStart"/>
      <w:r w:rsidRPr="004B3D8B">
        <w:rPr>
          <w:rFonts w:cs="Arial"/>
          <w:sz w:val="22"/>
          <w:lang w:val="en-US"/>
        </w:rPr>
        <w:t>FlowJo</w:t>
      </w:r>
      <w:proofErr w:type="spellEnd"/>
      <w:r w:rsidRPr="004B3D8B">
        <w:rPr>
          <w:rFonts w:cs="Arial"/>
          <w:sz w:val="22"/>
          <w:lang w:val="en-US"/>
        </w:rPr>
        <w:t xml:space="preserve"> software (Version 10.10.1, </w:t>
      </w:r>
      <w:proofErr w:type="spellStart"/>
      <w:r w:rsidRPr="004B3D8B">
        <w:rPr>
          <w:rFonts w:cs="Arial"/>
          <w:sz w:val="22"/>
          <w:lang w:val="en-US"/>
        </w:rPr>
        <w:t>FlowJo</w:t>
      </w:r>
      <w:proofErr w:type="spellEnd"/>
      <w:r w:rsidRPr="004B3D8B">
        <w:rPr>
          <w:rFonts w:cs="Arial"/>
          <w:sz w:val="22"/>
          <w:lang w:val="en-US"/>
        </w:rPr>
        <w:t xml:space="preserve"> LLC, </w:t>
      </w:r>
      <w:r w:rsidR="007D3E74" w:rsidRPr="004B3D8B">
        <w:rPr>
          <w:rFonts w:cs="Arial"/>
          <w:sz w:val="22"/>
          <w:lang w:val="en-US"/>
        </w:rPr>
        <w:t xml:space="preserve">Ashland, OR, </w:t>
      </w:r>
      <w:r w:rsidRPr="004B3D8B">
        <w:rPr>
          <w:rFonts w:cs="Arial"/>
          <w:sz w:val="22"/>
          <w:lang w:val="en-US"/>
        </w:rPr>
        <w:t>USA). Antibody staining panels and gating strategies were adapted according to the specific experimental design.</w:t>
      </w:r>
    </w:p>
    <w:p w14:paraId="46DCC529" w14:textId="77777777" w:rsidR="004B3D8B" w:rsidRPr="004B3D8B" w:rsidRDefault="004B3D8B" w:rsidP="004B3D8B">
      <w:pPr>
        <w:spacing w:line="480" w:lineRule="auto"/>
        <w:jc w:val="both"/>
        <w:rPr>
          <w:rFonts w:cs="Arial"/>
          <w:sz w:val="22"/>
          <w:lang w:val="en-US"/>
        </w:rPr>
      </w:pPr>
    </w:p>
    <w:p w14:paraId="3B5EADE0" w14:textId="77777777" w:rsidR="00507E71" w:rsidRPr="004B3D8B" w:rsidRDefault="00507E71" w:rsidP="004B3D8B">
      <w:pPr>
        <w:pStyle w:val="Head3"/>
        <w:spacing w:line="480" w:lineRule="auto"/>
        <w:rPr>
          <w:rFonts w:cs="Arial"/>
          <w:b w:val="0"/>
          <w:bCs w:val="0"/>
          <w:szCs w:val="22"/>
        </w:rPr>
      </w:pPr>
      <w:bookmarkStart w:id="15" w:name="_Toc234394143"/>
      <w:r w:rsidRPr="004B3D8B">
        <w:rPr>
          <w:rFonts w:cs="Arial"/>
          <w:b w:val="0"/>
          <w:bCs w:val="0"/>
          <w:szCs w:val="22"/>
        </w:rPr>
        <w:t>In vivo studies</w:t>
      </w:r>
      <w:bookmarkEnd w:id="15"/>
    </w:p>
    <w:p w14:paraId="3A413873" w14:textId="77777777" w:rsidR="00507E71" w:rsidRPr="004B3D8B" w:rsidRDefault="00507E71" w:rsidP="004B3D8B">
      <w:pPr>
        <w:spacing w:line="480" w:lineRule="auto"/>
        <w:jc w:val="both"/>
        <w:rPr>
          <w:rFonts w:cs="Arial"/>
          <w:sz w:val="22"/>
          <w:lang w:val="en-US"/>
        </w:rPr>
      </w:pPr>
      <w:r w:rsidRPr="004B3D8B">
        <w:rPr>
          <w:rFonts w:cs="Arial"/>
          <w:sz w:val="22"/>
          <w:lang w:val="en-US"/>
        </w:rPr>
        <w:t>NSG (</w:t>
      </w:r>
      <w:proofErr w:type="spellStart"/>
      <w:r w:rsidRPr="004B3D8B">
        <w:rPr>
          <w:rFonts w:cs="Arial"/>
          <w:sz w:val="22"/>
          <w:lang w:val="en-US"/>
        </w:rPr>
        <w:t>NOD.Cg-Prkdc</w:t>
      </w:r>
      <w:r w:rsidRPr="004B3D8B">
        <w:rPr>
          <w:rFonts w:cs="Arial"/>
          <w:sz w:val="22"/>
          <w:vertAlign w:val="superscript"/>
          <w:lang w:val="en-US"/>
        </w:rPr>
        <w:t>scid</w:t>
      </w:r>
      <w:proofErr w:type="spellEnd"/>
      <w:r w:rsidRPr="004B3D8B">
        <w:rPr>
          <w:rFonts w:cs="Arial"/>
          <w:sz w:val="22"/>
          <w:lang w:val="en-US"/>
        </w:rPr>
        <w:t> Il2rg</w:t>
      </w:r>
      <w:r w:rsidRPr="004B3D8B">
        <w:rPr>
          <w:rFonts w:cs="Arial"/>
          <w:sz w:val="22"/>
          <w:vertAlign w:val="superscript"/>
          <w:lang w:val="en-US"/>
        </w:rPr>
        <w:t>tm1Wjl</w:t>
      </w:r>
      <w:r w:rsidRPr="004B3D8B">
        <w:rPr>
          <w:rFonts w:cs="Arial"/>
          <w:sz w:val="22"/>
          <w:lang w:val="en-US"/>
        </w:rPr>
        <w:t>/</w:t>
      </w:r>
      <w:proofErr w:type="spellStart"/>
      <w:r w:rsidRPr="004B3D8B">
        <w:rPr>
          <w:rFonts w:cs="Arial"/>
          <w:sz w:val="22"/>
          <w:lang w:val="en-US"/>
        </w:rPr>
        <w:t>SzJ</w:t>
      </w:r>
      <w:proofErr w:type="spellEnd"/>
      <w:r w:rsidRPr="004B3D8B">
        <w:rPr>
          <w:rFonts w:cs="Arial"/>
          <w:sz w:val="22"/>
          <w:lang w:val="en-US"/>
        </w:rPr>
        <w:t xml:space="preserve">) mice were used for all in vivo experiments. Animals were housed at the Laboratory Animal Service Center in Schlieren, Switzerland. All procedures were conducted in accordance with procedures approved by the </w:t>
      </w:r>
      <w:proofErr w:type="spellStart"/>
      <w:r w:rsidRPr="004B3D8B">
        <w:rPr>
          <w:rFonts w:cs="Arial"/>
          <w:sz w:val="22"/>
          <w:lang w:val="en-US"/>
        </w:rPr>
        <w:t>Veterinäramt</w:t>
      </w:r>
      <w:proofErr w:type="spellEnd"/>
      <w:r w:rsidRPr="004B3D8B">
        <w:rPr>
          <w:rFonts w:cs="Arial"/>
          <w:sz w:val="22"/>
          <w:lang w:val="en-US"/>
        </w:rPr>
        <w:t xml:space="preserve"> des </w:t>
      </w:r>
      <w:proofErr w:type="spellStart"/>
      <w:r w:rsidRPr="004B3D8B">
        <w:rPr>
          <w:rFonts w:cs="Arial"/>
          <w:sz w:val="22"/>
          <w:lang w:val="en-US"/>
        </w:rPr>
        <w:t>Kantons</w:t>
      </w:r>
      <w:proofErr w:type="spellEnd"/>
      <w:r w:rsidRPr="004B3D8B">
        <w:rPr>
          <w:rFonts w:cs="Arial"/>
          <w:sz w:val="22"/>
          <w:lang w:val="en-US"/>
        </w:rPr>
        <w:t xml:space="preserve"> Zürich, Switzerland (license number 121/2022). </w:t>
      </w:r>
    </w:p>
    <w:p w14:paraId="731F77F4" w14:textId="72F63252" w:rsidR="00507E71" w:rsidRPr="004B3D8B" w:rsidRDefault="00507E71" w:rsidP="004B3D8B">
      <w:pPr>
        <w:spacing w:line="480" w:lineRule="auto"/>
        <w:jc w:val="both"/>
        <w:rPr>
          <w:rFonts w:cs="Arial"/>
          <w:sz w:val="22"/>
          <w:lang w:val="en-US"/>
        </w:rPr>
      </w:pPr>
      <w:r w:rsidRPr="004B3D8B">
        <w:rPr>
          <w:rFonts w:cs="Arial"/>
          <w:sz w:val="22"/>
          <w:lang w:val="en-US"/>
        </w:rPr>
        <w:t xml:space="preserve">For humanization, mice were </w:t>
      </w:r>
      <w:r w:rsidRPr="004B3D8B">
        <w:rPr>
          <w:rFonts w:cs="Arial"/>
          <w:color w:val="000000" w:themeColor="text1"/>
          <w:sz w:val="22"/>
          <w:lang w:val="en-US"/>
        </w:rPr>
        <w:t xml:space="preserve">irradiated with 100 </w:t>
      </w:r>
      <w:proofErr w:type="spellStart"/>
      <w:r w:rsidRPr="004B3D8B">
        <w:rPr>
          <w:rFonts w:cs="Arial"/>
          <w:color w:val="000000" w:themeColor="text1"/>
          <w:sz w:val="22"/>
          <w:lang w:val="en-US"/>
        </w:rPr>
        <w:t>cGy</w:t>
      </w:r>
      <w:proofErr w:type="spellEnd"/>
      <w:r w:rsidRPr="004B3D8B">
        <w:rPr>
          <w:rFonts w:cs="Arial"/>
          <w:color w:val="000000" w:themeColor="text1"/>
          <w:sz w:val="22"/>
          <w:lang w:val="en-US"/>
        </w:rPr>
        <w:t xml:space="preserve"> at 15 weeks of age and injected </w:t>
      </w:r>
      <w:r w:rsidR="00AA1CB5" w:rsidRPr="004B3D8B">
        <w:rPr>
          <w:rFonts w:cs="Arial"/>
          <w:sz w:val="22"/>
          <w:lang w:val="en-US"/>
        </w:rPr>
        <w:t>intravenously (</w:t>
      </w:r>
      <w:proofErr w:type="spellStart"/>
      <w:r w:rsidR="00AA1CB5" w:rsidRPr="004B3D8B">
        <w:rPr>
          <w:rFonts w:cs="Arial"/>
          <w:sz w:val="22"/>
          <w:lang w:val="en-US"/>
        </w:rPr>
        <w:t>i.v.</w:t>
      </w:r>
      <w:proofErr w:type="spellEnd"/>
      <w:r w:rsidR="00AA1CB5" w:rsidRPr="004B3D8B">
        <w:rPr>
          <w:rFonts w:cs="Arial"/>
          <w:sz w:val="22"/>
          <w:lang w:val="en-US"/>
        </w:rPr>
        <w:t>)</w:t>
      </w:r>
      <w:r w:rsidRPr="004B3D8B">
        <w:rPr>
          <w:rFonts w:cs="Arial"/>
          <w:color w:val="000000" w:themeColor="text1"/>
          <w:sz w:val="22"/>
          <w:lang w:val="en-US"/>
        </w:rPr>
        <w:t xml:space="preserve"> with 0.1 × 10</w:t>
      </w:r>
      <w:r w:rsidRPr="004B3D8B">
        <w:rPr>
          <w:rFonts w:cs="Arial"/>
          <w:color w:val="000000" w:themeColor="text1"/>
          <w:sz w:val="22"/>
          <w:vertAlign w:val="superscript"/>
          <w:lang w:val="en-US"/>
        </w:rPr>
        <w:t>6</w:t>
      </w:r>
      <w:r w:rsidRPr="004B3D8B">
        <w:rPr>
          <w:rFonts w:cs="Arial"/>
          <w:color w:val="000000" w:themeColor="text1"/>
          <w:sz w:val="22"/>
          <w:lang w:val="en-US"/>
        </w:rPr>
        <w:t xml:space="preserve"> hCD34</w:t>
      </w:r>
      <w:r w:rsidRPr="004B3D8B">
        <w:rPr>
          <w:rFonts w:cs="Arial"/>
          <w:color w:val="000000" w:themeColor="text1"/>
          <w:sz w:val="22"/>
          <w:vertAlign w:val="superscript"/>
          <w:lang w:val="en-US"/>
        </w:rPr>
        <w:t>+</w:t>
      </w:r>
      <w:r w:rsidRPr="004B3D8B">
        <w:rPr>
          <w:rFonts w:cs="Arial"/>
          <w:color w:val="000000" w:themeColor="text1"/>
          <w:sz w:val="22"/>
          <w:lang w:val="en-US"/>
        </w:rPr>
        <w:t xml:space="preserve"> umbilical cord blood cells. Development </w:t>
      </w:r>
      <w:r w:rsidRPr="004B3D8B">
        <w:rPr>
          <w:rFonts w:cs="Arial"/>
          <w:sz w:val="22"/>
          <w:lang w:val="en-US"/>
        </w:rPr>
        <w:t xml:space="preserve">of human hematopoietic chimerism was monitored by flow cytometric analysis of PB samples. </w:t>
      </w:r>
    </w:p>
    <w:p w14:paraId="1949C63A" w14:textId="17C6F291" w:rsidR="00507E71" w:rsidRPr="004B3D8B" w:rsidRDefault="00507E71" w:rsidP="004B3D8B">
      <w:pPr>
        <w:spacing w:line="480" w:lineRule="auto"/>
        <w:jc w:val="both"/>
        <w:rPr>
          <w:rFonts w:cs="Arial"/>
          <w:sz w:val="22"/>
          <w:lang w:val="en-US"/>
        </w:rPr>
      </w:pPr>
      <w:r w:rsidRPr="004B3D8B">
        <w:rPr>
          <w:rFonts w:cs="Arial"/>
          <w:sz w:val="22"/>
          <w:lang w:val="en-US"/>
        </w:rPr>
        <w:t xml:space="preserve">For engraftment of AML cell lines or patient samples, adult mice (6-10 weeks of age) received sub-lethal irradiation (100 </w:t>
      </w:r>
      <w:proofErr w:type="spellStart"/>
      <w:r w:rsidRPr="004B3D8B">
        <w:rPr>
          <w:rFonts w:cs="Arial"/>
          <w:sz w:val="22"/>
          <w:lang w:val="en-US"/>
        </w:rPr>
        <w:t>cGy</w:t>
      </w:r>
      <w:proofErr w:type="spellEnd"/>
      <w:r w:rsidRPr="004B3D8B">
        <w:rPr>
          <w:rFonts w:cs="Arial"/>
          <w:sz w:val="22"/>
          <w:lang w:val="en-US"/>
        </w:rPr>
        <w:t xml:space="preserve">) using an RS-2000 irradiator (Rad Source, USA) and were injected </w:t>
      </w:r>
      <w:proofErr w:type="spellStart"/>
      <w:r w:rsidR="00AA1CB5" w:rsidRPr="004B3D8B">
        <w:rPr>
          <w:rFonts w:cs="Arial"/>
          <w:color w:val="000000" w:themeColor="text1"/>
          <w:sz w:val="22"/>
          <w:lang w:val="en-US"/>
        </w:rPr>
        <w:t>i.v</w:t>
      </w:r>
      <w:proofErr w:type="spellEnd"/>
      <w:r w:rsidR="00AA1CB5" w:rsidRPr="004B3D8B" w:rsidDel="00AA1CB5">
        <w:rPr>
          <w:rFonts w:cs="Arial"/>
          <w:sz w:val="22"/>
          <w:lang w:val="en-US"/>
        </w:rPr>
        <w:t xml:space="preserve"> </w:t>
      </w:r>
      <w:r w:rsidRPr="004B3D8B">
        <w:rPr>
          <w:rFonts w:cs="Arial"/>
          <w:sz w:val="22"/>
          <w:lang w:val="en-US"/>
        </w:rPr>
        <w:t>with target cells 4-8 hours later. Depending on the leukemia, 0.1 × 10</w:t>
      </w:r>
      <w:r w:rsidRPr="004B3D8B">
        <w:rPr>
          <w:rFonts w:cs="Arial"/>
          <w:sz w:val="22"/>
          <w:vertAlign w:val="superscript"/>
          <w:lang w:val="en-US"/>
        </w:rPr>
        <w:t>6</w:t>
      </w:r>
      <w:r w:rsidRPr="004B3D8B">
        <w:rPr>
          <w:rFonts w:cs="Arial"/>
          <w:sz w:val="22"/>
          <w:lang w:val="en-US"/>
        </w:rPr>
        <w:t> cells (MOLM14), 1 × 10</w:t>
      </w:r>
      <w:r w:rsidRPr="004B3D8B">
        <w:rPr>
          <w:rFonts w:cs="Arial"/>
          <w:sz w:val="22"/>
          <w:vertAlign w:val="superscript"/>
          <w:lang w:val="en-US"/>
        </w:rPr>
        <w:t>6</w:t>
      </w:r>
      <w:r w:rsidRPr="004B3D8B">
        <w:rPr>
          <w:rFonts w:cs="Arial"/>
          <w:sz w:val="22"/>
          <w:lang w:val="en-US"/>
        </w:rPr>
        <w:t> cells (THP1)</w:t>
      </w:r>
      <w:r w:rsidR="001B5350">
        <w:rPr>
          <w:rFonts w:cs="Arial"/>
          <w:sz w:val="22"/>
          <w:lang w:val="en-US"/>
        </w:rPr>
        <w:t>,</w:t>
      </w:r>
      <w:r w:rsidRPr="004B3D8B">
        <w:rPr>
          <w:rFonts w:cs="Arial"/>
          <w:sz w:val="22"/>
          <w:lang w:val="en-US"/>
        </w:rPr>
        <w:t xml:space="preserve"> or up to 5 × 10</w:t>
      </w:r>
      <w:r w:rsidRPr="004B3D8B">
        <w:rPr>
          <w:rFonts w:cs="Arial"/>
          <w:sz w:val="22"/>
          <w:vertAlign w:val="superscript"/>
          <w:lang w:val="en-US"/>
        </w:rPr>
        <w:t>6</w:t>
      </w:r>
      <w:r w:rsidRPr="004B3D8B">
        <w:rPr>
          <w:rFonts w:cs="Arial"/>
          <w:sz w:val="22"/>
          <w:lang w:val="en-US"/>
        </w:rPr>
        <w:t xml:space="preserve"> cells (patient samples) were injected. </w:t>
      </w:r>
    </w:p>
    <w:p w14:paraId="2BCB0BAB" w14:textId="2E8AC681" w:rsidR="00507E71" w:rsidRPr="004B3D8B" w:rsidRDefault="00507E71" w:rsidP="004B3D8B">
      <w:pPr>
        <w:spacing w:line="480" w:lineRule="auto"/>
        <w:jc w:val="both"/>
        <w:rPr>
          <w:rFonts w:cs="Arial"/>
          <w:sz w:val="22"/>
          <w:lang w:val="en-US"/>
        </w:rPr>
      </w:pPr>
      <w:r w:rsidRPr="004B3D8B">
        <w:rPr>
          <w:rFonts w:cs="Arial"/>
          <w:sz w:val="22"/>
          <w:lang w:val="en-US"/>
        </w:rPr>
        <w:lastRenderedPageBreak/>
        <w:t xml:space="preserve">Engraftment of luciferase-expressing leukemia cell lines was monitored by bioluminescence imaging following intraperitoneal administration of D-luciferin (150 mg/kg bodyweight) (#122799-100MG, </w:t>
      </w:r>
      <w:proofErr w:type="spellStart"/>
      <w:r w:rsidR="001B5350">
        <w:rPr>
          <w:rFonts w:cs="Arial"/>
          <w:sz w:val="22"/>
          <w:lang w:val="en-US"/>
        </w:rPr>
        <w:t>R</w:t>
      </w:r>
      <w:r w:rsidRPr="004B3D8B">
        <w:rPr>
          <w:rFonts w:cs="Arial"/>
          <w:sz w:val="22"/>
          <w:lang w:val="en-US"/>
        </w:rPr>
        <w:t>evvity</w:t>
      </w:r>
      <w:proofErr w:type="spellEnd"/>
      <w:r w:rsidR="007D3E74" w:rsidRPr="004B3D8B">
        <w:rPr>
          <w:rFonts w:cs="Arial"/>
          <w:sz w:val="22"/>
          <w:lang w:val="en-US"/>
        </w:rPr>
        <w:t>, Waltham, MA, USA</w:t>
      </w:r>
      <w:r w:rsidRPr="004B3D8B">
        <w:rPr>
          <w:rFonts w:cs="Arial"/>
          <w:sz w:val="22"/>
          <w:lang w:val="en-US"/>
        </w:rPr>
        <w:t>). Signal acquisition was performed using an IVIS Lumina III (Perkin Elmer</w:t>
      </w:r>
      <w:r w:rsidR="007D3E74" w:rsidRPr="004B3D8B">
        <w:rPr>
          <w:rFonts w:cs="Arial"/>
          <w:sz w:val="22"/>
          <w:lang w:val="en-US"/>
        </w:rPr>
        <w:t>, Waltham, MA, USA</w:t>
      </w:r>
      <w:r w:rsidRPr="004B3D8B">
        <w:rPr>
          <w:rFonts w:cs="Arial"/>
          <w:sz w:val="22"/>
          <w:lang w:val="en-US"/>
        </w:rPr>
        <w:t xml:space="preserve">) imaging system and analyzed with the Living Image 149 Software. For patient-derived samples, engraftment was monitored by biweekly flow cytometric analysis of human CD45 expression in PB. For therapeutic studies, mice exhibiting detectable leukemia engraftment received </w:t>
      </w:r>
      <w:proofErr w:type="spellStart"/>
      <w:r w:rsidRPr="004B3D8B">
        <w:rPr>
          <w:rFonts w:cs="Arial"/>
          <w:sz w:val="22"/>
          <w:lang w:val="en-US"/>
        </w:rPr>
        <w:t>i.v.</w:t>
      </w:r>
      <w:proofErr w:type="spellEnd"/>
      <w:r w:rsidRPr="004B3D8B">
        <w:rPr>
          <w:rFonts w:cs="Arial"/>
          <w:sz w:val="22"/>
          <w:lang w:val="en-US"/>
        </w:rPr>
        <w:t xml:space="preserve"> administration of either CAR T- or NT T cells. The number of infused CAR T cells varied according to the experimental design and is indicated in the corresponding legends.</w:t>
      </w:r>
    </w:p>
    <w:p w14:paraId="278B779D" w14:textId="16F3F15C" w:rsidR="00507E71" w:rsidRPr="004B3D8B" w:rsidRDefault="00507E71" w:rsidP="004B3D8B">
      <w:pPr>
        <w:spacing w:line="480" w:lineRule="auto"/>
        <w:jc w:val="both"/>
        <w:rPr>
          <w:rFonts w:cs="Arial"/>
          <w:sz w:val="22"/>
          <w:lang w:val="en-US"/>
        </w:rPr>
      </w:pPr>
      <w:r w:rsidRPr="004B3D8B">
        <w:rPr>
          <w:rFonts w:cs="Arial"/>
          <w:sz w:val="22"/>
          <w:lang w:val="en-US"/>
        </w:rPr>
        <w:t xml:space="preserve">All mice were monitored closely throughout the study and euthanized upon reaching pre-defined humane endpoint or completion of the experimental period. </w:t>
      </w:r>
      <w:r w:rsidRPr="004B3D8B">
        <w:rPr>
          <w:rFonts w:cs="Arial"/>
          <w:color w:val="000000" w:themeColor="text1"/>
          <w:sz w:val="22"/>
          <w:lang w:val="en-US"/>
        </w:rPr>
        <w:t>After irradiation, mice received antibiotics containing water for at least four weeks. Unless otherwise ind</w:t>
      </w:r>
      <w:r w:rsidRPr="004B3D8B">
        <w:rPr>
          <w:rFonts w:cs="Arial"/>
          <w:sz w:val="22"/>
          <w:lang w:val="en-US"/>
        </w:rPr>
        <w:t xml:space="preserve">icated, PB, BM and spleen samples were collected at necropsy and analyzed by flow cytometry. For </w:t>
      </w:r>
      <w:r w:rsidR="00922BEF">
        <w:rPr>
          <w:rFonts w:cs="Arial"/>
          <w:sz w:val="22"/>
          <w:lang w:val="en-US"/>
        </w:rPr>
        <w:t xml:space="preserve">the </w:t>
      </w:r>
      <w:r w:rsidRPr="004B3D8B">
        <w:rPr>
          <w:rFonts w:cs="Arial"/>
          <w:sz w:val="22"/>
          <w:lang w:val="en-US"/>
        </w:rPr>
        <w:t>establishment of PDX samples, BM and spleen tissues were harvested under sterile conditions and cryopreserved for further use.</w:t>
      </w:r>
    </w:p>
    <w:p w14:paraId="7016161A" w14:textId="77777777" w:rsidR="00E512A9" w:rsidRPr="004B3D8B" w:rsidRDefault="00E512A9" w:rsidP="004B3D8B">
      <w:pPr>
        <w:spacing w:line="480" w:lineRule="auto"/>
        <w:rPr>
          <w:rFonts w:cs="Arial"/>
          <w:b/>
          <w:bCs/>
          <w:sz w:val="22"/>
          <w:lang w:val="en-US"/>
        </w:rPr>
      </w:pPr>
      <w:r w:rsidRPr="004B3D8B">
        <w:rPr>
          <w:rFonts w:cs="Arial"/>
          <w:sz w:val="22"/>
          <w:lang w:val="en-US"/>
        </w:rPr>
        <w:br w:type="page"/>
      </w:r>
    </w:p>
    <w:p w14:paraId="4600900E" w14:textId="77777777" w:rsidR="00E94E27" w:rsidRPr="004B3D8B" w:rsidRDefault="00E94E27" w:rsidP="00E94E27">
      <w:pPr>
        <w:pStyle w:val="berschrift1"/>
        <w:spacing w:line="480" w:lineRule="auto"/>
        <w:rPr>
          <w:rFonts w:cs="Arial"/>
          <w:sz w:val="22"/>
          <w:szCs w:val="22"/>
          <w:lang w:val="en-US"/>
        </w:rPr>
      </w:pPr>
      <w:bookmarkStart w:id="16" w:name="_Toc237907083"/>
      <w:r w:rsidRPr="004B3D8B">
        <w:rPr>
          <w:rFonts w:cs="Arial"/>
          <w:sz w:val="22"/>
          <w:szCs w:val="22"/>
          <w:lang w:val="en-US"/>
        </w:rPr>
        <w:lastRenderedPageBreak/>
        <w:t>Supplementary Table 1</w:t>
      </w:r>
      <w:bookmarkEnd w:id="16"/>
    </w:p>
    <w:p w14:paraId="1EA33D3C" w14:textId="6D884326" w:rsidR="00E94E27" w:rsidRPr="007C1F1D" w:rsidRDefault="00E94E27" w:rsidP="00E94E27">
      <w:pPr>
        <w:pStyle w:val="Beschriftung"/>
        <w:keepNext/>
        <w:spacing w:line="480" w:lineRule="auto"/>
        <w:rPr>
          <w:rFonts w:cs="Arial"/>
          <w:i w:val="0"/>
          <w:iCs w:val="0"/>
          <w:color w:val="auto"/>
          <w:sz w:val="22"/>
          <w:szCs w:val="22"/>
          <w:lang w:val="en-US"/>
        </w:rPr>
      </w:pPr>
      <w:r w:rsidRPr="00B75DDC">
        <w:rPr>
          <w:rFonts w:cs="Arial"/>
          <w:i w:val="0"/>
          <w:iCs w:val="0"/>
          <w:color w:val="auto"/>
          <w:sz w:val="22"/>
          <w:szCs w:val="22"/>
          <w:lang w:val="en-US"/>
        </w:rPr>
        <w:t>Table S</w:t>
      </w:r>
      <w:r w:rsidRPr="00B75DDC">
        <w:rPr>
          <w:rFonts w:cs="Arial"/>
          <w:i w:val="0"/>
          <w:iCs w:val="0"/>
          <w:color w:val="auto"/>
          <w:sz w:val="22"/>
          <w:szCs w:val="22"/>
        </w:rPr>
        <w:fldChar w:fldCharType="begin"/>
      </w:r>
      <w:r w:rsidRPr="00B75DDC">
        <w:rPr>
          <w:rFonts w:cs="Arial"/>
          <w:i w:val="0"/>
          <w:iCs w:val="0"/>
          <w:color w:val="auto"/>
          <w:sz w:val="22"/>
          <w:szCs w:val="22"/>
          <w:lang w:val="en-US"/>
        </w:rPr>
        <w:instrText xml:space="preserve"> SEQ Tabelle \* ARABIC </w:instrText>
      </w:r>
      <w:r w:rsidRPr="00B75DDC">
        <w:rPr>
          <w:rFonts w:cs="Arial"/>
          <w:i w:val="0"/>
          <w:iCs w:val="0"/>
          <w:color w:val="auto"/>
          <w:sz w:val="22"/>
          <w:szCs w:val="22"/>
        </w:rPr>
        <w:fldChar w:fldCharType="separate"/>
      </w:r>
      <w:r w:rsidRPr="00B75DDC">
        <w:rPr>
          <w:rFonts w:cs="Arial"/>
          <w:i w:val="0"/>
          <w:iCs w:val="0"/>
          <w:noProof/>
          <w:color w:val="auto"/>
          <w:sz w:val="22"/>
          <w:szCs w:val="22"/>
          <w:lang w:val="en-US"/>
        </w:rPr>
        <w:t>1</w:t>
      </w:r>
      <w:r w:rsidRPr="00B75DDC">
        <w:rPr>
          <w:rFonts w:cs="Arial"/>
          <w:i w:val="0"/>
          <w:iCs w:val="0"/>
          <w:color w:val="auto"/>
          <w:sz w:val="22"/>
          <w:szCs w:val="22"/>
        </w:rPr>
        <w:fldChar w:fldCharType="end"/>
      </w:r>
      <w:r w:rsidR="00B75DDC" w:rsidRPr="00B75DDC">
        <w:rPr>
          <w:rFonts w:cs="Arial"/>
          <w:i w:val="0"/>
          <w:iCs w:val="0"/>
          <w:color w:val="auto"/>
          <w:sz w:val="22"/>
          <w:szCs w:val="22"/>
          <w:lang w:val="en-US"/>
        </w:rPr>
        <w:t>:</w:t>
      </w:r>
      <w:r w:rsidRPr="007C1F1D">
        <w:rPr>
          <w:rFonts w:cs="Arial"/>
          <w:b/>
          <w:bCs/>
          <w:i w:val="0"/>
          <w:iCs w:val="0"/>
          <w:color w:val="auto"/>
          <w:sz w:val="22"/>
          <w:szCs w:val="22"/>
          <w:lang w:val="en-US"/>
        </w:rPr>
        <w:t xml:space="preserve"> </w:t>
      </w:r>
      <w:r w:rsidRPr="007C1F1D">
        <w:rPr>
          <w:rFonts w:cs="Arial"/>
          <w:i w:val="0"/>
          <w:iCs w:val="0"/>
          <w:color w:val="auto"/>
          <w:sz w:val="22"/>
          <w:szCs w:val="22"/>
          <w:lang w:val="en-US"/>
        </w:rPr>
        <w:t>Patient demographics and clinical characteristics</w:t>
      </w:r>
    </w:p>
    <w:tbl>
      <w:tblPr>
        <w:tblW w:w="9629" w:type="dxa"/>
        <w:tblCellMar>
          <w:left w:w="70" w:type="dxa"/>
          <w:right w:w="70" w:type="dxa"/>
        </w:tblCellMar>
        <w:tblLook w:val="04A0" w:firstRow="1" w:lastRow="0" w:firstColumn="1" w:lastColumn="0" w:noHBand="0" w:noVBand="1"/>
      </w:tblPr>
      <w:tblGrid>
        <w:gridCol w:w="1200"/>
        <w:gridCol w:w="1204"/>
        <w:gridCol w:w="7260"/>
      </w:tblGrid>
      <w:tr w:rsidR="00E94E27" w:rsidRPr="004B3D8B" w14:paraId="5C6F8B64" w14:textId="77777777" w:rsidTr="005349D8">
        <w:trPr>
          <w:trHeight w:val="780"/>
        </w:trPr>
        <w:tc>
          <w:tcPr>
            <w:tcW w:w="1200" w:type="dxa"/>
            <w:tcBorders>
              <w:top w:val="single" w:sz="8" w:space="0" w:color="auto"/>
              <w:left w:val="single" w:sz="8" w:space="0" w:color="auto"/>
              <w:bottom w:val="nil"/>
              <w:right w:val="single" w:sz="8" w:space="0" w:color="auto"/>
            </w:tcBorders>
            <w:shd w:val="clear" w:color="auto" w:fill="F2F2F2" w:themeFill="background1" w:themeFillShade="F2"/>
            <w:noWrap/>
            <w:vAlign w:val="center"/>
            <w:hideMark/>
          </w:tcPr>
          <w:p w14:paraId="7770F099" w14:textId="77777777" w:rsidR="00E94E27" w:rsidRPr="004B3D8B" w:rsidRDefault="00E94E27" w:rsidP="005349D8">
            <w:pPr>
              <w:spacing w:after="0" w:line="480" w:lineRule="auto"/>
              <w:jc w:val="center"/>
              <w:rPr>
                <w:rFonts w:eastAsia="Times New Roman" w:cs="Arial"/>
                <w:b/>
                <w:bCs/>
                <w:color w:val="000000"/>
                <w:kern w:val="0"/>
                <w:sz w:val="22"/>
                <w:lang w:eastAsia="de-CH"/>
                <w14:ligatures w14:val="none"/>
              </w:rPr>
            </w:pPr>
            <w:r w:rsidRPr="004B3D8B">
              <w:rPr>
                <w:rFonts w:eastAsia="Times New Roman" w:cs="Arial"/>
                <w:b/>
                <w:bCs/>
                <w:color w:val="000000"/>
                <w:kern w:val="0"/>
                <w:sz w:val="22"/>
                <w:lang w:eastAsia="de-CH"/>
                <w14:ligatures w14:val="none"/>
              </w:rPr>
              <w:t>Sex</w:t>
            </w:r>
          </w:p>
        </w:tc>
        <w:tc>
          <w:tcPr>
            <w:tcW w:w="1169" w:type="dxa"/>
            <w:tcBorders>
              <w:top w:val="single" w:sz="8" w:space="0" w:color="auto"/>
              <w:left w:val="nil"/>
              <w:bottom w:val="nil"/>
              <w:right w:val="single" w:sz="8" w:space="0" w:color="auto"/>
            </w:tcBorders>
            <w:shd w:val="clear" w:color="auto" w:fill="F2F2F2" w:themeFill="background1" w:themeFillShade="F2"/>
            <w:vAlign w:val="center"/>
            <w:hideMark/>
          </w:tcPr>
          <w:p w14:paraId="42CB1A90" w14:textId="77777777" w:rsidR="00E94E27" w:rsidRPr="004B3D8B" w:rsidRDefault="00E94E27" w:rsidP="005349D8">
            <w:pPr>
              <w:spacing w:after="0" w:line="480" w:lineRule="auto"/>
              <w:jc w:val="center"/>
              <w:rPr>
                <w:rFonts w:eastAsia="Times New Roman" w:cs="Arial"/>
                <w:b/>
                <w:bCs/>
                <w:color w:val="000000"/>
                <w:kern w:val="0"/>
                <w:sz w:val="22"/>
                <w:lang w:eastAsia="de-CH"/>
                <w14:ligatures w14:val="none"/>
              </w:rPr>
            </w:pPr>
            <w:r w:rsidRPr="004B3D8B">
              <w:rPr>
                <w:rFonts w:eastAsia="Times New Roman" w:cs="Arial"/>
                <w:b/>
                <w:bCs/>
                <w:color w:val="000000"/>
                <w:kern w:val="0"/>
                <w:sz w:val="22"/>
                <w:lang w:eastAsia="de-CH"/>
                <w14:ligatures w14:val="none"/>
              </w:rPr>
              <w:t xml:space="preserve">Age at Sample </w:t>
            </w:r>
            <w:r w:rsidRPr="004B3D8B">
              <w:rPr>
                <w:rFonts w:eastAsia="Times New Roman" w:cs="Arial"/>
                <w:b/>
                <w:bCs/>
                <w:color w:val="000000"/>
                <w:kern w:val="0"/>
                <w:sz w:val="22"/>
                <w:lang w:eastAsia="de-CH"/>
                <w14:ligatures w14:val="none"/>
              </w:rPr>
              <w:br/>
              <w:t>Collection</w:t>
            </w:r>
          </w:p>
        </w:tc>
        <w:tc>
          <w:tcPr>
            <w:tcW w:w="7260" w:type="dxa"/>
            <w:tcBorders>
              <w:top w:val="single" w:sz="8" w:space="0" w:color="auto"/>
              <w:left w:val="nil"/>
              <w:bottom w:val="nil"/>
              <w:right w:val="single" w:sz="8" w:space="0" w:color="auto"/>
            </w:tcBorders>
            <w:shd w:val="clear" w:color="auto" w:fill="F2F2F2" w:themeFill="background1" w:themeFillShade="F2"/>
            <w:vAlign w:val="center"/>
            <w:hideMark/>
          </w:tcPr>
          <w:p w14:paraId="04C6DF42" w14:textId="77777777" w:rsidR="00E94E27" w:rsidRPr="004B3D8B" w:rsidRDefault="00E94E27" w:rsidP="005349D8">
            <w:pPr>
              <w:spacing w:after="0" w:line="480" w:lineRule="auto"/>
              <w:jc w:val="center"/>
              <w:rPr>
                <w:rFonts w:eastAsia="Times New Roman" w:cs="Arial"/>
                <w:b/>
                <w:bCs/>
                <w:color w:val="000000"/>
                <w:kern w:val="0"/>
                <w:sz w:val="22"/>
                <w:lang w:eastAsia="de-CH"/>
                <w14:ligatures w14:val="none"/>
              </w:rPr>
            </w:pPr>
            <w:proofErr w:type="gramStart"/>
            <w:r w:rsidRPr="004B3D8B">
              <w:rPr>
                <w:rFonts w:eastAsia="Times New Roman" w:cs="Arial"/>
                <w:b/>
                <w:bCs/>
                <w:color w:val="000000"/>
                <w:kern w:val="0"/>
                <w:sz w:val="22"/>
                <w:lang w:eastAsia="de-CH"/>
                <w14:ligatures w14:val="none"/>
              </w:rPr>
              <w:t>WHO Diagnosis</w:t>
            </w:r>
            <w:proofErr w:type="gramEnd"/>
          </w:p>
        </w:tc>
      </w:tr>
      <w:tr w:rsidR="00E94E27" w:rsidRPr="00513328" w14:paraId="32CCFA3C" w14:textId="77777777" w:rsidTr="005349D8">
        <w:trPr>
          <w:trHeight w:val="255"/>
        </w:trPr>
        <w:tc>
          <w:tcPr>
            <w:tcW w:w="1200" w:type="dxa"/>
            <w:tcBorders>
              <w:top w:val="single" w:sz="8" w:space="0" w:color="auto"/>
              <w:left w:val="single" w:sz="4" w:space="0" w:color="auto"/>
              <w:bottom w:val="single" w:sz="4" w:space="0" w:color="auto"/>
              <w:right w:val="single" w:sz="4" w:space="0" w:color="auto"/>
            </w:tcBorders>
            <w:noWrap/>
            <w:vAlign w:val="center"/>
            <w:hideMark/>
          </w:tcPr>
          <w:p w14:paraId="3E435FCF"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single" w:sz="8" w:space="0" w:color="auto"/>
              <w:left w:val="nil"/>
              <w:bottom w:val="single" w:sz="4" w:space="0" w:color="auto"/>
              <w:right w:val="single" w:sz="4" w:space="0" w:color="auto"/>
            </w:tcBorders>
            <w:noWrap/>
            <w:vAlign w:val="bottom"/>
            <w:hideMark/>
          </w:tcPr>
          <w:p w14:paraId="39BF51EE"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29</w:t>
            </w:r>
          </w:p>
        </w:tc>
        <w:tc>
          <w:tcPr>
            <w:tcW w:w="7260" w:type="dxa"/>
            <w:tcBorders>
              <w:top w:val="single" w:sz="8" w:space="0" w:color="auto"/>
              <w:left w:val="nil"/>
              <w:bottom w:val="single" w:sz="4" w:space="0" w:color="auto"/>
              <w:right w:val="single" w:sz="4" w:space="0" w:color="auto"/>
            </w:tcBorders>
            <w:noWrap/>
            <w:vAlign w:val="bottom"/>
            <w:hideMark/>
          </w:tcPr>
          <w:p w14:paraId="7BB6E71B" w14:textId="77777777" w:rsidR="00E94E27" w:rsidRPr="004B3D8B" w:rsidRDefault="00E94E27" w:rsidP="005349D8">
            <w:pPr>
              <w:spacing w:after="0" w:line="480" w:lineRule="auto"/>
              <w:jc w:val="center"/>
              <w:rPr>
                <w:rFonts w:eastAsia="Times New Roman" w:cs="Arial"/>
                <w:color w:val="000000"/>
                <w:kern w:val="0"/>
                <w:sz w:val="22"/>
                <w:lang w:val="en-US" w:eastAsia="de-CH"/>
                <w14:ligatures w14:val="none"/>
              </w:rPr>
            </w:pPr>
            <w:r w:rsidRPr="004B3D8B">
              <w:rPr>
                <w:rFonts w:eastAsia="Times New Roman" w:cs="Arial"/>
                <w:color w:val="000000"/>
                <w:kern w:val="0"/>
                <w:sz w:val="22"/>
                <w:lang w:val="en-US" w:eastAsia="de-CH"/>
                <w14:ligatures w14:val="none"/>
              </w:rPr>
              <w:t xml:space="preserve">AML with </w:t>
            </w:r>
            <w:proofErr w:type="gramStart"/>
            <w:r w:rsidRPr="004B3D8B">
              <w:rPr>
                <w:rFonts w:eastAsia="Times New Roman" w:cs="Arial"/>
                <w:color w:val="000000"/>
                <w:kern w:val="0"/>
                <w:sz w:val="22"/>
                <w:lang w:val="en-US" w:eastAsia="de-CH"/>
                <w14:ligatures w14:val="none"/>
              </w:rPr>
              <w:t>inv(16)(</w:t>
            </w:r>
            <w:proofErr w:type="gramEnd"/>
            <w:r w:rsidRPr="004B3D8B">
              <w:rPr>
                <w:rFonts w:eastAsia="Times New Roman" w:cs="Arial"/>
                <w:color w:val="000000"/>
                <w:kern w:val="0"/>
                <w:sz w:val="22"/>
                <w:lang w:val="en-US" w:eastAsia="de-CH"/>
                <w14:ligatures w14:val="none"/>
              </w:rPr>
              <w:t>p13.1q22) or t(16;</w:t>
            </w:r>
            <w:proofErr w:type="gramStart"/>
            <w:r w:rsidRPr="004B3D8B">
              <w:rPr>
                <w:rFonts w:eastAsia="Times New Roman" w:cs="Arial"/>
                <w:color w:val="000000"/>
                <w:kern w:val="0"/>
                <w:sz w:val="22"/>
                <w:lang w:val="en-US" w:eastAsia="de-CH"/>
                <w14:ligatures w14:val="none"/>
              </w:rPr>
              <w:t>16)(p13.1;q</w:t>
            </w:r>
            <w:proofErr w:type="gramEnd"/>
            <w:r w:rsidRPr="004B3D8B">
              <w:rPr>
                <w:rFonts w:eastAsia="Times New Roman" w:cs="Arial"/>
                <w:color w:val="000000"/>
                <w:kern w:val="0"/>
                <w:sz w:val="22"/>
                <w:lang w:val="en-US" w:eastAsia="de-CH"/>
                <w14:ligatures w14:val="none"/>
              </w:rPr>
              <w:t>22</w:t>
            </w:r>
            <w:proofErr w:type="gramStart"/>
            <w:r w:rsidRPr="004B3D8B">
              <w:rPr>
                <w:rFonts w:eastAsia="Times New Roman" w:cs="Arial"/>
                <w:color w:val="000000"/>
                <w:kern w:val="0"/>
                <w:sz w:val="22"/>
                <w:lang w:val="en-US" w:eastAsia="de-CH"/>
                <w14:ligatures w14:val="none"/>
              </w:rPr>
              <w:t>);CBFB</w:t>
            </w:r>
            <w:proofErr w:type="gramEnd"/>
            <w:r w:rsidRPr="004B3D8B">
              <w:rPr>
                <w:rFonts w:eastAsia="Times New Roman" w:cs="Arial"/>
                <w:color w:val="000000"/>
                <w:kern w:val="0"/>
                <w:sz w:val="22"/>
                <w:lang w:val="en-US" w:eastAsia="de-CH"/>
                <w14:ligatures w14:val="none"/>
              </w:rPr>
              <w:t>-MYH11</w:t>
            </w:r>
          </w:p>
        </w:tc>
      </w:tr>
      <w:tr w:rsidR="00E94E27" w:rsidRPr="00513328" w14:paraId="5E8EBA3C"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7CA89A59"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w</w:t>
            </w:r>
          </w:p>
        </w:tc>
        <w:tc>
          <w:tcPr>
            <w:tcW w:w="1169" w:type="dxa"/>
            <w:tcBorders>
              <w:top w:val="nil"/>
              <w:left w:val="nil"/>
              <w:bottom w:val="single" w:sz="4" w:space="0" w:color="auto"/>
              <w:right w:val="single" w:sz="4" w:space="0" w:color="auto"/>
            </w:tcBorders>
            <w:noWrap/>
            <w:vAlign w:val="center"/>
            <w:hideMark/>
          </w:tcPr>
          <w:p w14:paraId="6B363E44"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29</w:t>
            </w:r>
          </w:p>
        </w:tc>
        <w:tc>
          <w:tcPr>
            <w:tcW w:w="7260" w:type="dxa"/>
            <w:tcBorders>
              <w:top w:val="nil"/>
              <w:left w:val="nil"/>
              <w:bottom w:val="single" w:sz="4" w:space="0" w:color="auto"/>
              <w:right w:val="single" w:sz="4" w:space="0" w:color="auto"/>
            </w:tcBorders>
            <w:noWrap/>
            <w:vAlign w:val="center"/>
            <w:hideMark/>
          </w:tcPr>
          <w:p w14:paraId="1AFFB350" w14:textId="77777777" w:rsidR="00E94E27" w:rsidRPr="004B3D8B" w:rsidRDefault="00E94E27" w:rsidP="005349D8">
            <w:pPr>
              <w:spacing w:after="0" w:line="480" w:lineRule="auto"/>
              <w:jc w:val="center"/>
              <w:rPr>
                <w:rFonts w:eastAsia="Times New Roman" w:cs="Arial"/>
                <w:color w:val="000000"/>
                <w:kern w:val="0"/>
                <w:sz w:val="22"/>
                <w:lang w:val="en-US" w:eastAsia="de-CH"/>
                <w14:ligatures w14:val="none"/>
              </w:rPr>
            </w:pPr>
            <w:r w:rsidRPr="004B3D8B">
              <w:rPr>
                <w:rFonts w:eastAsia="Times New Roman" w:cs="Arial"/>
                <w:color w:val="000000"/>
                <w:kern w:val="0"/>
                <w:sz w:val="22"/>
                <w:lang w:val="en-US" w:eastAsia="de-CH"/>
                <w14:ligatures w14:val="none"/>
              </w:rPr>
              <w:t xml:space="preserve">AML with </w:t>
            </w:r>
            <w:proofErr w:type="gramStart"/>
            <w:r w:rsidRPr="004B3D8B">
              <w:rPr>
                <w:rFonts w:eastAsia="Times New Roman" w:cs="Arial"/>
                <w:color w:val="000000"/>
                <w:kern w:val="0"/>
                <w:sz w:val="22"/>
                <w:lang w:val="en-US" w:eastAsia="de-CH"/>
                <w14:ligatures w14:val="none"/>
              </w:rPr>
              <w:t>inv(16)(</w:t>
            </w:r>
            <w:proofErr w:type="gramEnd"/>
            <w:r w:rsidRPr="004B3D8B">
              <w:rPr>
                <w:rFonts w:eastAsia="Times New Roman" w:cs="Arial"/>
                <w:color w:val="000000"/>
                <w:kern w:val="0"/>
                <w:sz w:val="22"/>
                <w:lang w:val="en-US" w:eastAsia="de-CH"/>
                <w14:ligatures w14:val="none"/>
              </w:rPr>
              <w:t>p13.1q22) or t(16;</w:t>
            </w:r>
            <w:proofErr w:type="gramStart"/>
            <w:r w:rsidRPr="004B3D8B">
              <w:rPr>
                <w:rFonts w:eastAsia="Times New Roman" w:cs="Arial"/>
                <w:color w:val="000000"/>
                <w:kern w:val="0"/>
                <w:sz w:val="22"/>
                <w:lang w:val="en-US" w:eastAsia="de-CH"/>
                <w14:ligatures w14:val="none"/>
              </w:rPr>
              <w:t>16)(p13.1;q</w:t>
            </w:r>
            <w:proofErr w:type="gramEnd"/>
            <w:r w:rsidRPr="004B3D8B">
              <w:rPr>
                <w:rFonts w:eastAsia="Times New Roman" w:cs="Arial"/>
                <w:color w:val="000000"/>
                <w:kern w:val="0"/>
                <w:sz w:val="22"/>
                <w:lang w:val="en-US" w:eastAsia="de-CH"/>
                <w14:ligatures w14:val="none"/>
              </w:rPr>
              <w:t>22</w:t>
            </w:r>
            <w:proofErr w:type="gramStart"/>
            <w:r w:rsidRPr="004B3D8B">
              <w:rPr>
                <w:rFonts w:eastAsia="Times New Roman" w:cs="Arial"/>
                <w:color w:val="000000"/>
                <w:kern w:val="0"/>
                <w:sz w:val="22"/>
                <w:lang w:val="en-US" w:eastAsia="de-CH"/>
                <w14:ligatures w14:val="none"/>
              </w:rPr>
              <w:t>);CBFB</w:t>
            </w:r>
            <w:proofErr w:type="gramEnd"/>
            <w:r w:rsidRPr="004B3D8B">
              <w:rPr>
                <w:rFonts w:eastAsia="Times New Roman" w:cs="Arial"/>
                <w:color w:val="000000"/>
                <w:kern w:val="0"/>
                <w:sz w:val="22"/>
                <w:lang w:val="en-US" w:eastAsia="de-CH"/>
                <w14:ligatures w14:val="none"/>
              </w:rPr>
              <w:t>-MYH11</w:t>
            </w:r>
          </w:p>
        </w:tc>
      </w:tr>
      <w:tr w:rsidR="00E94E27" w:rsidRPr="004B3D8B" w14:paraId="538EF5A5"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248B7627"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w</w:t>
            </w:r>
          </w:p>
        </w:tc>
        <w:tc>
          <w:tcPr>
            <w:tcW w:w="1169" w:type="dxa"/>
            <w:tcBorders>
              <w:top w:val="nil"/>
              <w:left w:val="nil"/>
              <w:bottom w:val="single" w:sz="4" w:space="0" w:color="auto"/>
              <w:right w:val="single" w:sz="4" w:space="0" w:color="auto"/>
            </w:tcBorders>
            <w:noWrap/>
            <w:vAlign w:val="center"/>
            <w:hideMark/>
          </w:tcPr>
          <w:p w14:paraId="15406E4B"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46</w:t>
            </w:r>
          </w:p>
        </w:tc>
        <w:tc>
          <w:tcPr>
            <w:tcW w:w="7260" w:type="dxa"/>
            <w:tcBorders>
              <w:top w:val="nil"/>
              <w:left w:val="nil"/>
              <w:bottom w:val="single" w:sz="4" w:space="0" w:color="auto"/>
              <w:right w:val="single" w:sz="4" w:space="0" w:color="auto"/>
            </w:tcBorders>
            <w:noWrap/>
            <w:vAlign w:val="center"/>
            <w:hideMark/>
          </w:tcPr>
          <w:p w14:paraId="63D3E898"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NPM1</w:t>
            </w:r>
          </w:p>
        </w:tc>
      </w:tr>
      <w:tr w:rsidR="00E94E27" w:rsidRPr="004B3D8B" w14:paraId="42B2F2EF"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2E72A065"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7E801A47"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59</w:t>
            </w:r>
          </w:p>
        </w:tc>
        <w:tc>
          <w:tcPr>
            <w:tcW w:w="7260" w:type="dxa"/>
            <w:tcBorders>
              <w:top w:val="nil"/>
              <w:left w:val="nil"/>
              <w:bottom w:val="single" w:sz="4" w:space="0" w:color="auto"/>
              <w:right w:val="single" w:sz="4" w:space="0" w:color="auto"/>
            </w:tcBorders>
            <w:vAlign w:val="center"/>
            <w:hideMark/>
          </w:tcPr>
          <w:p w14:paraId="137D22F6"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NPM1</w:t>
            </w:r>
          </w:p>
        </w:tc>
      </w:tr>
      <w:tr w:rsidR="00E94E27" w:rsidRPr="004B3D8B" w14:paraId="63BDCCE4"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661EA42C"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w</w:t>
            </w:r>
          </w:p>
        </w:tc>
        <w:tc>
          <w:tcPr>
            <w:tcW w:w="1169" w:type="dxa"/>
            <w:tcBorders>
              <w:top w:val="nil"/>
              <w:left w:val="nil"/>
              <w:bottom w:val="single" w:sz="4" w:space="0" w:color="auto"/>
              <w:right w:val="single" w:sz="4" w:space="0" w:color="auto"/>
            </w:tcBorders>
            <w:noWrap/>
            <w:vAlign w:val="center"/>
            <w:hideMark/>
          </w:tcPr>
          <w:p w14:paraId="408D14A9"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67</w:t>
            </w:r>
          </w:p>
        </w:tc>
        <w:tc>
          <w:tcPr>
            <w:tcW w:w="7260" w:type="dxa"/>
            <w:tcBorders>
              <w:top w:val="nil"/>
              <w:left w:val="nil"/>
              <w:bottom w:val="single" w:sz="4" w:space="0" w:color="auto"/>
              <w:right w:val="single" w:sz="4" w:space="0" w:color="auto"/>
            </w:tcBorders>
            <w:noWrap/>
            <w:vAlign w:val="center"/>
            <w:hideMark/>
          </w:tcPr>
          <w:p w14:paraId="7F5E67B7"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NPM1</w:t>
            </w:r>
          </w:p>
        </w:tc>
      </w:tr>
      <w:tr w:rsidR="00E94E27" w:rsidRPr="004B3D8B" w14:paraId="6E4BF8A2"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036A38F3"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1D1767E5"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61</w:t>
            </w:r>
          </w:p>
        </w:tc>
        <w:tc>
          <w:tcPr>
            <w:tcW w:w="7260" w:type="dxa"/>
            <w:tcBorders>
              <w:top w:val="nil"/>
              <w:left w:val="nil"/>
              <w:bottom w:val="single" w:sz="4" w:space="0" w:color="auto"/>
              <w:right w:val="single" w:sz="4" w:space="0" w:color="auto"/>
            </w:tcBorders>
            <w:noWrap/>
            <w:vAlign w:val="center"/>
            <w:hideMark/>
          </w:tcPr>
          <w:p w14:paraId="25F976B6"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NPM1</w:t>
            </w:r>
          </w:p>
        </w:tc>
      </w:tr>
      <w:tr w:rsidR="00E94E27" w:rsidRPr="004B3D8B" w14:paraId="0859C549"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738E5ADB"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37407513"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61</w:t>
            </w:r>
          </w:p>
        </w:tc>
        <w:tc>
          <w:tcPr>
            <w:tcW w:w="7260" w:type="dxa"/>
            <w:tcBorders>
              <w:top w:val="nil"/>
              <w:left w:val="nil"/>
              <w:bottom w:val="single" w:sz="4" w:space="0" w:color="auto"/>
              <w:right w:val="single" w:sz="4" w:space="0" w:color="auto"/>
            </w:tcBorders>
            <w:noWrap/>
            <w:vAlign w:val="center"/>
            <w:hideMark/>
          </w:tcPr>
          <w:p w14:paraId="3ED83AEF"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NPM1</w:t>
            </w:r>
          </w:p>
        </w:tc>
      </w:tr>
      <w:tr w:rsidR="00E94E27" w:rsidRPr="004B3D8B" w14:paraId="61007AEB"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76F2288E"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430AC1C7"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61</w:t>
            </w:r>
          </w:p>
        </w:tc>
        <w:tc>
          <w:tcPr>
            <w:tcW w:w="7260" w:type="dxa"/>
            <w:tcBorders>
              <w:top w:val="nil"/>
              <w:left w:val="nil"/>
              <w:bottom w:val="single" w:sz="4" w:space="0" w:color="auto"/>
              <w:right w:val="single" w:sz="4" w:space="0" w:color="auto"/>
            </w:tcBorders>
            <w:vAlign w:val="center"/>
            <w:hideMark/>
          </w:tcPr>
          <w:p w14:paraId="0EB8C23E"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NPM1</w:t>
            </w:r>
          </w:p>
        </w:tc>
      </w:tr>
      <w:tr w:rsidR="00E94E27" w:rsidRPr="004B3D8B" w14:paraId="047F1618"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6A7884A0"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w</w:t>
            </w:r>
          </w:p>
        </w:tc>
        <w:tc>
          <w:tcPr>
            <w:tcW w:w="1169" w:type="dxa"/>
            <w:tcBorders>
              <w:top w:val="nil"/>
              <w:left w:val="nil"/>
              <w:bottom w:val="single" w:sz="4" w:space="0" w:color="auto"/>
              <w:right w:val="single" w:sz="4" w:space="0" w:color="auto"/>
            </w:tcBorders>
            <w:noWrap/>
            <w:vAlign w:val="center"/>
            <w:hideMark/>
          </w:tcPr>
          <w:p w14:paraId="2C84E69C"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82</w:t>
            </w:r>
          </w:p>
        </w:tc>
        <w:tc>
          <w:tcPr>
            <w:tcW w:w="7260" w:type="dxa"/>
            <w:tcBorders>
              <w:top w:val="nil"/>
              <w:left w:val="nil"/>
              <w:bottom w:val="single" w:sz="4" w:space="0" w:color="auto"/>
              <w:right w:val="single" w:sz="4" w:space="0" w:color="auto"/>
            </w:tcBorders>
            <w:noWrap/>
            <w:vAlign w:val="center"/>
            <w:hideMark/>
          </w:tcPr>
          <w:p w14:paraId="018FCB83"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NPM1</w:t>
            </w:r>
          </w:p>
        </w:tc>
      </w:tr>
      <w:tr w:rsidR="00E94E27" w:rsidRPr="004B3D8B" w14:paraId="5B118426"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1A7F3E5C"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w</w:t>
            </w:r>
          </w:p>
        </w:tc>
        <w:tc>
          <w:tcPr>
            <w:tcW w:w="1169" w:type="dxa"/>
            <w:tcBorders>
              <w:top w:val="nil"/>
              <w:left w:val="nil"/>
              <w:bottom w:val="single" w:sz="4" w:space="0" w:color="auto"/>
              <w:right w:val="single" w:sz="4" w:space="0" w:color="auto"/>
            </w:tcBorders>
            <w:noWrap/>
            <w:vAlign w:val="center"/>
            <w:hideMark/>
          </w:tcPr>
          <w:p w14:paraId="1E8811C5"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46</w:t>
            </w:r>
          </w:p>
        </w:tc>
        <w:tc>
          <w:tcPr>
            <w:tcW w:w="7260" w:type="dxa"/>
            <w:tcBorders>
              <w:top w:val="nil"/>
              <w:left w:val="nil"/>
              <w:bottom w:val="single" w:sz="4" w:space="0" w:color="auto"/>
              <w:right w:val="single" w:sz="4" w:space="0" w:color="auto"/>
            </w:tcBorders>
            <w:noWrap/>
            <w:vAlign w:val="center"/>
            <w:hideMark/>
          </w:tcPr>
          <w:p w14:paraId="651E6B91"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NPM1</w:t>
            </w:r>
          </w:p>
        </w:tc>
      </w:tr>
      <w:tr w:rsidR="00E94E27" w:rsidRPr="004B3D8B" w14:paraId="51087D61"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4A0783EA"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1D5C873E"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53</w:t>
            </w:r>
          </w:p>
        </w:tc>
        <w:tc>
          <w:tcPr>
            <w:tcW w:w="7260" w:type="dxa"/>
            <w:tcBorders>
              <w:top w:val="nil"/>
              <w:left w:val="nil"/>
              <w:bottom w:val="single" w:sz="4" w:space="0" w:color="auto"/>
              <w:right w:val="single" w:sz="4" w:space="0" w:color="auto"/>
            </w:tcBorders>
            <w:noWrap/>
            <w:vAlign w:val="center"/>
            <w:hideMark/>
          </w:tcPr>
          <w:p w14:paraId="01BD2A32"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RUNX1</w:t>
            </w:r>
          </w:p>
        </w:tc>
      </w:tr>
      <w:tr w:rsidR="00E94E27" w:rsidRPr="004B3D8B" w14:paraId="71600DFD"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4DBEDB70"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2DF5496E"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65</w:t>
            </w:r>
          </w:p>
        </w:tc>
        <w:tc>
          <w:tcPr>
            <w:tcW w:w="7260" w:type="dxa"/>
            <w:tcBorders>
              <w:top w:val="nil"/>
              <w:left w:val="nil"/>
              <w:bottom w:val="single" w:sz="4" w:space="0" w:color="auto"/>
              <w:right w:val="single" w:sz="4" w:space="0" w:color="auto"/>
            </w:tcBorders>
            <w:noWrap/>
            <w:vAlign w:val="center"/>
            <w:hideMark/>
          </w:tcPr>
          <w:p w14:paraId="360ED076"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w:t>
            </w:r>
            <w:proofErr w:type="spellStart"/>
            <w:r w:rsidRPr="004B3D8B">
              <w:rPr>
                <w:rFonts w:eastAsia="Times New Roman" w:cs="Arial"/>
                <w:color w:val="000000"/>
                <w:kern w:val="0"/>
                <w:sz w:val="22"/>
                <w:lang w:eastAsia="de-CH"/>
                <w14:ligatures w14:val="none"/>
              </w:rPr>
              <w:t>mutated</w:t>
            </w:r>
            <w:proofErr w:type="spellEnd"/>
            <w:r w:rsidRPr="004B3D8B">
              <w:rPr>
                <w:rFonts w:eastAsia="Times New Roman" w:cs="Arial"/>
                <w:color w:val="000000"/>
                <w:kern w:val="0"/>
                <w:sz w:val="22"/>
                <w:lang w:eastAsia="de-CH"/>
                <w14:ligatures w14:val="none"/>
              </w:rPr>
              <w:t xml:space="preserve"> RUNX1</w:t>
            </w:r>
          </w:p>
        </w:tc>
      </w:tr>
      <w:tr w:rsidR="00E94E27" w:rsidRPr="00513328" w14:paraId="7D476997"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0D059BEC"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2B3B6DB3"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34</w:t>
            </w:r>
          </w:p>
        </w:tc>
        <w:tc>
          <w:tcPr>
            <w:tcW w:w="7260" w:type="dxa"/>
            <w:tcBorders>
              <w:top w:val="nil"/>
              <w:left w:val="nil"/>
              <w:bottom w:val="single" w:sz="4" w:space="0" w:color="auto"/>
              <w:right w:val="single" w:sz="4" w:space="0" w:color="auto"/>
            </w:tcBorders>
            <w:noWrap/>
            <w:vAlign w:val="center"/>
            <w:hideMark/>
          </w:tcPr>
          <w:p w14:paraId="21EC3203" w14:textId="77777777" w:rsidR="00E94E27" w:rsidRPr="004B3D8B" w:rsidRDefault="00E94E27" w:rsidP="005349D8">
            <w:pPr>
              <w:spacing w:after="0" w:line="480" w:lineRule="auto"/>
              <w:jc w:val="center"/>
              <w:rPr>
                <w:rFonts w:eastAsia="Times New Roman" w:cs="Arial"/>
                <w:color w:val="000000"/>
                <w:kern w:val="0"/>
                <w:sz w:val="22"/>
                <w:lang w:val="en-US" w:eastAsia="de-CH"/>
                <w14:ligatures w14:val="none"/>
              </w:rPr>
            </w:pPr>
            <w:r w:rsidRPr="004B3D8B">
              <w:rPr>
                <w:rFonts w:eastAsia="Times New Roman" w:cs="Arial"/>
                <w:color w:val="000000"/>
                <w:kern w:val="0"/>
                <w:sz w:val="22"/>
                <w:lang w:val="en-US" w:eastAsia="de-CH"/>
                <w14:ligatures w14:val="none"/>
              </w:rPr>
              <w:t>AML with myelodysplasia-related changes</w:t>
            </w:r>
          </w:p>
        </w:tc>
      </w:tr>
      <w:tr w:rsidR="00E94E27" w:rsidRPr="004B3D8B" w14:paraId="31706953"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37AAB127"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2A5B0334"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49</w:t>
            </w:r>
          </w:p>
        </w:tc>
        <w:tc>
          <w:tcPr>
            <w:tcW w:w="7260" w:type="dxa"/>
            <w:tcBorders>
              <w:top w:val="nil"/>
              <w:left w:val="nil"/>
              <w:bottom w:val="single" w:sz="4" w:space="0" w:color="auto"/>
              <w:right w:val="single" w:sz="4" w:space="0" w:color="auto"/>
            </w:tcBorders>
            <w:noWrap/>
            <w:vAlign w:val="center"/>
            <w:hideMark/>
          </w:tcPr>
          <w:p w14:paraId="0096BA29"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t(8;</w:t>
            </w:r>
            <w:proofErr w:type="gramStart"/>
            <w:r w:rsidRPr="004B3D8B">
              <w:rPr>
                <w:rFonts w:eastAsia="Times New Roman" w:cs="Arial"/>
                <w:color w:val="000000"/>
                <w:kern w:val="0"/>
                <w:sz w:val="22"/>
                <w:lang w:eastAsia="de-CH"/>
                <w14:ligatures w14:val="none"/>
              </w:rPr>
              <w:t>21)(</w:t>
            </w:r>
            <w:proofErr w:type="gramEnd"/>
            <w:r w:rsidRPr="004B3D8B">
              <w:rPr>
                <w:rFonts w:eastAsia="Times New Roman" w:cs="Arial"/>
                <w:color w:val="000000"/>
                <w:kern w:val="0"/>
                <w:sz w:val="22"/>
                <w:lang w:eastAsia="de-CH"/>
                <w14:ligatures w14:val="none"/>
              </w:rPr>
              <w:t>q</w:t>
            </w:r>
            <w:proofErr w:type="gramStart"/>
            <w:r w:rsidRPr="004B3D8B">
              <w:rPr>
                <w:rFonts w:eastAsia="Times New Roman" w:cs="Arial"/>
                <w:color w:val="000000"/>
                <w:kern w:val="0"/>
                <w:sz w:val="22"/>
                <w:lang w:eastAsia="de-CH"/>
                <w14:ligatures w14:val="none"/>
              </w:rPr>
              <w:t>22;q</w:t>
            </w:r>
            <w:proofErr w:type="gramEnd"/>
            <w:r w:rsidRPr="004B3D8B">
              <w:rPr>
                <w:rFonts w:eastAsia="Times New Roman" w:cs="Arial"/>
                <w:color w:val="000000"/>
                <w:kern w:val="0"/>
                <w:sz w:val="22"/>
                <w:lang w:eastAsia="de-CH"/>
                <w14:ligatures w14:val="none"/>
              </w:rPr>
              <w:t>22.1</w:t>
            </w:r>
            <w:proofErr w:type="gramStart"/>
            <w:r w:rsidRPr="004B3D8B">
              <w:rPr>
                <w:rFonts w:eastAsia="Times New Roman" w:cs="Arial"/>
                <w:color w:val="000000"/>
                <w:kern w:val="0"/>
                <w:sz w:val="22"/>
                <w:lang w:eastAsia="de-CH"/>
                <w14:ligatures w14:val="none"/>
              </w:rPr>
              <w:t>);RUNX</w:t>
            </w:r>
            <w:proofErr w:type="gramEnd"/>
            <w:r w:rsidRPr="004B3D8B">
              <w:rPr>
                <w:rFonts w:eastAsia="Times New Roman" w:cs="Arial"/>
                <w:color w:val="000000"/>
                <w:kern w:val="0"/>
                <w:sz w:val="22"/>
                <w:lang w:eastAsia="de-CH"/>
                <w14:ligatures w14:val="none"/>
              </w:rPr>
              <w:t>1-RUNX1T1</w:t>
            </w:r>
          </w:p>
        </w:tc>
      </w:tr>
      <w:tr w:rsidR="00E94E27" w:rsidRPr="004B3D8B" w14:paraId="5DB5863E"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408551FF"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55A7757F"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56</w:t>
            </w:r>
          </w:p>
        </w:tc>
        <w:tc>
          <w:tcPr>
            <w:tcW w:w="7260" w:type="dxa"/>
            <w:tcBorders>
              <w:top w:val="nil"/>
              <w:left w:val="nil"/>
              <w:bottom w:val="single" w:sz="4" w:space="0" w:color="auto"/>
              <w:right w:val="single" w:sz="4" w:space="0" w:color="auto"/>
            </w:tcBorders>
            <w:noWrap/>
            <w:vAlign w:val="center"/>
            <w:hideMark/>
          </w:tcPr>
          <w:p w14:paraId="145360CE"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 xml:space="preserve">AML </w:t>
            </w:r>
            <w:proofErr w:type="spellStart"/>
            <w:r w:rsidRPr="004B3D8B">
              <w:rPr>
                <w:rFonts w:eastAsia="Times New Roman" w:cs="Arial"/>
                <w:color w:val="000000"/>
                <w:kern w:val="0"/>
                <w:sz w:val="22"/>
                <w:lang w:eastAsia="de-CH"/>
                <w14:ligatures w14:val="none"/>
              </w:rPr>
              <w:t>with</w:t>
            </w:r>
            <w:proofErr w:type="spellEnd"/>
            <w:r w:rsidRPr="004B3D8B">
              <w:rPr>
                <w:rFonts w:eastAsia="Times New Roman" w:cs="Arial"/>
                <w:color w:val="000000"/>
                <w:kern w:val="0"/>
                <w:sz w:val="22"/>
                <w:lang w:eastAsia="de-CH"/>
                <w14:ligatures w14:val="none"/>
              </w:rPr>
              <w:t xml:space="preserve"> t(8;</w:t>
            </w:r>
            <w:proofErr w:type="gramStart"/>
            <w:r w:rsidRPr="004B3D8B">
              <w:rPr>
                <w:rFonts w:eastAsia="Times New Roman" w:cs="Arial"/>
                <w:color w:val="000000"/>
                <w:kern w:val="0"/>
                <w:sz w:val="22"/>
                <w:lang w:eastAsia="de-CH"/>
                <w14:ligatures w14:val="none"/>
              </w:rPr>
              <w:t>21)(</w:t>
            </w:r>
            <w:proofErr w:type="gramEnd"/>
            <w:r w:rsidRPr="004B3D8B">
              <w:rPr>
                <w:rFonts w:eastAsia="Times New Roman" w:cs="Arial"/>
                <w:color w:val="000000"/>
                <w:kern w:val="0"/>
                <w:sz w:val="22"/>
                <w:lang w:eastAsia="de-CH"/>
                <w14:ligatures w14:val="none"/>
              </w:rPr>
              <w:t>q</w:t>
            </w:r>
            <w:proofErr w:type="gramStart"/>
            <w:r w:rsidRPr="004B3D8B">
              <w:rPr>
                <w:rFonts w:eastAsia="Times New Roman" w:cs="Arial"/>
                <w:color w:val="000000"/>
                <w:kern w:val="0"/>
                <w:sz w:val="22"/>
                <w:lang w:eastAsia="de-CH"/>
                <w14:ligatures w14:val="none"/>
              </w:rPr>
              <w:t>22;q</w:t>
            </w:r>
            <w:proofErr w:type="gramEnd"/>
            <w:r w:rsidRPr="004B3D8B">
              <w:rPr>
                <w:rFonts w:eastAsia="Times New Roman" w:cs="Arial"/>
                <w:color w:val="000000"/>
                <w:kern w:val="0"/>
                <w:sz w:val="22"/>
                <w:lang w:eastAsia="de-CH"/>
                <w14:ligatures w14:val="none"/>
              </w:rPr>
              <w:t>22.1</w:t>
            </w:r>
            <w:proofErr w:type="gramStart"/>
            <w:r w:rsidRPr="004B3D8B">
              <w:rPr>
                <w:rFonts w:eastAsia="Times New Roman" w:cs="Arial"/>
                <w:color w:val="000000"/>
                <w:kern w:val="0"/>
                <w:sz w:val="22"/>
                <w:lang w:eastAsia="de-CH"/>
                <w14:ligatures w14:val="none"/>
              </w:rPr>
              <w:t>);RUNX</w:t>
            </w:r>
            <w:proofErr w:type="gramEnd"/>
            <w:r w:rsidRPr="004B3D8B">
              <w:rPr>
                <w:rFonts w:eastAsia="Times New Roman" w:cs="Arial"/>
                <w:color w:val="000000"/>
                <w:kern w:val="0"/>
                <w:sz w:val="22"/>
                <w:lang w:eastAsia="de-CH"/>
                <w14:ligatures w14:val="none"/>
              </w:rPr>
              <w:t>1-RUNX1T1</w:t>
            </w:r>
          </w:p>
        </w:tc>
      </w:tr>
      <w:tr w:rsidR="00E94E27" w:rsidRPr="004B3D8B" w14:paraId="77949A29"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17EBD656"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w</w:t>
            </w:r>
          </w:p>
        </w:tc>
        <w:tc>
          <w:tcPr>
            <w:tcW w:w="1169" w:type="dxa"/>
            <w:tcBorders>
              <w:top w:val="nil"/>
              <w:left w:val="nil"/>
              <w:bottom w:val="single" w:sz="4" w:space="0" w:color="auto"/>
              <w:right w:val="single" w:sz="4" w:space="0" w:color="auto"/>
            </w:tcBorders>
            <w:noWrap/>
            <w:vAlign w:val="center"/>
            <w:hideMark/>
          </w:tcPr>
          <w:p w14:paraId="4D8A649A"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76</w:t>
            </w:r>
          </w:p>
        </w:tc>
        <w:tc>
          <w:tcPr>
            <w:tcW w:w="7260" w:type="dxa"/>
            <w:tcBorders>
              <w:top w:val="nil"/>
              <w:left w:val="nil"/>
              <w:bottom w:val="single" w:sz="4" w:space="0" w:color="auto"/>
              <w:right w:val="single" w:sz="4" w:space="0" w:color="auto"/>
            </w:tcBorders>
            <w:noWrap/>
            <w:vAlign w:val="center"/>
            <w:hideMark/>
          </w:tcPr>
          <w:p w14:paraId="51424D19"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r w:rsidR="00E94E27" w:rsidRPr="004B3D8B" w14:paraId="33F1EEF6"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1AEB0E2F"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468BDB25"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54</w:t>
            </w:r>
          </w:p>
        </w:tc>
        <w:tc>
          <w:tcPr>
            <w:tcW w:w="7260" w:type="dxa"/>
            <w:tcBorders>
              <w:top w:val="nil"/>
              <w:left w:val="nil"/>
              <w:bottom w:val="single" w:sz="4" w:space="0" w:color="auto"/>
              <w:right w:val="single" w:sz="4" w:space="0" w:color="auto"/>
            </w:tcBorders>
            <w:noWrap/>
            <w:vAlign w:val="center"/>
            <w:hideMark/>
          </w:tcPr>
          <w:p w14:paraId="7E62EB83"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r w:rsidR="00E94E27" w:rsidRPr="004B3D8B" w14:paraId="47DCB7CF"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63691C45"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526E7927"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77</w:t>
            </w:r>
          </w:p>
        </w:tc>
        <w:tc>
          <w:tcPr>
            <w:tcW w:w="7260" w:type="dxa"/>
            <w:tcBorders>
              <w:top w:val="nil"/>
              <w:left w:val="nil"/>
              <w:bottom w:val="single" w:sz="4" w:space="0" w:color="auto"/>
              <w:right w:val="single" w:sz="4" w:space="0" w:color="auto"/>
            </w:tcBorders>
            <w:noWrap/>
            <w:vAlign w:val="center"/>
            <w:hideMark/>
          </w:tcPr>
          <w:p w14:paraId="732AB132"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r w:rsidR="00E94E27" w:rsidRPr="004B3D8B" w14:paraId="50CBF547"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798468B9"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67B269F4"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62</w:t>
            </w:r>
          </w:p>
        </w:tc>
        <w:tc>
          <w:tcPr>
            <w:tcW w:w="7260" w:type="dxa"/>
            <w:tcBorders>
              <w:top w:val="nil"/>
              <w:left w:val="nil"/>
              <w:bottom w:val="single" w:sz="4" w:space="0" w:color="auto"/>
              <w:right w:val="single" w:sz="4" w:space="0" w:color="auto"/>
            </w:tcBorders>
            <w:noWrap/>
            <w:vAlign w:val="center"/>
            <w:hideMark/>
          </w:tcPr>
          <w:p w14:paraId="4297B372"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r w:rsidR="00E94E27" w:rsidRPr="004B3D8B" w14:paraId="516190F7"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3B8D8EF8"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w</w:t>
            </w:r>
          </w:p>
        </w:tc>
        <w:tc>
          <w:tcPr>
            <w:tcW w:w="1169" w:type="dxa"/>
            <w:tcBorders>
              <w:top w:val="nil"/>
              <w:left w:val="nil"/>
              <w:bottom w:val="single" w:sz="4" w:space="0" w:color="auto"/>
              <w:right w:val="single" w:sz="4" w:space="0" w:color="auto"/>
            </w:tcBorders>
            <w:noWrap/>
            <w:vAlign w:val="center"/>
            <w:hideMark/>
          </w:tcPr>
          <w:p w14:paraId="40B28255"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75</w:t>
            </w:r>
          </w:p>
        </w:tc>
        <w:tc>
          <w:tcPr>
            <w:tcW w:w="7260" w:type="dxa"/>
            <w:tcBorders>
              <w:top w:val="nil"/>
              <w:left w:val="nil"/>
              <w:bottom w:val="single" w:sz="4" w:space="0" w:color="auto"/>
              <w:right w:val="single" w:sz="4" w:space="0" w:color="auto"/>
            </w:tcBorders>
            <w:noWrap/>
            <w:vAlign w:val="center"/>
            <w:hideMark/>
          </w:tcPr>
          <w:p w14:paraId="1B3EC03C"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r w:rsidR="00E94E27" w:rsidRPr="004B3D8B" w14:paraId="14F8CFEF"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27034566"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438A2296"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59</w:t>
            </w:r>
          </w:p>
        </w:tc>
        <w:tc>
          <w:tcPr>
            <w:tcW w:w="7260" w:type="dxa"/>
            <w:tcBorders>
              <w:top w:val="nil"/>
              <w:left w:val="nil"/>
              <w:bottom w:val="single" w:sz="4" w:space="0" w:color="auto"/>
              <w:right w:val="single" w:sz="4" w:space="0" w:color="auto"/>
            </w:tcBorders>
            <w:noWrap/>
            <w:vAlign w:val="center"/>
            <w:hideMark/>
          </w:tcPr>
          <w:p w14:paraId="255DA7BD"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r w:rsidR="00E94E27" w:rsidRPr="004B3D8B" w14:paraId="70BBC5ED"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284DC83C"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lastRenderedPageBreak/>
              <w:t>w</w:t>
            </w:r>
          </w:p>
        </w:tc>
        <w:tc>
          <w:tcPr>
            <w:tcW w:w="1169" w:type="dxa"/>
            <w:tcBorders>
              <w:top w:val="nil"/>
              <w:left w:val="nil"/>
              <w:bottom w:val="single" w:sz="4" w:space="0" w:color="auto"/>
              <w:right w:val="single" w:sz="4" w:space="0" w:color="auto"/>
            </w:tcBorders>
            <w:noWrap/>
            <w:vAlign w:val="center"/>
            <w:hideMark/>
          </w:tcPr>
          <w:p w14:paraId="4B07796B"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60</w:t>
            </w:r>
          </w:p>
        </w:tc>
        <w:tc>
          <w:tcPr>
            <w:tcW w:w="7260" w:type="dxa"/>
            <w:tcBorders>
              <w:top w:val="nil"/>
              <w:left w:val="nil"/>
              <w:bottom w:val="single" w:sz="4" w:space="0" w:color="auto"/>
              <w:right w:val="single" w:sz="4" w:space="0" w:color="auto"/>
            </w:tcBorders>
            <w:noWrap/>
            <w:vAlign w:val="center"/>
            <w:hideMark/>
          </w:tcPr>
          <w:p w14:paraId="78C9CC9E"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r w:rsidR="00E94E27" w:rsidRPr="004B3D8B" w14:paraId="58198C82"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6EA5111A"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w</w:t>
            </w:r>
          </w:p>
        </w:tc>
        <w:tc>
          <w:tcPr>
            <w:tcW w:w="1169" w:type="dxa"/>
            <w:tcBorders>
              <w:top w:val="nil"/>
              <w:left w:val="nil"/>
              <w:bottom w:val="single" w:sz="4" w:space="0" w:color="auto"/>
              <w:right w:val="single" w:sz="4" w:space="0" w:color="auto"/>
            </w:tcBorders>
            <w:noWrap/>
            <w:vAlign w:val="center"/>
            <w:hideMark/>
          </w:tcPr>
          <w:p w14:paraId="4D8E03F6"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77</w:t>
            </w:r>
          </w:p>
        </w:tc>
        <w:tc>
          <w:tcPr>
            <w:tcW w:w="7260" w:type="dxa"/>
            <w:tcBorders>
              <w:top w:val="nil"/>
              <w:left w:val="nil"/>
              <w:bottom w:val="single" w:sz="4" w:space="0" w:color="auto"/>
              <w:right w:val="single" w:sz="4" w:space="0" w:color="auto"/>
            </w:tcBorders>
            <w:noWrap/>
            <w:vAlign w:val="center"/>
            <w:hideMark/>
          </w:tcPr>
          <w:p w14:paraId="5C3AD566"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r w:rsidR="00E94E27" w:rsidRPr="004B3D8B" w14:paraId="329ADF17" w14:textId="77777777" w:rsidTr="005349D8">
        <w:trPr>
          <w:trHeight w:val="255"/>
        </w:trPr>
        <w:tc>
          <w:tcPr>
            <w:tcW w:w="1200" w:type="dxa"/>
            <w:tcBorders>
              <w:top w:val="nil"/>
              <w:left w:val="single" w:sz="4" w:space="0" w:color="auto"/>
              <w:bottom w:val="single" w:sz="4" w:space="0" w:color="auto"/>
              <w:right w:val="single" w:sz="4" w:space="0" w:color="auto"/>
            </w:tcBorders>
            <w:noWrap/>
            <w:vAlign w:val="center"/>
            <w:hideMark/>
          </w:tcPr>
          <w:p w14:paraId="67304AFD"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4" w:space="0" w:color="auto"/>
              <w:right w:val="single" w:sz="4" w:space="0" w:color="auto"/>
            </w:tcBorders>
            <w:noWrap/>
            <w:vAlign w:val="center"/>
            <w:hideMark/>
          </w:tcPr>
          <w:p w14:paraId="42B9BE1A"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64</w:t>
            </w:r>
          </w:p>
        </w:tc>
        <w:tc>
          <w:tcPr>
            <w:tcW w:w="7260" w:type="dxa"/>
            <w:tcBorders>
              <w:top w:val="nil"/>
              <w:left w:val="nil"/>
              <w:bottom w:val="single" w:sz="4" w:space="0" w:color="auto"/>
              <w:right w:val="single" w:sz="4" w:space="0" w:color="auto"/>
            </w:tcBorders>
            <w:noWrap/>
            <w:vAlign w:val="center"/>
            <w:hideMark/>
          </w:tcPr>
          <w:p w14:paraId="6ABEBE63"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r w:rsidR="00E94E27" w:rsidRPr="004B3D8B" w14:paraId="64B82A31" w14:textId="77777777" w:rsidTr="005349D8">
        <w:trPr>
          <w:trHeight w:val="270"/>
        </w:trPr>
        <w:tc>
          <w:tcPr>
            <w:tcW w:w="1200" w:type="dxa"/>
            <w:tcBorders>
              <w:top w:val="nil"/>
              <w:left w:val="single" w:sz="4" w:space="0" w:color="auto"/>
              <w:bottom w:val="single" w:sz="8" w:space="0" w:color="auto"/>
              <w:right w:val="single" w:sz="4" w:space="0" w:color="auto"/>
            </w:tcBorders>
            <w:noWrap/>
            <w:vAlign w:val="center"/>
            <w:hideMark/>
          </w:tcPr>
          <w:p w14:paraId="7A6D4A3F"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m</w:t>
            </w:r>
          </w:p>
        </w:tc>
        <w:tc>
          <w:tcPr>
            <w:tcW w:w="1169" w:type="dxa"/>
            <w:tcBorders>
              <w:top w:val="nil"/>
              <w:left w:val="nil"/>
              <w:bottom w:val="single" w:sz="8" w:space="0" w:color="auto"/>
              <w:right w:val="single" w:sz="4" w:space="0" w:color="auto"/>
            </w:tcBorders>
            <w:noWrap/>
            <w:vAlign w:val="center"/>
            <w:hideMark/>
          </w:tcPr>
          <w:p w14:paraId="4DC64B5F"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66</w:t>
            </w:r>
          </w:p>
        </w:tc>
        <w:tc>
          <w:tcPr>
            <w:tcW w:w="7260" w:type="dxa"/>
            <w:tcBorders>
              <w:top w:val="nil"/>
              <w:left w:val="nil"/>
              <w:bottom w:val="single" w:sz="8" w:space="0" w:color="auto"/>
              <w:right w:val="single" w:sz="4" w:space="0" w:color="auto"/>
            </w:tcBorders>
            <w:noWrap/>
            <w:vAlign w:val="center"/>
            <w:hideMark/>
          </w:tcPr>
          <w:p w14:paraId="4B465859" w14:textId="77777777" w:rsidR="00E94E27" w:rsidRPr="004B3D8B" w:rsidRDefault="00E94E27" w:rsidP="005349D8">
            <w:pPr>
              <w:spacing w:after="0" w:line="480" w:lineRule="auto"/>
              <w:jc w:val="center"/>
              <w:rPr>
                <w:rFonts w:eastAsia="Times New Roman" w:cs="Arial"/>
                <w:color w:val="000000"/>
                <w:kern w:val="0"/>
                <w:sz w:val="22"/>
                <w:lang w:eastAsia="de-CH"/>
                <w14:ligatures w14:val="none"/>
              </w:rPr>
            </w:pPr>
            <w:r w:rsidRPr="004B3D8B">
              <w:rPr>
                <w:rFonts w:eastAsia="Times New Roman" w:cs="Arial"/>
                <w:color w:val="000000"/>
                <w:kern w:val="0"/>
                <w:sz w:val="22"/>
                <w:lang w:eastAsia="de-CH"/>
                <w14:ligatures w14:val="none"/>
              </w:rPr>
              <w:t>AML, NOS</w:t>
            </w:r>
          </w:p>
        </w:tc>
      </w:tr>
    </w:tbl>
    <w:p w14:paraId="08378E2B" w14:textId="77777777" w:rsidR="00E94E27" w:rsidRPr="004B3D8B" w:rsidRDefault="00E94E27" w:rsidP="00E94E27">
      <w:pPr>
        <w:spacing w:line="480" w:lineRule="auto"/>
        <w:jc w:val="both"/>
        <w:rPr>
          <w:rFonts w:eastAsia="Times New Roman" w:cs="Arial"/>
          <w:i/>
          <w:iCs/>
          <w:color w:val="44546A" w:themeColor="text2"/>
          <w:kern w:val="0"/>
          <w:sz w:val="22"/>
          <w:lang w:val="en-US"/>
          <w14:ligatures w14:val="none"/>
        </w:rPr>
      </w:pPr>
      <w:r w:rsidRPr="004B3D8B">
        <w:rPr>
          <w:rFonts w:eastAsia="Times New Roman" w:cs="Arial"/>
          <w:i/>
          <w:iCs/>
          <w:color w:val="44546A" w:themeColor="text2"/>
          <w:kern w:val="0"/>
          <w:sz w:val="22"/>
          <w:lang w:val="en-US"/>
          <w14:ligatures w14:val="none"/>
        </w:rPr>
        <w:br w:type="page"/>
      </w:r>
    </w:p>
    <w:p w14:paraId="476D6BB7" w14:textId="3892BAD4" w:rsidR="00507E71" w:rsidRPr="004B3D8B" w:rsidRDefault="00507E71" w:rsidP="004B3D8B">
      <w:pPr>
        <w:pStyle w:val="berschrift1"/>
        <w:spacing w:line="480" w:lineRule="auto"/>
        <w:rPr>
          <w:rFonts w:cs="Arial"/>
          <w:sz w:val="22"/>
          <w:szCs w:val="22"/>
          <w:lang w:val="en-US"/>
        </w:rPr>
      </w:pPr>
      <w:bookmarkStart w:id="17" w:name="_Toc237907084"/>
      <w:r w:rsidRPr="004B3D8B">
        <w:rPr>
          <w:rFonts w:cs="Arial"/>
          <w:sz w:val="22"/>
          <w:szCs w:val="22"/>
          <w:lang w:val="en-US"/>
        </w:rPr>
        <w:lastRenderedPageBreak/>
        <w:t>Supplementary Figure</w:t>
      </w:r>
      <w:r w:rsidR="00E512A9" w:rsidRPr="004B3D8B">
        <w:rPr>
          <w:rFonts w:cs="Arial"/>
          <w:sz w:val="22"/>
          <w:szCs w:val="22"/>
          <w:lang w:val="en-US"/>
        </w:rPr>
        <w:t xml:space="preserve"> 1</w:t>
      </w:r>
      <w:bookmarkEnd w:id="17"/>
    </w:p>
    <w:p w14:paraId="0BE6E1AB" w14:textId="4F1FD93D" w:rsidR="0019037B" w:rsidRDefault="00921F76" w:rsidP="007C1F1D">
      <w:pPr>
        <w:spacing w:line="360" w:lineRule="auto"/>
        <w:jc w:val="both"/>
        <w:rPr>
          <w:rFonts w:eastAsia="Times New Roman" w:cs="Arial"/>
          <w:b/>
          <w:bCs/>
          <w:kern w:val="0"/>
          <w:sz w:val="22"/>
          <w:lang w:val="en-US"/>
          <w14:ligatures w14:val="none"/>
        </w:rPr>
      </w:pPr>
      <w:r>
        <w:rPr>
          <w:rFonts w:eastAsia="Times New Roman" w:cs="Arial"/>
          <w:b/>
          <w:bCs/>
          <w:noProof/>
          <w:kern w:val="0"/>
          <w:sz w:val="22"/>
          <w:lang w:val="en-US"/>
          <w14:ligatures w14:val="none"/>
        </w:rPr>
        <w:drawing>
          <wp:inline distT="0" distB="0" distL="0" distR="0" wp14:anchorId="02826C0B" wp14:editId="7F9E3007">
            <wp:extent cx="5731200" cy="5520353"/>
            <wp:effectExtent l="0" t="0" r="3175" b="4445"/>
            <wp:docPr id="7976427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42760" name="Grafik 797642760"/>
                    <pic:cNvPicPr/>
                  </pic:nvPicPr>
                  <pic:blipFill rotWithShape="1">
                    <a:blip r:embed="rId7" cstate="print">
                      <a:extLst>
                        <a:ext uri="{28A0092B-C50C-407E-A947-70E740481C1C}">
                          <a14:useLocalDpi xmlns:a14="http://schemas.microsoft.com/office/drawing/2010/main" val="0"/>
                        </a:ext>
                      </a:extLst>
                    </a:blip>
                    <a:srcRect l="8740" t="6218" r="8294" b="32033"/>
                    <a:stretch>
                      <a:fillRect/>
                    </a:stretch>
                  </pic:blipFill>
                  <pic:spPr bwMode="auto">
                    <a:xfrm>
                      <a:off x="0" y="0"/>
                      <a:ext cx="5731200" cy="5520353"/>
                    </a:xfrm>
                    <a:prstGeom prst="rect">
                      <a:avLst/>
                    </a:prstGeom>
                    <a:ln>
                      <a:noFill/>
                    </a:ln>
                    <a:extLst>
                      <a:ext uri="{53640926-AAD7-44D8-BBD7-CCE9431645EC}">
                        <a14:shadowObscured xmlns:a14="http://schemas.microsoft.com/office/drawing/2010/main"/>
                      </a:ext>
                    </a:extLst>
                  </pic:spPr>
                </pic:pic>
              </a:graphicData>
            </a:graphic>
          </wp:inline>
        </w:drawing>
      </w:r>
    </w:p>
    <w:p w14:paraId="72605657" w14:textId="356557D2" w:rsidR="00E512A9" w:rsidRPr="00B75DDC" w:rsidRDefault="00507E71" w:rsidP="00513328">
      <w:pPr>
        <w:spacing w:line="276" w:lineRule="auto"/>
        <w:jc w:val="both"/>
        <w:rPr>
          <w:rFonts w:eastAsia="Times New Roman" w:cs="Arial"/>
          <w:kern w:val="0"/>
          <w:sz w:val="22"/>
          <w:lang w:val="en-US"/>
          <w14:ligatures w14:val="none"/>
        </w:rPr>
      </w:pPr>
      <w:r w:rsidRPr="00B75DDC">
        <w:rPr>
          <w:rFonts w:eastAsia="Times New Roman" w:cs="Arial"/>
          <w:kern w:val="0"/>
          <w:sz w:val="22"/>
          <w:lang w:val="en-US"/>
          <w14:ligatures w14:val="none"/>
        </w:rPr>
        <w:t>Figure S1</w:t>
      </w:r>
      <w:r w:rsidR="00AB257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LILRB2 is primarily expressed on healthy monocytes</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while high LILRB2 expression by blasts correlates with decreased patient survival. (A) Representative gating strategy of healthy PBMCs after analysis by flow cytometry. Cells are divided into granulocytes (high SSC-A), T cells (CD3+CD4+ and CD3+CD4-), monocytes (CD14+CD3-), B cells (CD19+CD3-)</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NK cells (CD3-CD14-CD19-CD56+). (B) Expression (%) of LILRB1-4 on depicted cell subsets in healthy PBMCs (n=3-6) after analysis by flow cytometry. Data are represented as violin plots. (C) Representative flow cytometric dot-plots of LILRB2 fluorescence intensity in indicated cell types. (D) MFI of LILRB2 in healthy donor PBMCs (n=4), AML blasts (n=23), AML</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associated T cells and CD33+ myeloid cells (n=23). Every dot represents an individual sample. (E) Overall survival of 25 investigated AML patients with (&gt;20% in blasts, n=16) and without (&lt;20% in blasts, n=9) considerable LILRB2 expression.</w:t>
      </w:r>
    </w:p>
    <w:p w14:paraId="046B8BDA" w14:textId="103A4CE3" w:rsidR="00E512A9" w:rsidRPr="004B3D8B" w:rsidRDefault="00E512A9" w:rsidP="00513328">
      <w:pPr>
        <w:pStyle w:val="berschrift1"/>
        <w:spacing w:line="276" w:lineRule="auto"/>
        <w:rPr>
          <w:rFonts w:cs="Arial"/>
          <w:sz w:val="22"/>
          <w:szCs w:val="22"/>
          <w:lang w:val="en-US"/>
        </w:rPr>
      </w:pPr>
      <w:bookmarkStart w:id="18" w:name="_Toc237907085"/>
      <w:r w:rsidRPr="004B3D8B">
        <w:rPr>
          <w:rFonts w:cs="Arial"/>
          <w:sz w:val="22"/>
          <w:szCs w:val="22"/>
          <w:lang w:val="en-US"/>
        </w:rPr>
        <w:lastRenderedPageBreak/>
        <w:t>Supplementary Figure 2</w:t>
      </w:r>
      <w:bookmarkEnd w:id="18"/>
    </w:p>
    <w:p w14:paraId="0EE30787" w14:textId="4DC38668" w:rsidR="00507E71" w:rsidRPr="00B75DDC" w:rsidRDefault="00CE514C" w:rsidP="00513328">
      <w:pPr>
        <w:spacing w:line="276" w:lineRule="auto"/>
        <w:jc w:val="both"/>
        <w:rPr>
          <w:rFonts w:eastAsia="Times New Roman" w:cs="Arial"/>
          <w:kern w:val="0"/>
          <w:sz w:val="22"/>
          <w:lang w:val="en-US"/>
          <w14:ligatures w14:val="none"/>
        </w:rPr>
      </w:pPr>
      <w:r>
        <w:rPr>
          <w:rFonts w:eastAsia="Times New Roman" w:cs="Arial"/>
          <w:b/>
          <w:bCs/>
          <w:noProof/>
          <w:kern w:val="0"/>
          <w:sz w:val="22"/>
          <w:lang w:val="en-US"/>
          <w14:ligatures w14:val="none"/>
        </w:rPr>
        <w:drawing>
          <wp:inline distT="0" distB="0" distL="0" distR="0" wp14:anchorId="11B32F5B" wp14:editId="56B29F75">
            <wp:extent cx="5731200" cy="5042609"/>
            <wp:effectExtent l="0" t="0" r="3175" b="5715"/>
            <wp:docPr id="17546006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00656" name="Grafik 3"/>
                    <pic:cNvPicPr/>
                  </pic:nvPicPr>
                  <pic:blipFill rotWithShape="1">
                    <a:blip r:embed="rId8" cstate="print">
                      <a:extLst>
                        <a:ext uri="{28A0092B-C50C-407E-A947-70E740481C1C}">
                          <a14:useLocalDpi xmlns:a14="http://schemas.microsoft.com/office/drawing/2010/main" val="0"/>
                        </a:ext>
                      </a:extLst>
                    </a:blip>
                    <a:srcRect l="8579" t="6397" r="9980" b="38234"/>
                    <a:stretch>
                      <a:fillRect/>
                    </a:stretch>
                  </pic:blipFill>
                  <pic:spPr bwMode="auto">
                    <a:xfrm>
                      <a:off x="0" y="0"/>
                      <a:ext cx="5731200" cy="5042609"/>
                    </a:xfrm>
                    <a:prstGeom prst="rect">
                      <a:avLst/>
                    </a:prstGeom>
                    <a:ln>
                      <a:noFill/>
                    </a:ln>
                    <a:extLst>
                      <a:ext uri="{53640926-AAD7-44D8-BBD7-CCE9431645EC}">
                        <a14:shadowObscured xmlns:a14="http://schemas.microsoft.com/office/drawing/2010/main"/>
                      </a:ext>
                    </a:extLst>
                  </pic:spPr>
                </pic:pic>
              </a:graphicData>
            </a:graphic>
          </wp:inline>
        </w:drawing>
      </w:r>
      <w:r w:rsidR="00507E71" w:rsidRPr="00B75DDC">
        <w:rPr>
          <w:rFonts w:eastAsia="Times New Roman" w:cs="Arial"/>
          <w:kern w:val="0"/>
          <w:sz w:val="22"/>
          <w:lang w:val="en-US"/>
          <w14:ligatures w14:val="none"/>
        </w:rPr>
        <w:t>Figure S2</w:t>
      </w:r>
      <w:r w:rsidR="00AB257F" w:rsidRPr="00B75DDC">
        <w:rPr>
          <w:rFonts w:eastAsia="Times New Roman" w:cs="Arial"/>
          <w:kern w:val="0"/>
          <w:sz w:val="22"/>
          <w:lang w:val="en-US"/>
          <w14:ligatures w14:val="none"/>
        </w:rPr>
        <w:t>:</w:t>
      </w:r>
      <w:r w:rsidR="00507E71" w:rsidRPr="00B75DDC">
        <w:rPr>
          <w:rFonts w:eastAsia="Times New Roman" w:cs="Arial"/>
          <w:kern w:val="0"/>
          <w:sz w:val="22"/>
          <w:lang w:val="en-US"/>
          <w14:ligatures w14:val="none"/>
        </w:rPr>
        <w:t xml:space="preserve"> LILRB2 expression impairs CAR T-cell functionality in long-term in vitro assays. (A) Analysis of the presence of LILRB2 protein in generated THP1 and MOLM14 cell lines. GAPDH was used as loading control. (B-+C) Flow cytometric readout of target (B) and effector (C) cell counts after a 1-day co-culture of anti-CD33 CAR- or NT T cells with THP1 </w:t>
      </w:r>
      <w:proofErr w:type="spellStart"/>
      <w:r w:rsidR="00507E71" w:rsidRPr="00B75DDC">
        <w:rPr>
          <w:rFonts w:eastAsia="Times New Roman" w:cs="Arial"/>
          <w:kern w:val="0"/>
          <w:sz w:val="22"/>
          <w:lang w:val="en-US"/>
          <w14:ligatures w14:val="none"/>
        </w:rPr>
        <w:t>wt</w:t>
      </w:r>
      <w:proofErr w:type="spellEnd"/>
      <w:r w:rsidR="00507E71" w:rsidRPr="00B75DDC">
        <w:rPr>
          <w:rFonts w:eastAsia="Times New Roman" w:cs="Arial"/>
          <w:kern w:val="0"/>
          <w:sz w:val="22"/>
          <w:lang w:val="en-US"/>
          <w14:ligatures w14:val="none"/>
        </w:rPr>
        <w:t>, THP1 LILRB2 KO</w:t>
      </w:r>
      <w:r w:rsidR="00922BEF" w:rsidRPr="00B75DDC">
        <w:rPr>
          <w:rFonts w:eastAsia="Times New Roman" w:cs="Arial"/>
          <w:kern w:val="0"/>
          <w:sz w:val="22"/>
          <w:lang w:val="en-US"/>
          <w14:ligatures w14:val="none"/>
        </w:rPr>
        <w:t>,</w:t>
      </w:r>
      <w:r w:rsidR="00507E71" w:rsidRPr="00B75DDC">
        <w:rPr>
          <w:rFonts w:eastAsia="Times New Roman" w:cs="Arial"/>
          <w:kern w:val="0"/>
          <w:sz w:val="22"/>
          <w:lang w:val="en-US"/>
          <w14:ligatures w14:val="none"/>
        </w:rPr>
        <w:t xml:space="preserve"> or THP1 LILRB2 high cells at an E:T ratio of 1:1. Data illustrates three biological replicates with two technical replicates. (D) Analysis of cytokines in the supernatant of </w:t>
      </w:r>
      <w:proofErr w:type="gramStart"/>
      <w:r w:rsidR="00922BEF" w:rsidRPr="00B75DDC">
        <w:rPr>
          <w:rFonts w:eastAsia="Times New Roman" w:cs="Arial"/>
          <w:kern w:val="0"/>
          <w:sz w:val="22"/>
          <w:lang w:val="en-US"/>
          <w14:ligatures w14:val="none"/>
        </w:rPr>
        <w:t>a</w:t>
      </w:r>
      <w:r w:rsidR="00507E71" w:rsidRPr="00B75DDC">
        <w:rPr>
          <w:rFonts w:eastAsia="Times New Roman" w:cs="Arial"/>
          <w:kern w:val="0"/>
          <w:sz w:val="22"/>
          <w:lang w:val="en-US"/>
          <w14:ligatures w14:val="none"/>
        </w:rPr>
        <w:t>forementioned co-cultures</w:t>
      </w:r>
      <w:proofErr w:type="gramEnd"/>
      <w:r w:rsidR="00507E71" w:rsidRPr="00B75DDC">
        <w:rPr>
          <w:rFonts w:eastAsia="Times New Roman" w:cs="Arial"/>
          <w:kern w:val="0"/>
          <w:sz w:val="22"/>
          <w:lang w:val="en-US"/>
          <w14:ligatures w14:val="none"/>
        </w:rPr>
        <w:t xml:space="preserve"> (E:T ratio 1:15) after 5 days, measured by ELISA. Mean of three biological replicates with two technical replicates ± SD. (E) Graphical representation of the re-challenge assay. (F-G) Flow cytometric readout of effector and target cells after re-challenging anti-CD33 CAR- or NT T cells three times with THP1 </w:t>
      </w:r>
      <w:proofErr w:type="spellStart"/>
      <w:r w:rsidR="00507E71" w:rsidRPr="00B75DDC">
        <w:rPr>
          <w:rFonts w:eastAsia="Times New Roman" w:cs="Arial"/>
          <w:kern w:val="0"/>
          <w:sz w:val="22"/>
          <w:lang w:val="en-US"/>
          <w14:ligatures w14:val="none"/>
        </w:rPr>
        <w:t>wt</w:t>
      </w:r>
      <w:proofErr w:type="spellEnd"/>
      <w:r w:rsidR="00507E71" w:rsidRPr="00B75DDC">
        <w:rPr>
          <w:rFonts w:eastAsia="Times New Roman" w:cs="Arial"/>
          <w:kern w:val="0"/>
          <w:sz w:val="22"/>
          <w:lang w:val="en-US"/>
          <w14:ligatures w14:val="none"/>
        </w:rPr>
        <w:t>, THP1 LILRB2 KO</w:t>
      </w:r>
      <w:r w:rsidR="00922BEF" w:rsidRPr="00B75DDC">
        <w:rPr>
          <w:rFonts w:eastAsia="Times New Roman" w:cs="Arial"/>
          <w:kern w:val="0"/>
          <w:sz w:val="22"/>
          <w:lang w:val="en-US"/>
          <w14:ligatures w14:val="none"/>
        </w:rPr>
        <w:t>,</w:t>
      </w:r>
      <w:r w:rsidR="00507E71" w:rsidRPr="00B75DDC">
        <w:rPr>
          <w:rFonts w:eastAsia="Times New Roman" w:cs="Arial"/>
          <w:kern w:val="0"/>
          <w:sz w:val="22"/>
          <w:lang w:val="en-US"/>
          <w14:ligatures w14:val="none"/>
        </w:rPr>
        <w:t xml:space="preserve"> or THP1 LILRB2 high cell lines at an E:T ratio of 1:2.5. Data illustrates the mean of four biological replicates with two to three technical replicates ± SD. Killing activity (F) and effector fold change (G) of anti-CD33 CAR or NT cells after 1, 2</w:t>
      </w:r>
      <w:r w:rsidR="00922BEF" w:rsidRPr="00B75DDC">
        <w:rPr>
          <w:rFonts w:eastAsia="Times New Roman" w:cs="Arial"/>
          <w:kern w:val="0"/>
          <w:sz w:val="22"/>
          <w:lang w:val="en-US"/>
          <w14:ligatures w14:val="none"/>
        </w:rPr>
        <w:t>,</w:t>
      </w:r>
      <w:r w:rsidR="00507E71" w:rsidRPr="00B75DDC">
        <w:rPr>
          <w:rFonts w:eastAsia="Times New Roman" w:cs="Arial"/>
          <w:kern w:val="0"/>
          <w:sz w:val="22"/>
          <w:lang w:val="en-US"/>
          <w14:ligatures w14:val="none"/>
        </w:rPr>
        <w:t xml:space="preserve"> or 3 re-challenges. (H) Analysis of cytokines in the supernatant of anti-CD33 CAR T cells re-challenged with indicated tumor cells three times, measured by ELISA. Statistical analysis was performed via </w:t>
      </w:r>
      <w:r w:rsidR="00922BEF" w:rsidRPr="00B75DDC">
        <w:rPr>
          <w:rFonts w:eastAsia="Times New Roman" w:cs="Arial"/>
          <w:kern w:val="0"/>
          <w:sz w:val="22"/>
          <w:lang w:val="en-US"/>
          <w14:ligatures w14:val="none"/>
        </w:rPr>
        <w:t>o</w:t>
      </w:r>
      <w:r w:rsidR="00507E71" w:rsidRPr="00B75DDC">
        <w:rPr>
          <w:rFonts w:eastAsia="Times New Roman" w:cs="Arial"/>
          <w:kern w:val="0"/>
          <w:sz w:val="22"/>
          <w:lang w:val="en-US"/>
          <w14:ligatures w14:val="none"/>
        </w:rPr>
        <w:t xml:space="preserve">ne-way ANOVA (B-D+H) or </w:t>
      </w:r>
      <w:r w:rsidR="00922BEF" w:rsidRPr="00B75DDC">
        <w:rPr>
          <w:rFonts w:eastAsia="Times New Roman" w:cs="Arial"/>
          <w:kern w:val="0"/>
          <w:sz w:val="22"/>
          <w:lang w:val="en-US"/>
          <w14:ligatures w14:val="none"/>
        </w:rPr>
        <w:t>t</w:t>
      </w:r>
      <w:r w:rsidR="00507E71" w:rsidRPr="00B75DDC">
        <w:rPr>
          <w:rFonts w:eastAsia="Times New Roman" w:cs="Arial"/>
          <w:kern w:val="0"/>
          <w:sz w:val="22"/>
          <w:lang w:val="en-US"/>
          <w14:ligatures w14:val="none"/>
        </w:rPr>
        <w:t>wo-way ANOVA with Tukey’s multiple comparison (F+G); *p&lt;0.05; **p&lt;0.01.</w:t>
      </w:r>
    </w:p>
    <w:p w14:paraId="6A701C1B" w14:textId="66A6365E" w:rsidR="009A353B" w:rsidRPr="004B3D8B" w:rsidRDefault="009A353B" w:rsidP="00513328">
      <w:pPr>
        <w:spacing w:line="276" w:lineRule="auto"/>
        <w:rPr>
          <w:rFonts w:eastAsia="Times New Roman" w:cs="Arial"/>
          <w:i/>
          <w:iCs/>
          <w:color w:val="44546A" w:themeColor="text2"/>
          <w:kern w:val="0"/>
          <w:sz w:val="22"/>
          <w:lang w:val="en-US"/>
          <w14:ligatures w14:val="none"/>
        </w:rPr>
      </w:pPr>
      <w:r w:rsidRPr="004B3D8B">
        <w:rPr>
          <w:rFonts w:eastAsia="Times New Roman" w:cs="Arial"/>
          <w:i/>
          <w:iCs/>
          <w:color w:val="44546A" w:themeColor="text2"/>
          <w:kern w:val="0"/>
          <w:sz w:val="22"/>
          <w:lang w:val="en-US"/>
          <w14:ligatures w14:val="none"/>
        </w:rPr>
        <w:br w:type="page"/>
      </w:r>
    </w:p>
    <w:p w14:paraId="5EF41CB2" w14:textId="3B825AB2" w:rsidR="009A353B" w:rsidRPr="004B3D8B" w:rsidRDefault="009A353B" w:rsidP="00513328">
      <w:pPr>
        <w:pStyle w:val="berschrift1"/>
        <w:spacing w:line="276" w:lineRule="auto"/>
        <w:rPr>
          <w:rFonts w:cs="Arial"/>
          <w:sz w:val="22"/>
          <w:szCs w:val="22"/>
          <w:lang w:val="en-US"/>
        </w:rPr>
      </w:pPr>
      <w:bookmarkStart w:id="19" w:name="_Toc237907086"/>
      <w:r w:rsidRPr="004B3D8B">
        <w:rPr>
          <w:rFonts w:cs="Arial"/>
          <w:sz w:val="22"/>
          <w:szCs w:val="22"/>
          <w:lang w:val="en-US"/>
        </w:rPr>
        <w:lastRenderedPageBreak/>
        <w:t>Supplementary Figure 3</w:t>
      </w:r>
      <w:bookmarkEnd w:id="19"/>
    </w:p>
    <w:p w14:paraId="1180AD16" w14:textId="7E898044" w:rsidR="009A353B" w:rsidRPr="00CE514C" w:rsidRDefault="00CE514C" w:rsidP="00513328">
      <w:pPr>
        <w:spacing w:line="276" w:lineRule="auto"/>
        <w:rPr>
          <w:rFonts w:eastAsia="Times New Roman" w:cs="Arial"/>
          <w:color w:val="44546A" w:themeColor="text2"/>
          <w:kern w:val="0"/>
          <w:sz w:val="22"/>
          <w:lang w:val="en-US"/>
          <w14:ligatures w14:val="none"/>
        </w:rPr>
      </w:pPr>
      <w:r>
        <w:rPr>
          <w:rFonts w:eastAsia="Times New Roman" w:cs="Arial"/>
          <w:noProof/>
          <w:color w:val="44546A" w:themeColor="text2"/>
          <w:kern w:val="0"/>
          <w:sz w:val="22"/>
          <w:lang w:val="en-US"/>
          <w14:ligatures w14:val="none"/>
        </w:rPr>
        <w:drawing>
          <wp:inline distT="0" distB="0" distL="0" distR="0" wp14:anchorId="04C28064" wp14:editId="0A1EB280">
            <wp:extent cx="5731200" cy="4559860"/>
            <wp:effectExtent l="0" t="0" r="3175" b="0"/>
            <wp:docPr id="83619213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92136" name="Grafik 836192136"/>
                    <pic:cNvPicPr/>
                  </pic:nvPicPr>
                  <pic:blipFill rotWithShape="1">
                    <a:blip r:embed="rId9" cstate="print">
                      <a:extLst>
                        <a:ext uri="{28A0092B-C50C-407E-A947-70E740481C1C}">
                          <a14:useLocalDpi xmlns:a14="http://schemas.microsoft.com/office/drawing/2010/main" val="0"/>
                        </a:ext>
                      </a:extLst>
                    </a:blip>
                    <a:srcRect l="8428" t="6397" r="9087" b="42893"/>
                    <a:stretch>
                      <a:fillRect/>
                    </a:stretch>
                  </pic:blipFill>
                  <pic:spPr bwMode="auto">
                    <a:xfrm>
                      <a:off x="0" y="0"/>
                      <a:ext cx="5731200" cy="4559860"/>
                    </a:xfrm>
                    <a:prstGeom prst="rect">
                      <a:avLst/>
                    </a:prstGeom>
                    <a:ln>
                      <a:noFill/>
                    </a:ln>
                    <a:extLst>
                      <a:ext uri="{53640926-AAD7-44D8-BBD7-CCE9431645EC}">
                        <a14:shadowObscured xmlns:a14="http://schemas.microsoft.com/office/drawing/2010/main"/>
                      </a:ext>
                    </a:extLst>
                  </pic:spPr>
                </pic:pic>
              </a:graphicData>
            </a:graphic>
          </wp:inline>
        </w:drawing>
      </w:r>
    </w:p>
    <w:p w14:paraId="0CCFB057" w14:textId="6E2E5202" w:rsidR="009A353B" w:rsidRPr="00B75DDC" w:rsidRDefault="00507E71" w:rsidP="00513328">
      <w:pPr>
        <w:spacing w:line="276" w:lineRule="auto"/>
        <w:jc w:val="both"/>
        <w:rPr>
          <w:rFonts w:eastAsia="Times New Roman" w:cs="Arial"/>
          <w:kern w:val="0"/>
          <w:sz w:val="22"/>
          <w:lang w:val="en-US"/>
          <w14:ligatures w14:val="none"/>
        </w:rPr>
      </w:pPr>
      <w:r w:rsidRPr="00B75DDC">
        <w:rPr>
          <w:rFonts w:eastAsia="Times New Roman" w:cs="Arial"/>
          <w:kern w:val="0"/>
          <w:sz w:val="22"/>
          <w:lang w:val="en-US"/>
          <w14:ligatures w14:val="none"/>
        </w:rPr>
        <w:t>Figure S3</w:t>
      </w:r>
      <w:r w:rsidR="00AB257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LILRB2 expression by the THP1 AML cell line impairs CAR T-cell functionality in vivo. NSG mice were sub-lethally irradiated and injected </w:t>
      </w:r>
      <w:proofErr w:type="spellStart"/>
      <w:r w:rsidRPr="00B75DDC">
        <w:rPr>
          <w:rFonts w:eastAsia="Times New Roman" w:cs="Arial"/>
          <w:kern w:val="0"/>
          <w:sz w:val="22"/>
          <w:lang w:val="en-US"/>
          <w14:ligatures w14:val="none"/>
        </w:rPr>
        <w:t>i.v.</w:t>
      </w:r>
      <w:proofErr w:type="spellEnd"/>
      <w:r w:rsidRPr="00B75DDC">
        <w:rPr>
          <w:rFonts w:eastAsia="Times New Roman" w:cs="Arial"/>
          <w:kern w:val="0"/>
          <w:sz w:val="22"/>
          <w:lang w:val="en-US"/>
          <w14:ligatures w14:val="none"/>
        </w:rPr>
        <w:t xml:space="preserve"> with 1x10</w:t>
      </w:r>
      <w:r w:rsidRPr="00B75DDC">
        <w:rPr>
          <w:rFonts w:eastAsia="Times New Roman" w:cs="Arial"/>
          <w:kern w:val="0"/>
          <w:sz w:val="22"/>
          <w:vertAlign w:val="superscript"/>
          <w:lang w:val="en-US"/>
          <w14:ligatures w14:val="none"/>
        </w:rPr>
        <w:t>6</w:t>
      </w:r>
      <w:r w:rsidRPr="00B75DDC">
        <w:rPr>
          <w:rFonts w:eastAsia="Times New Roman" w:cs="Arial"/>
          <w:kern w:val="0"/>
          <w:sz w:val="22"/>
          <w:lang w:val="en-US"/>
          <w14:ligatures w14:val="none"/>
        </w:rPr>
        <w:t xml:space="preserve"> THP1 </w:t>
      </w:r>
      <w:proofErr w:type="spellStart"/>
      <w:r w:rsidRPr="00B75DDC">
        <w:rPr>
          <w:rFonts w:eastAsia="Times New Roman" w:cs="Arial"/>
          <w:kern w:val="0"/>
          <w:sz w:val="22"/>
          <w:lang w:val="en-US"/>
          <w14:ligatures w14:val="none"/>
        </w:rPr>
        <w:t>wt</w:t>
      </w:r>
      <w:proofErr w:type="spellEnd"/>
      <w:r w:rsidRPr="00B75DDC">
        <w:rPr>
          <w:rFonts w:eastAsia="Times New Roman" w:cs="Arial"/>
          <w:kern w:val="0"/>
          <w:sz w:val="22"/>
          <w:lang w:val="en-US"/>
          <w14:ligatures w14:val="none"/>
        </w:rPr>
        <w:t>, LILRB2 KO or LILRB2 high cells. After 9 days, mice were treated with 1x10</w:t>
      </w:r>
      <w:r w:rsidRPr="00B75DDC">
        <w:rPr>
          <w:rFonts w:eastAsia="Times New Roman" w:cs="Arial"/>
          <w:kern w:val="0"/>
          <w:sz w:val="22"/>
          <w:vertAlign w:val="superscript"/>
          <w:lang w:val="en-US"/>
          <w14:ligatures w14:val="none"/>
        </w:rPr>
        <w:t>6</w:t>
      </w:r>
      <w:r w:rsidRPr="00B75DDC">
        <w:rPr>
          <w:rFonts w:eastAsia="Times New Roman" w:cs="Arial"/>
          <w:kern w:val="0"/>
          <w:sz w:val="22"/>
          <w:lang w:val="en-US"/>
          <w14:ligatures w14:val="none"/>
        </w:rPr>
        <w:t xml:space="preserve"> anti-CD33 CAR+ T cells </w:t>
      </w:r>
      <w:proofErr w:type="spellStart"/>
      <w:r w:rsidRPr="00B75DDC">
        <w:rPr>
          <w:rFonts w:eastAsia="Times New Roman" w:cs="Arial"/>
          <w:kern w:val="0"/>
          <w:sz w:val="22"/>
          <w:lang w:val="en-US"/>
          <w14:ligatures w14:val="none"/>
        </w:rPr>
        <w:t>i.v.</w:t>
      </w:r>
      <w:proofErr w:type="spellEnd"/>
      <w:r w:rsidRPr="00B75DDC">
        <w:rPr>
          <w:rFonts w:eastAsia="Times New Roman" w:cs="Arial"/>
          <w:kern w:val="0"/>
          <w:sz w:val="22"/>
          <w:lang w:val="en-US"/>
          <w14:ligatures w14:val="none"/>
        </w:rPr>
        <w:t xml:space="preserve"> NT cell injection served as control. (A) IVIS images of mice receiving the indicated treatments. (B) Total flux (photons / second) of the depicted treatment groups at different timepoints, as measured by IVIS. (C-F) Total count of target cells in the spleen (C) or PB (E) or of hCD3+ cells in the spleen (D) or PB (F) at humane endpoint or end of the experiment (day 50), measured by flow cytometry. (G) Percentage of LILRB2 positive target cells in the BM at humane endpoint or end of the experiment (day 50), measured by flow cytometry. For C-G</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every dot represents a mouse. For B</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data are represented as mean ± SD (n=3-5). Statistical analysis was performed via </w:t>
      </w:r>
      <w:r w:rsidR="00922BEF" w:rsidRPr="00B75DDC">
        <w:rPr>
          <w:rFonts w:eastAsia="Times New Roman" w:cs="Arial"/>
          <w:kern w:val="0"/>
          <w:sz w:val="22"/>
          <w:lang w:val="en-US"/>
          <w14:ligatures w14:val="none"/>
        </w:rPr>
        <w:t>t</w:t>
      </w:r>
      <w:r w:rsidRPr="00B75DDC">
        <w:rPr>
          <w:rFonts w:eastAsia="Times New Roman" w:cs="Arial"/>
          <w:kern w:val="0"/>
          <w:sz w:val="22"/>
          <w:lang w:val="en-US"/>
          <w14:ligatures w14:val="none"/>
        </w:rPr>
        <w:t xml:space="preserve">wo-way ANOVA (B) or </w:t>
      </w:r>
      <w:r w:rsidR="00922BEF" w:rsidRPr="00B75DDC">
        <w:rPr>
          <w:rFonts w:eastAsia="Times New Roman" w:cs="Arial"/>
          <w:kern w:val="0"/>
          <w:sz w:val="22"/>
          <w:lang w:val="en-US"/>
          <w14:ligatures w14:val="none"/>
        </w:rPr>
        <w:t>o</w:t>
      </w:r>
      <w:r w:rsidRPr="00B75DDC">
        <w:rPr>
          <w:rFonts w:eastAsia="Times New Roman" w:cs="Arial"/>
          <w:kern w:val="0"/>
          <w:sz w:val="22"/>
          <w:lang w:val="en-US"/>
          <w14:ligatures w14:val="none"/>
        </w:rPr>
        <w:t>ne-way ANOVA (C-G) with Tukey’s multiple comparison; *p&lt;0.05; **p&lt;0.01; ***p&lt;0.001; ****p&lt;0.0001.</w:t>
      </w:r>
    </w:p>
    <w:p w14:paraId="6CC1FC2E" w14:textId="77777777" w:rsidR="009A353B" w:rsidRPr="004B3D8B" w:rsidRDefault="009A353B" w:rsidP="00513328">
      <w:pPr>
        <w:spacing w:line="276" w:lineRule="auto"/>
        <w:rPr>
          <w:rFonts w:eastAsia="Times New Roman" w:cs="Arial"/>
          <w:i/>
          <w:iCs/>
          <w:color w:val="44546A" w:themeColor="text2"/>
          <w:kern w:val="0"/>
          <w:sz w:val="22"/>
          <w:lang w:val="en-US"/>
          <w14:ligatures w14:val="none"/>
        </w:rPr>
      </w:pPr>
      <w:r w:rsidRPr="004B3D8B">
        <w:rPr>
          <w:rFonts w:eastAsia="Times New Roman" w:cs="Arial"/>
          <w:i/>
          <w:iCs/>
          <w:color w:val="44546A" w:themeColor="text2"/>
          <w:kern w:val="0"/>
          <w:sz w:val="22"/>
          <w:lang w:val="en-US"/>
          <w14:ligatures w14:val="none"/>
        </w:rPr>
        <w:br w:type="page"/>
      </w:r>
    </w:p>
    <w:p w14:paraId="483DCA9E" w14:textId="77777777" w:rsidR="00E94E27" w:rsidRDefault="009A353B" w:rsidP="00513328">
      <w:pPr>
        <w:pStyle w:val="berschrift1"/>
        <w:spacing w:line="276" w:lineRule="auto"/>
        <w:rPr>
          <w:rFonts w:cs="Arial"/>
          <w:sz w:val="22"/>
          <w:szCs w:val="22"/>
          <w:lang w:val="en-US"/>
        </w:rPr>
      </w:pPr>
      <w:bookmarkStart w:id="20" w:name="_Toc237907087"/>
      <w:r w:rsidRPr="004B3D8B">
        <w:rPr>
          <w:rFonts w:cs="Arial"/>
          <w:sz w:val="22"/>
          <w:szCs w:val="22"/>
          <w:lang w:val="en-US"/>
        </w:rPr>
        <w:lastRenderedPageBreak/>
        <w:t>Supplementary Figure 4</w:t>
      </w:r>
      <w:bookmarkEnd w:id="20"/>
    </w:p>
    <w:p w14:paraId="5D074F78" w14:textId="18351A47" w:rsidR="00507E71" w:rsidRPr="00C16DFA" w:rsidRDefault="00CE514C" w:rsidP="00513328">
      <w:pPr>
        <w:spacing w:line="276" w:lineRule="auto"/>
        <w:rPr>
          <w:lang w:val="en-US"/>
        </w:rPr>
      </w:pPr>
      <w:r>
        <w:rPr>
          <w:noProof/>
          <w:lang w:val="en-US"/>
        </w:rPr>
        <w:drawing>
          <wp:inline distT="0" distB="0" distL="0" distR="0" wp14:anchorId="7112EF3D" wp14:editId="4739A93F">
            <wp:extent cx="5731200" cy="3256698"/>
            <wp:effectExtent l="0" t="0" r="3175" b="1270"/>
            <wp:docPr id="2966025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0259" name="Grafik 29660259"/>
                    <pic:cNvPicPr/>
                  </pic:nvPicPr>
                  <pic:blipFill rotWithShape="1">
                    <a:blip r:embed="rId10" cstate="print">
                      <a:extLst>
                        <a:ext uri="{28A0092B-C50C-407E-A947-70E740481C1C}">
                          <a14:useLocalDpi xmlns:a14="http://schemas.microsoft.com/office/drawing/2010/main" val="0"/>
                        </a:ext>
                      </a:extLst>
                    </a:blip>
                    <a:srcRect l="8728" t="6164" r="8631" b="57551"/>
                    <a:stretch>
                      <a:fillRect/>
                    </a:stretch>
                  </pic:blipFill>
                  <pic:spPr bwMode="auto">
                    <a:xfrm>
                      <a:off x="0" y="0"/>
                      <a:ext cx="5731200" cy="3256698"/>
                    </a:xfrm>
                    <a:prstGeom prst="rect">
                      <a:avLst/>
                    </a:prstGeom>
                    <a:ln>
                      <a:noFill/>
                    </a:ln>
                    <a:extLst>
                      <a:ext uri="{53640926-AAD7-44D8-BBD7-CCE9431645EC}">
                        <a14:shadowObscured xmlns:a14="http://schemas.microsoft.com/office/drawing/2010/main"/>
                      </a:ext>
                    </a:extLst>
                  </pic:spPr>
                </pic:pic>
              </a:graphicData>
            </a:graphic>
          </wp:inline>
        </w:drawing>
      </w:r>
    </w:p>
    <w:p w14:paraId="7F348775" w14:textId="39419074" w:rsidR="009A353B" w:rsidRPr="00B75DDC" w:rsidRDefault="00507E71" w:rsidP="00513328">
      <w:pPr>
        <w:spacing w:line="276" w:lineRule="auto"/>
        <w:jc w:val="both"/>
        <w:rPr>
          <w:rFonts w:eastAsia="Times New Roman" w:cs="Arial"/>
          <w:kern w:val="0"/>
          <w:sz w:val="22"/>
          <w:lang w:val="en-US"/>
          <w14:ligatures w14:val="none"/>
        </w:rPr>
      </w:pPr>
      <w:r w:rsidRPr="00B75DDC">
        <w:rPr>
          <w:rFonts w:eastAsia="Times New Roman" w:cs="Arial"/>
          <w:kern w:val="0"/>
          <w:sz w:val="22"/>
          <w:lang w:val="en-US"/>
          <w14:ligatures w14:val="none"/>
        </w:rPr>
        <w:t>Figure S4</w:t>
      </w:r>
      <w:r w:rsidR="00AB257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LILRB2 expression in AML enhances CAR T-cell differentiation and exhaustion only in long</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term in vitro assays. (A+D) Percentage of hCD3+ cells expressing PD-1, LAG-3</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TIM-3 in the anti-CD33 CAR T-cell conditions after a 1-day co-culture (A) or re-challenge assay (D) with indicated tumor cells. (B+C) Percentage of </w:t>
      </w:r>
      <w:proofErr w:type="gramStart"/>
      <w:r w:rsidRPr="00B75DDC">
        <w:rPr>
          <w:rFonts w:eastAsia="Times New Roman" w:cs="Arial"/>
          <w:kern w:val="0"/>
          <w:sz w:val="22"/>
          <w:lang w:val="en-US"/>
          <w14:ligatures w14:val="none"/>
        </w:rPr>
        <w:t>naïve</w:t>
      </w:r>
      <w:proofErr w:type="gramEnd"/>
      <w:r w:rsidRPr="00B75DDC">
        <w:rPr>
          <w:rFonts w:eastAsia="Times New Roman" w:cs="Arial"/>
          <w:kern w:val="0"/>
          <w:sz w:val="22"/>
          <w:lang w:val="en-US"/>
          <w14:ligatures w14:val="none"/>
        </w:rPr>
        <w:t xml:space="preserve"> and stem cell memory (T</w:t>
      </w:r>
      <w:r w:rsidRPr="00B75DDC">
        <w:rPr>
          <w:rFonts w:eastAsia="Times New Roman" w:cs="Arial"/>
          <w:kern w:val="0"/>
          <w:sz w:val="22"/>
          <w:vertAlign w:val="subscript"/>
          <w:lang w:val="en-US"/>
          <w14:ligatures w14:val="none"/>
        </w:rPr>
        <w:t>N</w:t>
      </w:r>
      <w:r w:rsidRPr="00B75DDC">
        <w:rPr>
          <w:rStyle w:val="Kommentarzeichen"/>
          <w:rFonts w:cs="Arial"/>
          <w:sz w:val="22"/>
          <w:szCs w:val="22"/>
          <w:lang w:val="en-US"/>
        </w:rPr>
        <w:t>)</w:t>
      </w:r>
      <w:r w:rsidRPr="00B75DDC">
        <w:rPr>
          <w:rFonts w:eastAsia="Times New Roman" w:cs="Arial"/>
          <w:kern w:val="0"/>
          <w:sz w:val="22"/>
          <w:lang w:val="en-US"/>
          <w14:ligatures w14:val="none"/>
        </w:rPr>
        <w:t>, central memory (T</w:t>
      </w:r>
      <w:r w:rsidRPr="00B75DDC">
        <w:rPr>
          <w:rFonts w:eastAsia="Times New Roman" w:cs="Arial"/>
          <w:kern w:val="0"/>
          <w:sz w:val="22"/>
          <w:vertAlign w:val="subscript"/>
          <w:lang w:val="en-US"/>
          <w14:ligatures w14:val="none"/>
        </w:rPr>
        <w:t>CM</w:t>
      </w:r>
      <w:r w:rsidRPr="00B75DDC">
        <w:rPr>
          <w:rFonts w:eastAsia="Times New Roman" w:cs="Arial"/>
          <w:kern w:val="0"/>
          <w:sz w:val="22"/>
          <w:lang w:val="en-US"/>
          <w14:ligatures w14:val="none"/>
        </w:rPr>
        <w:t>), effector memory (T</w:t>
      </w:r>
      <w:r w:rsidRPr="00B75DDC">
        <w:rPr>
          <w:rFonts w:eastAsia="Times New Roman" w:cs="Arial"/>
          <w:kern w:val="0"/>
          <w:sz w:val="22"/>
          <w:vertAlign w:val="subscript"/>
          <w:lang w:val="en-US"/>
          <w14:ligatures w14:val="none"/>
        </w:rPr>
        <w:t>EM</w:t>
      </w:r>
      <w:r w:rsidRPr="00B75DDC">
        <w:rPr>
          <w:rFonts w:eastAsia="Times New Roman" w:cs="Arial"/>
          <w:kern w:val="0"/>
          <w:sz w:val="22"/>
          <w:lang w:val="en-US"/>
          <w14:ligatures w14:val="none"/>
        </w:rPr>
        <w:t>)</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terminal effector (T</w:t>
      </w:r>
      <w:r w:rsidRPr="00B75DDC">
        <w:rPr>
          <w:rFonts w:eastAsia="Times New Roman" w:cs="Arial"/>
          <w:kern w:val="0"/>
          <w:sz w:val="22"/>
          <w:vertAlign w:val="subscript"/>
          <w:lang w:val="en-US"/>
          <w14:ligatures w14:val="none"/>
        </w:rPr>
        <w:t>TE</w:t>
      </w:r>
      <w:r w:rsidRPr="00B75DDC">
        <w:rPr>
          <w:rFonts w:eastAsia="Times New Roman" w:cs="Arial"/>
          <w:kern w:val="0"/>
          <w:sz w:val="22"/>
          <w:lang w:val="en-US"/>
          <w14:ligatures w14:val="none"/>
        </w:rPr>
        <w:t>) hCD3+ cells, as defined by hCD45RA and hCD62L expression. after the indicated 1-day co-culture (B) or re-challenge assay (C) conditions. One-day co-cultures were performed at an E:T ratio of 1:1</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data illustrates three biological replicates with two technical replicates each ± SD. The re-challenge assay was performed at an E:T ratio of 1:2.5</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data </w:t>
      </w:r>
      <w:r w:rsidR="00922BEF" w:rsidRPr="00B75DDC">
        <w:rPr>
          <w:rFonts w:eastAsia="Times New Roman" w:cs="Arial"/>
          <w:kern w:val="0"/>
          <w:sz w:val="22"/>
          <w:lang w:val="en-US"/>
          <w14:ligatures w14:val="none"/>
        </w:rPr>
        <w:t xml:space="preserve">shows </w:t>
      </w:r>
      <w:r w:rsidRPr="00B75DDC">
        <w:rPr>
          <w:rFonts w:eastAsia="Times New Roman" w:cs="Arial"/>
          <w:kern w:val="0"/>
          <w:sz w:val="22"/>
          <w:lang w:val="en-US"/>
          <w14:ligatures w14:val="none"/>
        </w:rPr>
        <w:t>the mean</w:t>
      </w:r>
      <w:r w:rsidR="00922BEF" w:rsidRPr="00B75DDC">
        <w:rPr>
          <w:rFonts w:eastAsia="Times New Roman" w:cs="Arial"/>
          <w:kern w:val="0"/>
          <w:sz w:val="22"/>
          <w:lang w:val="en-US"/>
          <w14:ligatures w14:val="none"/>
        </w:rPr>
        <w:t xml:space="preserve"> ± SD</w:t>
      </w:r>
      <w:r w:rsidRPr="00B75DDC">
        <w:rPr>
          <w:rFonts w:eastAsia="Times New Roman" w:cs="Arial"/>
          <w:kern w:val="0"/>
          <w:sz w:val="22"/>
          <w:lang w:val="en-US"/>
          <w14:ligatures w14:val="none"/>
        </w:rPr>
        <w:t xml:space="preserve"> of four biological replicates</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with two to three technical replicates each. </w:t>
      </w:r>
      <w:r w:rsidR="00714DD1" w:rsidRPr="00B75DDC">
        <w:rPr>
          <w:rFonts w:eastAsia="Times New Roman" w:cs="Arial"/>
          <w:kern w:val="0"/>
          <w:sz w:val="22"/>
          <w:lang w:val="en-US"/>
          <w14:ligatures w14:val="none"/>
        </w:rPr>
        <w:t xml:space="preserve">(E) Killing activity of anti-CD33 CAR T cells after a 5-day co-culture with THP1 </w:t>
      </w:r>
      <w:proofErr w:type="spellStart"/>
      <w:r w:rsidR="00714DD1" w:rsidRPr="00B75DDC">
        <w:rPr>
          <w:rFonts w:eastAsia="Times New Roman" w:cs="Arial"/>
          <w:kern w:val="0"/>
          <w:sz w:val="22"/>
          <w:lang w:val="en-US"/>
          <w14:ligatures w14:val="none"/>
        </w:rPr>
        <w:t>wt</w:t>
      </w:r>
      <w:proofErr w:type="spellEnd"/>
      <w:r w:rsidR="00714DD1" w:rsidRPr="00B75DDC">
        <w:rPr>
          <w:rFonts w:eastAsia="Times New Roman" w:cs="Arial"/>
          <w:kern w:val="0"/>
          <w:sz w:val="22"/>
          <w:lang w:val="en-US"/>
          <w14:ligatures w14:val="none"/>
        </w:rPr>
        <w:t>, THP1 LILRB2 KO or THP1 LILRB2 high cells as measured by flow cytometry. Data illustrates the mean</w:t>
      </w:r>
      <w:r w:rsidR="00922BEF" w:rsidRPr="00B75DDC">
        <w:rPr>
          <w:rFonts w:eastAsia="Times New Roman" w:cs="Arial"/>
          <w:kern w:val="0"/>
          <w:sz w:val="22"/>
          <w:lang w:val="en-US"/>
          <w14:ligatures w14:val="none"/>
        </w:rPr>
        <w:t xml:space="preserve"> ± SD</w:t>
      </w:r>
      <w:r w:rsidR="00714DD1" w:rsidRPr="00B75DDC">
        <w:rPr>
          <w:rFonts w:eastAsia="Times New Roman" w:cs="Arial"/>
          <w:kern w:val="0"/>
          <w:sz w:val="22"/>
          <w:lang w:val="en-US"/>
          <w14:ligatures w14:val="none"/>
        </w:rPr>
        <w:t xml:space="preserve"> of two technical replicates. </w:t>
      </w:r>
      <w:r w:rsidRPr="00B75DDC">
        <w:rPr>
          <w:rFonts w:eastAsia="Times New Roman" w:cs="Arial"/>
          <w:kern w:val="0"/>
          <w:sz w:val="22"/>
          <w:lang w:val="en-US"/>
          <w14:ligatures w14:val="none"/>
        </w:rPr>
        <w:t xml:space="preserve">Statistical analysis was performed via </w:t>
      </w:r>
      <w:r w:rsidR="00922BEF" w:rsidRPr="00B75DDC">
        <w:rPr>
          <w:rFonts w:eastAsia="Times New Roman" w:cs="Arial"/>
          <w:kern w:val="0"/>
          <w:sz w:val="22"/>
          <w:lang w:val="en-US"/>
          <w14:ligatures w14:val="none"/>
        </w:rPr>
        <w:t>t</w:t>
      </w:r>
      <w:r w:rsidRPr="00B75DDC">
        <w:rPr>
          <w:rFonts w:eastAsia="Times New Roman" w:cs="Arial"/>
          <w:kern w:val="0"/>
          <w:sz w:val="22"/>
          <w:lang w:val="en-US"/>
          <w14:ligatures w14:val="none"/>
        </w:rPr>
        <w:t>wo-way ANOVA with Tukey’s multiple comparison; **p&lt;0.01</w:t>
      </w:r>
      <w:r w:rsidR="00714DD1" w:rsidRPr="00B75DDC">
        <w:rPr>
          <w:rFonts w:eastAsia="Times New Roman" w:cs="Arial"/>
          <w:kern w:val="0"/>
          <w:sz w:val="22"/>
          <w:lang w:val="en-US"/>
          <w14:ligatures w14:val="none"/>
        </w:rPr>
        <w:t>, ****p&lt;0.0</w:t>
      </w:r>
      <w:r w:rsidR="00AA1CB5" w:rsidRPr="00B75DDC">
        <w:rPr>
          <w:rFonts w:eastAsia="Times New Roman" w:cs="Arial"/>
          <w:kern w:val="0"/>
          <w:sz w:val="22"/>
          <w:lang w:val="en-US"/>
          <w14:ligatures w14:val="none"/>
        </w:rPr>
        <w:t>00</w:t>
      </w:r>
      <w:r w:rsidR="00714DD1" w:rsidRPr="00B75DDC">
        <w:rPr>
          <w:rFonts w:eastAsia="Times New Roman" w:cs="Arial"/>
          <w:kern w:val="0"/>
          <w:sz w:val="22"/>
          <w:lang w:val="en-US"/>
          <w14:ligatures w14:val="none"/>
        </w:rPr>
        <w:t>1</w:t>
      </w:r>
      <w:r w:rsidRPr="00B75DDC">
        <w:rPr>
          <w:rFonts w:eastAsia="Times New Roman" w:cs="Arial"/>
          <w:kern w:val="0"/>
          <w:sz w:val="22"/>
          <w:lang w:val="en-US"/>
          <w14:ligatures w14:val="none"/>
        </w:rPr>
        <w:t>.</w:t>
      </w:r>
    </w:p>
    <w:p w14:paraId="761C6121" w14:textId="77777777" w:rsidR="009A353B" w:rsidRPr="004B3D8B" w:rsidRDefault="009A353B" w:rsidP="00513328">
      <w:pPr>
        <w:spacing w:line="276" w:lineRule="auto"/>
        <w:rPr>
          <w:rFonts w:eastAsia="Times New Roman" w:cs="Arial"/>
          <w:i/>
          <w:iCs/>
          <w:color w:val="44546A" w:themeColor="text2"/>
          <w:kern w:val="0"/>
          <w:sz w:val="22"/>
          <w:lang w:val="en-US"/>
          <w14:ligatures w14:val="none"/>
        </w:rPr>
      </w:pPr>
      <w:r w:rsidRPr="004B3D8B">
        <w:rPr>
          <w:rFonts w:eastAsia="Times New Roman" w:cs="Arial"/>
          <w:i/>
          <w:iCs/>
          <w:color w:val="44546A" w:themeColor="text2"/>
          <w:kern w:val="0"/>
          <w:sz w:val="22"/>
          <w:lang w:val="en-US"/>
          <w14:ligatures w14:val="none"/>
        </w:rPr>
        <w:br w:type="page"/>
      </w:r>
    </w:p>
    <w:p w14:paraId="6431BF81" w14:textId="3DE53BEB" w:rsidR="009A353B" w:rsidRPr="004B3D8B" w:rsidRDefault="009A353B" w:rsidP="00513328">
      <w:pPr>
        <w:pStyle w:val="berschrift1"/>
        <w:spacing w:line="276" w:lineRule="auto"/>
        <w:rPr>
          <w:rFonts w:cs="Arial"/>
          <w:sz w:val="22"/>
          <w:szCs w:val="22"/>
          <w:lang w:val="en-US"/>
        </w:rPr>
      </w:pPr>
      <w:bookmarkStart w:id="21" w:name="_Toc237907088"/>
      <w:r w:rsidRPr="004B3D8B">
        <w:rPr>
          <w:rFonts w:cs="Arial"/>
          <w:sz w:val="22"/>
          <w:szCs w:val="22"/>
          <w:lang w:val="en-US"/>
        </w:rPr>
        <w:lastRenderedPageBreak/>
        <w:t>Supplementary Figure 5</w:t>
      </w:r>
      <w:bookmarkEnd w:id="21"/>
    </w:p>
    <w:p w14:paraId="3F700E06" w14:textId="2512A509" w:rsidR="00507E71" w:rsidRPr="00CE514C" w:rsidRDefault="00CE514C" w:rsidP="00513328">
      <w:pPr>
        <w:spacing w:line="276" w:lineRule="auto"/>
        <w:jc w:val="both"/>
        <w:rPr>
          <w:rFonts w:eastAsia="Times New Roman" w:cs="Arial"/>
          <w:color w:val="44546A" w:themeColor="text2"/>
          <w:kern w:val="0"/>
          <w:sz w:val="22"/>
          <w:lang w:val="en-US"/>
          <w14:ligatures w14:val="none"/>
        </w:rPr>
      </w:pPr>
      <w:r>
        <w:rPr>
          <w:rFonts w:eastAsia="Times New Roman" w:cs="Arial"/>
          <w:noProof/>
          <w:color w:val="44546A" w:themeColor="text2"/>
          <w:kern w:val="0"/>
          <w:sz w:val="22"/>
          <w:lang w:val="en-US"/>
          <w14:ligatures w14:val="none"/>
        </w:rPr>
        <w:drawing>
          <wp:inline distT="0" distB="0" distL="0" distR="0" wp14:anchorId="33A169A5" wp14:editId="0642AED4">
            <wp:extent cx="5731200" cy="4692651"/>
            <wp:effectExtent l="0" t="0" r="3175" b="0"/>
            <wp:docPr id="101175793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757930" name="Grafik 1011757930"/>
                    <pic:cNvPicPr/>
                  </pic:nvPicPr>
                  <pic:blipFill rotWithShape="1">
                    <a:blip r:embed="rId11" cstate="print">
                      <a:extLst>
                        <a:ext uri="{28A0092B-C50C-407E-A947-70E740481C1C}">
                          <a14:useLocalDpi xmlns:a14="http://schemas.microsoft.com/office/drawing/2010/main" val="0"/>
                        </a:ext>
                      </a:extLst>
                    </a:blip>
                    <a:srcRect l="8278" t="6512" r="8627" b="40915"/>
                    <a:stretch>
                      <a:fillRect/>
                    </a:stretch>
                  </pic:blipFill>
                  <pic:spPr bwMode="auto">
                    <a:xfrm>
                      <a:off x="0" y="0"/>
                      <a:ext cx="5731200" cy="4692651"/>
                    </a:xfrm>
                    <a:prstGeom prst="rect">
                      <a:avLst/>
                    </a:prstGeom>
                    <a:ln>
                      <a:noFill/>
                    </a:ln>
                    <a:extLst>
                      <a:ext uri="{53640926-AAD7-44D8-BBD7-CCE9431645EC}">
                        <a14:shadowObscured xmlns:a14="http://schemas.microsoft.com/office/drawing/2010/main"/>
                      </a:ext>
                    </a:extLst>
                  </pic:spPr>
                </pic:pic>
              </a:graphicData>
            </a:graphic>
          </wp:inline>
        </w:drawing>
      </w:r>
    </w:p>
    <w:p w14:paraId="2D12D6CE" w14:textId="43602E6A" w:rsidR="009A353B" w:rsidRPr="00B75DDC" w:rsidRDefault="00507E71" w:rsidP="00513328">
      <w:pPr>
        <w:spacing w:line="276" w:lineRule="auto"/>
        <w:jc w:val="both"/>
        <w:rPr>
          <w:rFonts w:eastAsia="Times New Roman" w:cs="Arial"/>
          <w:kern w:val="0"/>
          <w:sz w:val="22"/>
          <w:lang w:val="en-US"/>
          <w14:ligatures w14:val="none"/>
        </w:rPr>
      </w:pPr>
      <w:r w:rsidRPr="00B75DDC">
        <w:rPr>
          <w:rFonts w:eastAsia="Times New Roman" w:cs="Arial"/>
          <w:kern w:val="0"/>
          <w:sz w:val="22"/>
          <w:lang w:val="en-US"/>
          <w14:ligatures w14:val="none"/>
        </w:rPr>
        <w:t>Figure S5</w:t>
      </w:r>
      <w:r w:rsidR="00AB257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Antibody-mediated LILRB2 blockade partially reverses impaired CAR T</w:t>
      </w:r>
      <w:r w:rsidR="001B5350" w:rsidRPr="00B75DDC">
        <w:rPr>
          <w:rFonts w:eastAsia="Times New Roman" w:cs="Arial"/>
          <w:kern w:val="0"/>
          <w:sz w:val="22"/>
          <w:lang w:val="en-US"/>
          <w14:ligatures w14:val="none"/>
        </w:rPr>
        <w:t>-</w:t>
      </w:r>
      <w:r w:rsidRPr="00B75DDC">
        <w:rPr>
          <w:rFonts w:eastAsia="Times New Roman" w:cs="Arial"/>
          <w:kern w:val="0"/>
          <w:sz w:val="22"/>
          <w:lang w:val="en-US"/>
          <w14:ligatures w14:val="none"/>
        </w:rPr>
        <w:t>cell functionality in vitro. Flow cytometric analysis of effector and target cells after a 1-day (A-D) or 5-day (E-H) co-culture of CD33 CAR- or NT T cells with THP1 LILRB2 high cells together with LILRB2 blocking antibodies or isotype control (IgG). The 1-day co-culture was performed at an effector</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to</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target (</w:t>
      </w:r>
      <w:proofErr w:type="gramStart"/>
      <w:r w:rsidRPr="00B75DDC">
        <w:rPr>
          <w:rFonts w:eastAsia="Times New Roman" w:cs="Arial"/>
          <w:kern w:val="0"/>
          <w:sz w:val="22"/>
          <w:lang w:val="en-US"/>
          <w14:ligatures w14:val="none"/>
        </w:rPr>
        <w:t>E:T</w:t>
      </w:r>
      <w:proofErr w:type="gramEnd"/>
      <w:r w:rsidRPr="00B75DDC">
        <w:rPr>
          <w:rFonts w:eastAsia="Times New Roman" w:cs="Arial"/>
          <w:kern w:val="0"/>
          <w:sz w:val="22"/>
          <w:lang w:val="en-US"/>
          <w14:ligatures w14:val="none"/>
        </w:rPr>
        <w:t>) ratio of 1:1,</w:t>
      </w:r>
      <w:r w:rsidR="00922BEF" w:rsidRPr="00B75DDC">
        <w:rPr>
          <w:rFonts w:eastAsia="Times New Roman" w:cs="Arial"/>
          <w:kern w:val="0"/>
          <w:sz w:val="22"/>
          <w:lang w:val="en-US"/>
          <w14:ligatures w14:val="none"/>
        </w:rPr>
        <w:t xml:space="preserve"> and</w:t>
      </w:r>
      <w:r w:rsidRPr="00B75DDC">
        <w:rPr>
          <w:rFonts w:eastAsia="Times New Roman" w:cs="Arial"/>
          <w:kern w:val="0"/>
          <w:sz w:val="22"/>
          <w:lang w:val="en-US"/>
          <w14:ligatures w14:val="none"/>
        </w:rPr>
        <w:t xml:space="preserve"> the 5-day co-culture at the E:T ratios indicated in the graphs. Target (A) and effector (B) cell counts after 1-day co-culture. (C) Percentage of PD-1, LAG-3</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TIM-3 expression of hCD3+ cells in anti-CD33 CAR T-cell conditions treated either with IgG or LILRB2 blocking antibodies during co-culture, as indicated on the Y-axis. (D) Percentage of </w:t>
      </w:r>
      <w:proofErr w:type="gramStart"/>
      <w:r w:rsidRPr="00B75DDC">
        <w:rPr>
          <w:rFonts w:eastAsia="Times New Roman" w:cs="Arial"/>
          <w:kern w:val="0"/>
          <w:sz w:val="22"/>
          <w:lang w:val="en-US"/>
          <w14:ligatures w14:val="none"/>
        </w:rPr>
        <w:t>naïve</w:t>
      </w:r>
      <w:proofErr w:type="gramEnd"/>
      <w:r w:rsidRPr="00B75DDC">
        <w:rPr>
          <w:rFonts w:eastAsia="Times New Roman" w:cs="Arial"/>
          <w:kern w:val="0"/>
          <w:sz w:val="22"/>
          <w:lang w:val="en-US"/>
          <w14:ligatures w14:val="none"/>
        </w:rPr>
        <w:t xml:space="preserve"> and stem cell memory (T</w:t>
      </w:r>
      <w:r w:rsidRPr="00B75DDC">
        <w:rPr>
          <w:rFonts w:eastAsia="Times New Roman" w:cs="Arial"/>
          <w:kern w:val="0"/>
          <w:sz w:val="22"/>
          <w:vertAlign w:val="subscript"/>
          <w:lang w:val="en-US"/>
          <w14:ligatures w14:val="none"/>
        </w:rPr>
        <w:t>N</w:t>
      </w:r>
      <w:r w:rsidRPr="00B75DDC">
        <w:rPr>
          <w:rFonts w:eastAsia="Times New Roman" w:cs="Arial"/>
          <w:kern w:val="0"/>
          <w:sz w:val="22"/>
          <w:lang w:val="en-US"/>
          <w14:ligatures w14:val="none"/>
        </w:rPr>
        <w:t>), central memory (T</w:t>
      </w:r>
      <w:r w:rsidRPr="00B75DDC">
        <w:rPr>
          <w:rFonts w:eastAsia="Times New Roman" w:cs="Arial"/>
          <w:kern w:val="0"/>
          <w:sz w:val="22"/>
          <w:vertAlign w:val="subscript"/>
          <w:lang w:val="en-US"/>
          <w14:ligatures w14:val="none"/>
        </w:rPr>
        <w:t>CM</w:t>
      </w:r>
      <w:r w:rsidRPr="00B75DDC">
        <w:rPr>
          <w:rFonts w:eastAsia="Times New Roman" w:cs="Arial"/>
          <w:kern w:val="0"/>
          <w:sz w:val="22"/>
          <w:lang w:val="en-US"/>
          <w14:ligatures w14:val="none"/>
        </w:rPr>
        <w:t>), effector memory (T</w:t>
      </w:r>
      <w:r w:rsidRPr="00B75DDC">
        <w:rPr>
          <w:rFonts w:eastAsia="Times New Roman" w:cs="Arial"/>
          <w:kern w:val="0"/>
          <w:sz w:val="22"/>
          <w:vertAlign w:val="subscript"/>
          <w:lang w:val="en-US"/>
          <w14:ligatures w14:val="none"/>
        </w:rPr>
        <w:t>EM</w:t>
      </w:r>
      <w:r w:rsidRPr="00B75DDC">
        <w:rPr>
          <w:rFonts w:eastAsia="Times New Roman" w:cs="Arial"/>
          <w:kern w:val="0"/>
          <w:sz w:val="22"/>
          <w:lang w:val="en-US"/>
          <w14:ligatures w14:val="none"/>
        </w:rPr>
        <w:t>)</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terminal effector (T</w:t>
      </w:r>
      <w:r w:rsidRPr="00B75DDC">
        <w:rPr>
          <w:rFonts w:eastAsia="Times New Roman" w:cs="Arial"/>
          <w:kern w:val="0"/>
          <w:sz w:val="22"/>
          <w:vertAlign w:val="subscript"/>
          <w:lang w:val="en-US"/>
          <w14:ligatures w14:val="none"/>
        </w:rPr>
        <w:t>TE</w:t>
      </w:r>
      <w:r w:rsidRPr="00B75DDC">
        <w:rPr>
          <w:rFonts w:eastAsia="Times New Roman" w:cs="Arial"/>
          <w:kern w:val="0"/>
          <w:sz w:val="22"/>
          <w:lang w:val="en-US"/>
          <w14:ligatures w14:val="none"/>
        </w:rPr>
        <w:t xml:space="preserve">) hCD3+ cells, as defined by hCD45RA and hCD62L expression, in the conditions indicated on the X-axis. Target (E) and effector (F) cell </w:t>
      </w:r>
      <w:proofErr w:type="gramStart"/>
      <w:r w:rsidRPr="00B75DDC">
        <w:rPr>
          <w:rFonts w:eastAsia="Times New Roman" w:cs="Arial"/>
          <w:kern w:val="0"/>
          <w:sz w:val="22"/>
          <w:lang w:val="en-US"/>
          <w14:ligatures w14:val="none"/>
        </w:rPr>
        <w:t>counts</w:t>
      </w:r>
      <w:proofErr w:type="gramEnd"/>
      <w:r w:rsidRPr="00B75DDC">
        <w:rPr>
          <w:rFonts w:eastAsia="Times New Roman" w:cs="Arial"/>
          <w:kern w:val="0"/>
          <w:sz w:val="22"/>
          <w:lang w:val="en-US"/>
          <w14:ligatures w14:val="none"/>
        </w:rPr>
        <w:t xml:space="preserve"> at indicated E:T ratios after 5-day co-culture. (G) Percentage of PD-1, LAG-3 and TIM-3 expression of hCD3+ cells in anti-CD33 CAR T</w:t>
      </w:r>
      <w:r w:rsidR="001B5350"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cell conditions at indicated E:T ratios. (H) Percentage of </w:t>
      </w:r>
      <w:proofErr w:type="gramStart"/>
      <w:r w:rsidRPr="00B75DDC">
        <w:rPr>
          <w:rFonts w:eastAsia="Times New Roman" w:cs="Arial"/>
          <w:kern w:val="0"/>
          <w:sz w:val="22"/>
          <w:lang w:val="en-US"/>
          <w14:ligatures w14:val="none"/>
        </w:rPr>
        <w:t>naïve</w:t>
      </w:r>
      <w:proofErr w:type="gramEnd"/>
      <w:r w:rsidRPr="00B75DDC">
        <w:rPr>
          <w:rFonts w:eastAsia="Times New Roman" w:cs="Arial"/>
          <w:kern w:val="0"/>
          <w:sz w:val="22"/>
          <w:lang w:val="en-US"/>
          <w14:ligatures w14:val="none"/>
        </w:rPr>
        <w:t xml:space="preserve"> and stem cell memory (T</w:t>
      </w:r>
      <w:r w:rsidRPr="00B75DDC">
        <w:rPr>
          <w:rFonts w:eastAsia="Times New Roman" w:cs="Arial"/>
          <w:kern w:val="0"/>
          <w:sz w:val="22"/>
          <w:vertAlign w:val="subscript"/>
          <w:lang w:val="en-US"/>
          <w14:ligatures w14:val="none"/>
        </w:rPr>
        <w:t>N</w:t>
      </w:r>
      <w:r w:rsidRPr="00B75DDC">
        <w:rPr>
          <w:rFonts w:eastAsia="Times New Roman" w:cs="Arial"/>
          <w:kern w:val="0"/>
          <w:sz w:val="22"/>
          <w:lang w:val="en-US"/>
          <w14:ligatures w14:val="none"/>
        </w:rPr>
        <w:t>), central memory (T</w:t>
      </w:r>
      <w:r w:rsidRPr="00B75DDC">
        <w:rPr>
          <w:rFonts w:eastAsia="Times New Roman" w:cs="Arial"/>
          <w:kern w:val="0"/>
          <w:sz w:val="22"/>
          <w:vertAlign w:val="subscript"/>
          <w:lang w:val="en-US"/>
          <w14:ligatures w14:val="none"/>
        </w:rPr>
        <w:t>CM</w:t>
      </w:r>
      <w:r w:rsidRPr="00B75DDC">
        <w:rPr>
          <w:rFonts w:eastAsia="Times New Roman" w:cs="Arial"/>
          <w:kern w:val="0"/>
          <w:sz w:val="22"/>
          <w:lang w:val="en-US"/>
          <w14:ligatures w14:val="none"/>
        </w:rPr>
        <w:t>), effector memory (T</w:t>
      </w:r>
      <w:r w:rsidRPr="00B75DDC">
        <w:rPr>
          <w:rFonts w:eastAsia="Times New Roman" w:cs="Arial"/>
          <w:kern w:val="0"/>
          <w:sz w:val="22"/>
          <w:vertAlign w:val="subscript"/>
          <w:lang w:val="en-US"/>
          <w14:ligatures w14:val="none"/>
        </w:rPr>
        <w:t>EM</w:t>
      </w:r>
      <w:r w:rsidRPr="00B75DDC">
        <w:rPr>
          <w:rFonts w:eastAsia="Times New Roman" w:cs="Arial"/>
          <w:kern w:val="0"/>
          <w:sz w:val="22"/>
          <w:lang w:val="en-US"/>
          <w14:ligatures w14:val="none"/>
        </w:rPr>
        <w:t>)</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terminal effector (T</w:t>
      </w:r>
      <w:r w:rsidRPr="00B75DDC">
        <w:rPr>
          <w:rFonts w:eastAsia="Times New Roman" w:cs="Arial"/>
          <w:kern w:val="0"/>
          <w:sz w:val="22"/>
          <w:vertAlign w:val="subscript"/>
          <w:lang w:val="en-US"/>
          <w14:ligatures w14:val="none"/>
        </w:rPr>
        <w:t>TE</w:t>
      </w:r>
      <w:r w:rsidRPr="00B75DDC">
        <w:rPr>
          <w:rFonts w:eastAsia="Times New Roman" w:cs="Arial"/>
          <w:kern w:val="0"/>
          <w:sz w:val="22"/>
          <w:lang w:val="en-US"/>
          <w14:ligatures w14:val="none"/>
        </w:rPr>
        <w:t>) hCD3+ cells, as defined by hCD45RA and hCD62L expression, in anti-CD33 CAR T</w:t>
      </w:r>
      <w:r w:rsidR="001B5350"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cell conditions at indicated E:T ratios. The data illustrates one representative donor with two technical replicates ± SD. Statistical analysis was performed via </w:t>
      </w:r>
      <w:r w:rsidR="00922BEF" w:rsidRPr="00B75DDC">
        <w:rPr>
          <w:rFonts w:eastAsia="Times New Roman" w:cs="Arial"/>
          <w:kern w:val="0"/>
          <w:sz w:val="22"/>
          <w:lang w:val="en-US"/>
          <w14:ligatures w14:val="none"/>
        </w:rPr>
        <w:t>o</w:t>
      </w:r>
      <w:r w:rsidRPr="00B75DDC">
        <w:rPr>
          <w:rFonts w:eastAsia="Times New Roman" w:cs="Arial"/>
          <w:kern w:val="0"/>
          <w:sz w:val="22"/>
          <w:lang w:val="en-US"/>
          <w14:ligatures w14:val="none"/>
        </w:rPr>
        <w:t xml:space="preserve">ne-way ANOVA (A-D) or via </w:t>
      </w:r>
      <w:r w:rsidR="00922BEF" w:rsidRPr="00B75DDC">
        <w:rPr>
          <w:rFonts w:eastAsia="Times New Roman" w:cs="Arial"/>
          <w:kern w:val="0"/>
          <w:sz w:val="22"/>
          <w:lang w:val="en-US"/>
          <w14:ligatures w14:val="none"/>
        </w:rPr>
        <w:t>t</w:t>
      </w:r>
      <w:r w:rsidRPr="00B75DDC">
        <w:rPr>
          <w:rFonts w:eastAsia="Times New Roman" w:cs="Arial"/>
          <w:kern w:val="0"/>
          <w:sz w:val="22"/>
          <w:lang w:val="en-US"/>
          <w14:ligatures w14:val="none"/>
        </w:rPr>
        <w:t>wo-way ANOVA (E-H) with Tukey’s multiple comparison; *p&lt;0.05; **p&lt;0.01; ***p&lt;0.001; ****p&lt;0.0001.</w:t>
      </w:r>
    </w:p>
    <w:p w14:paraId="73286956" w14:textId="77777777" w:rsidR="009A353B" w:rsidRPr="004B3D8B" w:rsidRDefault="009A353B" w:rsidP="00513328">
      <w:pPr>
        <w:spacing w:line="276" w:lineRule="auto"/>
        <w:rPr>
          <w:rFonts w:eastAsia="Times New Roman" w:cs="Arial"/>
          <w:i/>
          <w:iCs/>
          <w:color w:val="44546A" w:themeColor="text2"/>
          <w:kern w:val="0"/>
          <w:sz w:val="22"/>
          <w:lang w:val="en-US"/>
          <w14:ligatures w14:val="none"/>
        </w:rPr>
      </w:pPr>
      <w:r w:rsidRPr="004B3D8B">
        <w:rPr>
          <w:rFonts w:eastAsia="Times New Roman" w:cs="Arial"/>
          <w:i/>
          <w:iCs/>
          <w:color w:val="44546A" w:themeColor="text2"/>
          <w:kern w:val="0"/>
          <w:sz w:val="22"/>
          <w:lang w:val="en-US"/>
          <w14:ligatures w14:val="none"/>
        </w:rPr>
        <w:br w:type="page"/>
      </w:r>
    </w:p>
    <w:p w14:paraId="0326A93C" w14:textId="0915908B" w:rsidR="009A353B" w:rsidRPr="004B3D8B" w:rsidRDefault="009A353B" w:rsidP="00513328">
      <w:pPr>
        <w:pStyle w:val="berschrift1"/>
        <w:spacing w:line="276" w:lineRule="auto"/>
        <w:rPr>
          <w:rFonts w:cs="Arial"/>
          <w:sz w:val="22"/>
          <w:szCs w:val="22"/>
          <w:lang w:val="en-US"/>
        </w:rPr>
      </w:pPr>
      <w:bookmarkStart w:id="22" w:name="_Toc237907089"/>
      <w:r w:rsidRPr="004B3D8B">
        <w:rPr>
          <w:rFonts w:cs="Arial"/>
          <w:sz w:val="22"/>
          <w:szCs w:val="22"/>
          <w:lang w:val="en-US"/>
        </w:rPr>
        <w:lastRenderedPageBreak/>
        <w:t>Supplementary Figure 6</w:t>
      </w:r>
      <w:bookmarkEnd w:id="22"/>
    </w:p>
    <w:p w14:paraId="42686DF7" w14:textId="4C7FABDA" w:rsidR="00507E71" w:rsidRPr="00CE514C" w:rsidRDefault="00CE514C" w:rsidP="00513328">
      <w:pPr>
        <w:spacing w:line="276" w:lineRule="auto"/>
        <w:jc w:val="both"/>
        <w:rPr>
          <w:rFonts w:eastAsia="Times New Roman" w:cs="Arial"/>
          <w:color w:val="44546A" w:themeColor="text2"/>
          <w:kern w:val="0"/>
          <w:sz w:val="22"/>
          <w:lang w:val="en-US"/>
          <w14:ligatures w14:val="none"/>
        </w:rPr>
      </w:pPr>
      <w:r>
        <w:rPr>
          <w:rFonts w:eastAsia="Times New Roman" w:cs="Arial"/>
          <w:noProof/>
          <w:color w:val="44546A" w:themeColor="text2"/>
          <w:kern w:val="0"/>
          <w:sz w:val="22"/>
          <w:lang w:val="en-US"/>
          <w14:ligatures w14:val="none"/>
        </w:rPr>
        <w:drawing>
          <wp:inline distT="0" distB="0" distL="0" distR="0" wp14:anchorId="4819B011" wp14:editId="58F0B438">
            <wp:extent cx="5731200" cy="4333065"/>
            <wp:effectExtent l="0" t="0" r="3175" b="0"/>
            <wp:docPr id="182796761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67615" name="Grafik 1827967615"/>
                    <pic:cNvPicPr/>
                  </pic:nvPicPr>
                  <pic:blipFill rotWithShape="1">
                    <a:blip r:embed="rId12">
                      <a:extLst>
                        <a:ext uri="{28A0092B-C50C-407E-A947-70E740481C1C}">
                          <a14:useLocalDpi xmlns:a14="http://schemas.microsoft.com/office/drawing/2010/main" val="0"/>
                        </a:ext>
                      </a:extLst>
                    </a:blip>
                    <a:srcRect l="8475" t="6164" r="9096" b="45681"/>
                    <a:stretch>
                      <a:fillRect/>
                    </a:stretch>
                  </pic:blipFill>
                  <pic:spPr bwMode="auto">
                    <a:xfrm>
                      <a:off x="0" y="0"/>
                      <a:ext cx="5731200" cy="4333065"/>
                    </a:xfrm>
                    <a:prstGeom prst="rect">
                      <a:avLst/>
                    </a:prstGeom>
                    <a:ln>
                      <a:noFill/>
                    </a:ln>
                    <a:extLst>
                      <a:ext uri="{53640926-AAD7-44D8-BBD7-CCE9431645EC}">
                        <a14:shadowObscured xmlns:a14="http://schemas.microsoft.com/office/drawing/2010/main"/>
                      </a:ext>
                    </a:extLst>
                  </pic:spPr>
                </pic:pic>
              </a:graphicData>
            </a:graphic>
          </wp:inline>
        </w:drawing>
      </w:r>
    </w:p>
    <w:p w14:paraId="79FE026D" w14:textId="013E5292" w:rsidR="00507E71" w:rsidRPr="00B75DDC" w:rsidRDefault="00507E71" w:rsidP="00513328">
      <w:pPr>
        <w:spacing w:line="276" w:lineRule="auto"/>
        <w:jc w:val="both"/>
        <w:rPr>
          <w:rFonts w:eastAsia="Times New Roman" w:cs="Arial"/>
          <w:kern w:val="0"/>
          <w:sz w:val="22"/>
          <w:lang w:val="en-US"/>
          <w14:ligatures w14:val="none"/>
        </w:rPr>
      </w:pPr>
      <w:bookmarkStart w:id="23" w:name="_Hlk233278862"/>
      <w:r w:rsidRPr="00B75DDC">
        <w:rPr>
          <w:rFonts w:eastAsia="Times New Roman" w:cs="Arial"/>
          <w:kern w:val="0"/>
          <w:sz w:val="22"/>
          <w:lang w:val="en-US"/>
          <w14:ligatures w14:val="none"/>
        </w:rPr>
        <w:t>Figure S6</w:t>
      </w:r>
      <w:r w:rsidR="00AB257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Anti-LILRB2 CAR T cells show potent effector function against the THP1 AML cell line in vitro. (A) Phenotypic characterization of CAR T cells by flow cytometry in one representative batch. (B+C) Percentage of (B) CD4 and CD8 cells and (C) </w:t>
      </w:r>
      <w:proofErr w:type="gramStart"/>
      <w:r w:rsidRPr="00B75DDC">
        <w:rPr>
          <w:rFonts w:eastAsia="Times New Roman" w:cs="Arial"/>
          <w:kern w:val="0"/>
          <w:sz w:val="22"/>
          <w:lang w:val="en-US"/>
          <w14:ligatures w14:val="none"/>
        </w:rPr>
        <w:t>naïve</w:t>
      </w:r>
      <w:proofErr w:type="gramEnd"/>
      <w:r w:rsidRPr="00B75DDC">
        <w:rPr>
          <w:rFonts w:eastAsia="Times New Roman" w:cs="Arial"/>
          <w:kern w:val="0"/>
          <w:sz w:val="22"/>
          <w:lang w:val="en-US"/>
          <w14:ligatures w14:val="none"/>
        </w:rPr>
        <w:t xml:space="preserve"> and stem cell memory (T</w:t>
      </w:r>
      <w:r w:rsidRPr="00B75DDC">
        <w:rPr>
          <w:rFonts w:eastAsia="Times New Roman" w:cs="Arial"/>
          <w:kern w:val="0"/>
          <w:sz w:val="22"/>
          <w:vertAlign w:val="subscript"/>
          <w:lang w:val="en-US"/>
          <w14:ligatures w14:val="none"/>
        </w:rPr>
        <w:t>N</w:t>
      </w:r>
      <w:r w:rsidRPr="00B75DDC">
        <w:rPr>
          <w:rFonts w:eastAsia="Times New Roman" w:cs="Arial"/>
          <w:kern w:val="0"/>
          <w:sz w:val="22"/>
          <w:lang w:val="en-US"/>
          <w14:ligatures w14:val="none"/>
        </w:rPr>
        <w:t>), central memory (T</w:t>
      </w:r>
      <w:r w:rsidRPr="00B75DDC">
        <w:rPr>
          <w:rFonts w:eastAsia="Times New Roman" w:cs="Arial"/>
          <w:kern w:val="0"/>
          <w:sz w:val="22"/>
          <w:vertAlign w:val="subscript"/>
          <w:lang w:val="en-US"/>
          <w14:ligatures w14:val="none"/>
        </w:rPr>
        <w:t>CM</w:t>
      </w:r>
      <w:r w:rsidRPr="00B75DDC">
        <w:rPr>
          <w:rFonts w:eastAsia="Times New Roman" w:cs="Arial"/>
          <w:kern w:val="0"/>
          <w:sz w:val="22"/>
          <w:lang w:val="en-US"/>
          <w14:ligatures w14:val="none"/>
        </w:rPr>
        <w:t>), effector memory (T</w:t>
      </w:r>
      <w:r w:rsidRPr="00B75DDC">
        <w:rPr>
          <w:rFonts w:eastAsia="Times New Roman" w:cs="Arial"/>
          <w:kern w:val="0"/>
          <w:sz w:val="22"/>
          <w:vertAlign w:val="subscript"/>
          <w:lang w:val="en-US"/>
          <w14:ligatures w14:val="none"/>
        </w:rPr>
        <w:t>EM</w:t>
      </w:r>
      <w:r w:rsidRPr="00B75DDC">
        <w:rPr>
          <w:rFonts w:eastAsia="Times New Roman" w:cs="Arial"/>
          <w:kern w:val="0"/>
          <w:sz w:val="22"/>
          <w:lang w:val="en-US"/>
          <w14:ligatures w14:val="none"/>
        </w:rPr>
        <w:t>)</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terminal effector (T</w:t>
      </w:r>
      <w:r w:rsidRPr="00B75DDC">
        <w:rPr>
          <w:rFonts w:eastAsia="Times New Roman" w:cs="Arial"/>
          <w:kern w:val="0"/>
          <w:sz w:val="22"/>
          <w:vertAlign w:val="subscript"/>
          <w:lang w:val="en-US"/>
          <w14:ligatures w14:val="none"/>
        </w:rPr>
        <w:t>TE</w:t>
      </w:r>
      <w:r w:rsidRPr="00B75DDC">
        <w:rPr>
          <w:rFonts w:eastAsia="Times New Roman" w:cs="Arial"/>
          <w:kern w:val="0"/>
          <w:sz w:val="22"/>
          <w:lang w:val="en-US"/>
          <w14:ligatures w14:val="none"/>
        </w:rPr>
        <w:t>) cells, as defined by hCD45RA and hCD62L expression, in NT and CAR T cells. (D) PD-1, LAG-3</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TIM-3 expression (%) in CAR T and NT cells (n=9). (E) Killing activity of T cells engineered to express different anti-LILRB2 CAR constructs (C1 VHVL, C1 VLVH, C2 VLVH) after a 1-day co-culture with THP1 </w:t>
      </w:r>
      <w:proofErr w:type="spellStart"/>
      <w:r w:rsidRPr="00B75DDC">
        <w:rPr>
          <w:rFonts w:eastAsia="Times New Roman" w:cs="Arial"/>
          <w:kern w:val="0"/>
          <w:sz w:val="22"/>
          <w:lang w:val="en-US"/>
          <w14:ligatures w14:val="none"/>
        </w:rPr>
        <w:t>wt</w:t>
      </w:r>
      <w:proofErr w:type="spellEnd"/>
      <w:r w:rsidRPr="00B75DDC">
        <w:rPr>
          <w:rFonts w:eastAsia="Times New Roman" w:cs="Arial"/>
          <w:kern w:val="0"/>
          <w:sz w:val="22"/>
          <w:lang w:val="en-US"/>
          <w14:ligatures w14:val="none"/>
        </w:rPr>
        <w:t>, THP1 LILRB2 KO</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or THP1 LILRB2 high cells at the indicated E:T ratios. Analysis was done by flow cytometry and NT and anti-CD33 CAR T cells served as negative or positive control respectively. Data illustrates the mean</w:t>
      </w:r>
      <w:r w:rsidR="00922BEF" w:rsidRPr="00B75DDC">
        <w:rPr>
          <w:rFonts w:eastAsia="Times New Roman" w:cs="Arial"/>
          <w:kern w:val="0"/>
          <w:sz w:val="22"/>
          <w:lang w:val="en-US"/>
          <w14:ligatures w14:val="none"/>
        </w:rPr>
        <w:t xml:space="preserve"> ± SD</w:t>
      </w:r>
      <w:r w:rsidRPr="00B75DDC">
        <w:rPr>
          <w:rFonts w:eastAsia="Times New Roman" w:cs="Arial"/>
          <w:kern w:val="0"/>
          <w:sz w:val="22"/>
          <w:lang w:val="en-US"/>
          <w14:ligatures w14:val="none"/>
        </w:rPr>
        <w:t xml:space="preserve"> of three biological replicates with two technical replicates. (F) Analysis of cytokines in the supernatant of the </w:t>
      </w:r>
      <w:proofErr w:type="gramStart"/>
      <w:r w:rsidR="00922BEF" w:rsidRPr="00B75DDC">
        <w:rPr>
          <w:rFonts w:eastAsia="Times New Roman" w:cs="Arial"/>
          <w:kern w:val="0"/>
          <w:sz w:val="22"/>
          <w:lang w:val="en-US"/>
          <w14:ligatures w14:val="none"/>
        </w:rPr>
        <w:t>a</w:t>
      </w:r>
      <w:r w:rsidRPr="00B75DDC">
        <w:rPr>
          <w:rFonts w:eastAsia="Times New Roman" w:cs="Arial"/>
          <w:kern w:val="0"/>
          <w:sz w:val="22"/>
          <w:lang w:val="en-US"/>
          <w14:ligatures w14:val="none"/>
        </w:rPr>
        <w:t>forementioned co-culture</w:t>
      </w:r>
      <w:proofErr w:type="gramEnd"/>
      <w:r w:rsidRPr="00B75DDC">
        <w:rPr>
          <w:rFonts w:eastAsia="Times New Roman" w:cs="Arial"/>
          <w:kern w:val="0"/>
          <w:sz w:val="22"/>
          <w:lang w:val="en-US"/>
          <w14:ligatures w14:val="none"/>
        </w:rPr>
        <w:t xml:space="preserve"> with anti-LILRB2 C1 VLVH CAR T cells at an E:T ratio of 1:1, measured by ELISA. Mean of three biological replicates with two technical replicates ± SD. Statistical analysis was performed via </w:t>
      </w:r>
      <w:r w:rsidR="00922BEF" w:rsidRPr="00B75DDC">
        <w:rPr>
          <w:rFonts w:eastAsia="Times New Roman" w:cs="Arial"/>
          <w:kern w:val="0"/>
          <w:sz w:val="22"/>
          <w:lang w:val="en-US"/>
          <w14:ligatures w14:val="none"/>
        </w:rPr>
        <w:t>o</w:t>
      </w:r>
      <w:r w:rsidRPr="00B75DDC">
        <w:rPr>
          <w:rFonts w:eastAsia="Times New Roman" w:cs="Arial"/>
          <w:kern w:val="0"/>
          <w:sz w:val="22"/>
          <w:lang w:val="en-US"/>
          <w14:ligatures w14:val="none"/>
        </w:rPr>
        <w:t xml:space="preserve">ne-way ANOVA (F) or </w:t>
      </w:r>
      <w:r w:rsidR="00922BEF" w:rsidRPr="00B75DDC">
        <w:rPr>
          <w:rFonts w:eastAsia="Times New Roman" w:cs="Arial"/>
          <w:kern w:val="0"/>
          <w:sz w:val="22"/>
          <w:lang w:val="en-US"/>
          <w14:ligatures w14:val="none"/>
        </w:rPr>
        <w:t>t</w:t>
      </w:r>
      <w:r w:rsidRPr="00B75DDC">
        <w:rPr>
          <w:rFonts w:eastAsia="Times New Roman" w:cs="Arial"/>
          <w:kern w:val="0"/>
          <w:sz w:val="22"/>
          <w:lang w:val="en-US"/>
          <w14:ligatures w14:val="none"/>
        </w:rPr>
        <w:t>wo-way ANOVA (E) with Tukey’s multiple comparison; **p&lt;0.01; ***p&lt;0.001; ****p&lt;0.0001.</w:t>
      </w:r>
      <w:bookmarkEnd w:id="23"/>
    </w:p>
    <w:p w14:paraId="2332210F" w14:textId="54594B49" w:rsidR="009A353B" w:rsidRPr="004B3D8B" w:rsidRDefault="009A353B" w:rsidP="00513328">
      <w:pPr>
        <w:pStyle w:val="berschrift1"/>
        <w:spacing w:line="276" w:lineRule="auto"/>
        <w:rPr>
          <w:rFonts w:cs="Arial"/>
          <w:sz w:val="22"/>
          <w:szCs w:val="22"/>
          <w:lang w:val="en-US"/>
        </w:rPr>
      </w:pPr>
      <w:bookmarkStart w:id="24" w:name="_Toc237907090"/>
      <w:r w:rsidRPr="004B3D8B">
        <w:rPr>
          <w:rFonts w:cs="Arial"/>
          <w:sz w:val="22"/>
          <w:szCs w:val="22"/>
          <w:lang w:val="en-US"/>
        </w:rPr>
        <w:lastRenderedPageBreak/>
        <w:t>Supplementary Figure 7</w:t>
      </w:r>
      <w:bookmarkEnd w:id="24"/>
    </w:p>
    <w:p w14:paraId="7A836338" w14:textId="2337325A" w:rsidR="009A353B" w:rsidRPr="00CE514C" w:rsidRDefault="00CE514C" w:rsidP="00513328">
      <w:pPr>
        <w:spacing w:line="276" w:lineRule="auto"/>
        <w:jc w:val="both"/>
        <w:rPr>
          <w:rFonts w:eastAsia="Times New Roman" w:cs="Arial"/>
          <w:color w:val="44546A" w:themeColor="text2"/>
          <w:kern w:val="0"/>
          <w:sz w:val="22"/>
          <w:lang w:val="en-US"/>
          <w14:ligatures w14:val="none"/>
        </w:rPr>
      </w:pPr>
      <w:r>
        <w:rPr>
          <w:rFonts w:eastAsia="Times New Roman" w:cs="Arial"/>
          <w:noProof/>
          <w:color w:val="44546A" w:themeColor="text2"/>
          <w:kern w:val="0"/>
          <w:sz w:val="22"/>
          <w:lang w:val="en-US"/>
          <w14:ligatures w14:val="none"/>
        </w:rPr>
        <w:drawing>
          <wp:inline distT="0" distB="0" distL="0" distR="0" wp14:anchorId="1F3082E3" wp14:editId="54421594">
            <wp:extent cx="5731200" cy="3084260"/>
            <wp:effectExtent l="0" t="0" r="3175" b="1905"/>
            <wp:docPr id="60154706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547068" name="Grafik 601547068"/>
                    <pic:cNvPicPr/>
                  </pic:nvPicPr>
                  <pic:blipFill rotWithShape="1">
                    <a:blip r:embed="rId13" cstate="print">
                      <a:extLst>
                        <a:ext uri="{28A0092B-C50C-407E-A947-70E740481C1C}">
                          <a14:useLocalDpi xmlns:a14="http://schemas.microsoft.com/office/drawing/2010/main" val="0"/>
                        </a:ext>
                      </a:extLst>
                    </a:blip>
                    <a:srcRect l="9307" t="3596" r="7933" b="61989"/>
                    <a:stretch>
                      <a:fillRect/>
                    </a:stretch>
                  </pic:blipFill>
                  <pic:spPr bwMode="auto">
                    <a:xfrm>
                      <a:off x="0" y="0"/>
                      <a:ext cx="5731200" cy="3084260"/>
                    </a:xfrm>
                    <a:prstGeom prst="rect">
                      <a:avLst/>
                    </a:prstGeom>
                    <a:ln>
                      <a:noFill/>
                    </a:ln>
                    <a:extLst>
                      <a:ext uri="{53640926-AAD7-44D8-BBD7-CCE9431645EC}">
                        <a14:shadowObscured xmlns:a14="http://schemas.microsoft.com/office/drawing/2010/main"/>
                      </a:ext>
                    </a:extLst>
                  </pic:spPr>
                </pic:pic>
              </a:graphicData>
            </a:graphic>
          </wp:inline>
        </w:drawing>
      </w:r>
    </w:p>
    <w:p w14:paraId="59FC70CA" w14:textId="74C54193" w:rsidR="009A353B" w:rsidRPr="00B75DDC" w:rsidRDefault="00507E71" w:rsidP="00513328">
      <w:pPr>
        <w:spacing w:line="276" w:lineRule="auto"/>
        <w:jc w:val="both"/>
        <w:rPr>
          <w:rFonts w:eastAsia="Times New Roman" w:cs="Arial"/>
          <w:kern w:val="0"/>
          <w:sz w:val="22"/>
          <w:lang w:val="en-US"/>
          <w14:ligatures w14:val="none"/>
        </w:rPr>
      </w:pPr>
      <w:r w:rsidRPr="00B75DDC">
        <w:rPr>
          <w:rFonts w:eastAsia="Times New Roman" w:cs="Arial"/>
          <w:kern w:val="0"/>
          <w:sz w:val="22"/>
          <w:lang w:val="en-US"/>
          <w14:ligatures w14:val="none"/>
        </w:rPr>
        <w:t>Figure S7</w:t>
      </w:r>
      <w:r w:rsidR="00AB257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Anti-LILRB2 CAR T cells mediate specific effector function against the THP1 AML cell line in vivo. (A) NSG mice were sub-lethally irradiated and injected </w:t>
      </w:r>
      <w:proofErr w:type="spellStart"/>
      <w:r w:rsidRPr="00B75DDC">
        <w:rPr>
          <w:rFonts w:eastAsia="Times New Roman" w:cs="Arial"/>
          <w:kern w:val="0"/>
          <w:sz w:val="22"/>
          <w:lang w:val="en-US"/>
          <w14:ligatures w14:val="none"/>
        </w:rPr>
        <w:t>i.v.</w:t>
      </w:r>
      <w:proofErr w:type="spellEnd"/>
      <w:r w:rsidRPr="00B75DDC">
        <w:rPr>
          <w:rFonts w:eastAsia="Times New Roman" w:cs="Arial"/>
          <w:kern w:val="0"/>
          <w:sz w:val="22"/>
          <w:lang w:val="en-US"/>
          <w14:ligatures w14:val="none"/>
        </w:rPr>
        <w:t xml:space="preserve"> with 1x10</w:t>
      </w:r>
      <w:r w:rsidRPr="00B75DDC">
        <w:rPr>
          <w:rFonts w:eastAsia="Times New Roman" w:cs="Arial"/>
          <w:kern w:val="0"/>
          <w:sz w:val="22"/>
          <w:vertAlign w:val="superscript"/>
          <w:lang w:val="en-US"/>
          <w14:ligatures w14:val="none"/>
        </w:rPr>
        <w:t>6</w:t>
      </w:r>
      <w:r w:rsidRPr="00B75DDC">
        <w:rPr>
          <w:rFonts w:eastAsia="Times New Roman" w:cs="Arial"/>
          <w:kern w:val="0"/>
          <w:sz w:val="22"/>
          <w:lang w:val="en-US"/>
          <w14:ligatures w14:val="none"/>
        </w:rPr>
        <w:t xml:space="preserve"> THP1 LILRB2 high cells. One mouse was </w:t>
      </w:r>
      <w:proofErr w:type="gramStart"/>
      <w:r w:rsidRPr="00B75DDC">
        <w:rPr>
          <w:rFonts w:eastAsia="Times New Roman" w:cs="Arial"/>
          <w:kern w:val="0"/>
          <w:sz w:val="22"/>
          <w:lang w:val="en-US"/>
          <w14:ligatures w14:val="none"/>
        </w:rPr>
        <w:t>injected</w:t>
      </w:r>
      <w:proofErr w:type="gramEnd"/>
      <w:r w:rsidRPr="00B75DDC">
        <w:rPr>
          <w:rFonts w:eastAsia="Times New Roman" w:cs="Arial"/>
          <w:kern w:val="0"/>
          <w:sz w:val="22"/>
          <w:lang w:val="en-US"/>
          <w14:ligatures w14:val="none"/>
        </w:rPr>
        <w:t xml:space="preserve"> </w:t>
      </w:r>
      <w:proofErr w:type="spellStart"/>
      <w:r w:rsidRPr="00B75DDC">
        <w:rPr>
          <w:rFonts w:eastAsia="Times New Roman" w:cs="Arial"/>
          <w:kern w:val="0"/>
          <w:sz w:val="22"/>
          <w:lang w:val="en-US"/>
          <w14:ligatures w14:val="none"/>
        </w:rPr>
        <w:t>i.v.</w:t>
      </w:r>
      <w:proofErr w:type="spellEnd"/>
      <w:r w:rsidRPr="00B75DDC">
        <w:rPr>
          <w:rFonts w:eastAsia="Times New Roman" w:cs="Arial"/>
          <w:kern w:val="0"/>
          <w:sz w:val="22"/>
          <w:lang w:val="en-US"/>
          <w14:ligatures w14:val="none"/>
        </w:rPr>
        <w:t xml:space="preserve"> with 1x10</w:t>
      </w:r>
      <w:r w:rsidRPr="00B75DDC">
        <w:rPr>
          <w:rFonts w:eastAsia="Times New Roman" w:cs="Arial"/>
          <w:kern w:val="0"/>
          <w:sz w:val="22"/>
          <w:vertAlign w:val="superscript"/>
          <w:lang w:val="en-US"/>
          <w14:ligatures w14:val="none"/>
        </w:rPr>
        <w:t>6</w:t>
      </w:r>
      <w:r w:rsidRPr="00B75DDC">
        <w:rPr>
          <w:rFonts w:eastAsia="Times New Roman" w:cs="Arial"/>
          <w:kern w:val="0"/>
          <w:sz w:val="22"/>
          <w:lang w:val="en-US"/>
          <w14:ligatures w14:val="none"/>
        </w:rPr>
        <w:t xml:space="preserve"> THP1 LILRB2 KO cells as control. </w:t>
      </w:r>
      <w:proofErr w:type="gramStart"/>
      <w:r w:rsidRPr="00B75DDC">
        <w:rPr>
          <w:rFonts w:eastAsia="Times New Roman" w:cs="Arial"/>
          <w:kern w:val="0"/>
          <w:sz w:val="22"/>
          <w:lang w:val="en-US"/>
          <w14:ligatures w14:val="none"/>
        </w:rPr>
        <w:t>At</w:t>
      </w:r>
      <w:proofErr w:type="gramEnd"/>
      <w:r w:rsidRPr="00B75DDC">
        <w:rPr>
          <w:rFonts w:eastAsia="Times New Roman" w:cs="Arial"/>
          <w:kern w:val="0"/>
          <w:sz w:val="22"/>
          <w:lang w:val="en-US"/>
          <w14:ligatures w14:val="none"/>
        </w:rPr>
        <w:t xml:space="preserve"> day 8, mice were treated with 4x10</w:t>
      </w:r>
      <w:r w:rsidRPr="00B75DDC">
        <w:rPr>
          <w:rFonts w:eastAsia="Times New Roman" w:cs="Arial"/>
          <w:kern w:val="0"/>
          <w:sz w:val="22"/>
          <w:vertAlign w:val="superscript"/>
          <w:lang w:val="en-US"/>
          <w14:ligatures w14:val="none"/>
        </w:rPr>
        <w:t>6</w:t>
      </w:r>
      <w:r w:rsidRPr="00B75DDC">
        <w:rPr>
          <w:rFonts w:eastAsia="Times New Roman" w:cs="Arial"/>
          <w:kern w:val="0"/>
          <w:sz w:val="22"/>
          <w:lang w:val="en-US"/>
          <w14:ligatures w14:val="none"/>
        </w:rPr>
        <w:t xml:space="preserve"> anti-LILRB2 CAR+ T cells or controls </w:t>
      </w:r>
      <w:proofErr w:type="spellStart"/>
      <w:proofErr w:type="gramStart"/>
      <w:r w:rsidRPr="00B75DDC">
        <w:rPr>
          <w:rFonts w:eastAsia="Times New Roman" w:cs="Arial"/>
          <w:kern w:val="0"/>
          <w:sz w:val="22"/>
          <w:lang w:val="en-US"/>
          <w14:ligatures w14:val="none"/>
        </w:rPr>
        <w:t>i.v.</w:t>
      </w:r>
      <w:proofErr w:type="spellEnd"/>
      <w:r w:rsidRPr="00B75DDC">
        <w:rPr>
          <w:rFonts w:eastAsia="Times New Roman" w:cs="Arial"/>
          <w:kern w:val="0"/>
          <w:sz w:val="22"/>
          <w:lang w:val="en-US"/>
          <w14:ligatures w14:val="none"/>
        </w:rPr>
        <w:t>.</w:t>
      </w:r>
      <w:proofErr w:type="gramEnd"/>
      <w:r w:rsidRPr="00B75DDC">
        <w:rPr>
          <w:rFonts w:eastAsia="Times New Roman" w:cs="Arial"/>
          <w:kern w:val="0"/>
          <w:sz w:val="22"/>
          <w:lang w:val="en-US"/>
          <w14:ligatures w14:val="none"/>
        </w:rPr>
        <w:t xml:space="preserve"> (B) Kaplan-Meier survival curves of the depicted treatment groups. (C) Total flux (photons / second) of the depicted treatment groups at different timepoints, as measured by IVIS. Data are represented as mean ± SD. (D) IVIS images of mice receiving the indicated treatments. Statistical analysis was performed via </w:t>
      </w:r>
      <w:r w:rsidR="00922BEF" w:rsidRPr="00B75DDC">
        <w:rPr>
          <w:rFonts w:eastAsia="Times New Roman" w:cs="Arial"/>
          <w:kern w:val="0"/>
          <w:sz w:val="22"/>
          <w:lang w:val="en-US"/>
          <w14:ligatures w14:val="none"/>
        </w:rPr>
        <w:t>t</w:t>
      </w:r>
      <w:r w:rsidRPr="00B75DDC">
        <w:rPr>
          <w:rFonts w:eastAsia="Times New Roman" w:cs="Arial"/>
          <w:kern w:val="0"/>
          <w:sz w:val="22"/>
          <w:lang w:val="en-US"/>
          <w14:ligatures w14:val="none"/>
        </w:rPr>
        <w:t>wo-way ANOVA (C) with Tukey’s multiple comparison, or via Mantel-Cox test (B); *p&lt;0.05; ****p&lt;0.0001.</w:t>
      </w:r>
    </w:p>
    <w:p w14:paraId="7C978559" w14:textId="77777777" w:rsidR="009A353B" w:rsidRPr="004B3D8B" w:rsidRDefault="009A353B" w:rsidP="00513328">
      <w:pPr>
        <w:spacing w:line="276" w:lineRule="auto"/>
        <w:rPr>
          <w:rFonts w:eastAsia="Times New Roman" w:cs="Arial"/>
          <w:i/>
          <w:iCs/>
          <w:color w:val="44546A" w:themeColor="text2"/>
          <w:kern w:val="0"/>
          <w:sz w:val="22"/>
          <w:lang w:val="en-US"/>
          <w14:ligatures w14:val="none"/>
        </w:rPr>
      </w:pPr>
      <w:r w:rsidRPr="004B3D8B">
        <w:rPr>
          <w:rFonts w:eastAsia="Times New Roman" w:cs="Arial"/>
          <w:i/>
          <w:iCs/>
          <w:color w:val="44546A" w:themeColor="text2"/>
          <w:kern w:val="0"/>
          <w:sz w:val="22"/>
          <w:lang w:val="en-US"/>
          <w14:ligatures w14:val="none"/>
        </w:rPr>
        <w:br w:type="page"/>
      </w:r>
    </w:p>
    <w:p w14:paraId="50BD6258" w14:textId="4A4E03AF" w:rsidR="009A353B" w:rsidRPr="004B3D8B" w:rsidRDefault="009A353B" w:rsidP="00513328">
      <w:pPr>
        <w:pStyle w:val="berschrift1"/>
        <w:spacing w:line="276" w:lineRule="auto"/>
        <w:rPr>
          <w:rFonts w:cs="Arial"/>
          <w:sz w:val="22"/>
          <w:szCs w:val="22"/>
          <w:lang w:val="en-US"/>
        </w:rPr>
      </w:pPr>
      <w:bookmarkStart w:id="25" w:name="_Toc237907091"/>
      <w:r w:rsidRPr="004B3D8B">
        <w:rPr>
          <w:rFonts w:cs="Arial"/>
          <w:sz w:val="22"/>
          <w:szCs w:val="22"/>
          <w:lang w:val="en-US"/>
        </w:rPr>
        <w:lastRenderedPageBreak/>
        <w:t xml:space="preserve">Supplementary Figure </w:t>
      </w:r>
      <w:r w:rsidR="007C1F1D">
        <w:rPr>
          <w:rFonts w:cs="Arial"/>
          <w:sz w:val="22"/>
          <w:szCs w:val="22"/>
          <w:lang w:val="en-US"/>
        </w:rPr>
        <w:t>8</w:t>
      </w:r>
      <w:bookmarkEnd w:id="25"/>
    </w:p>
    <w:p w14:paraId="79E32C54" w14:textId="14532F47" w:rsidR="00507E71" w:rsidRPr="00CE514C" w:rsidRDefault="00921F76" w:rsidP="00513328">
      <w:pPr>
        <w:spacing w:line="276" w:lineRule="auto"/>
        <w:jc w:val="both"/>
        <w:rPr>
          <w:rFonts w:eastAsia="Times New Roman" w:cs="Arial"/>
          <w:color w:val="44546A" w:themeColor="text2"/>
          <w:kern w:val="0"/>
          <w:sz w:val="22"/>
          <w:lang w:val="en-US"/>
          <w14:ligatures w14:val="none"/>
        </w:rPr>
      </w:pPr>
      <w:r>
        <w:rPr>
          <w:rFonts w:eastAsia="Times New Roman" w:cs="Arial"/>
          <w:noProof/>
          <w:color w:val="44546A" w:themeColor="text2"/>
          <w:kern w:val="0"/>
          <w:sz w:val="22"/>
          <w:lang w:val="en-US"/>
          <w14:ligatures w14:val="none"/>
        </w:rPr>
        <w:drawing>
          <wp:inline distT="0" distB="0" distL="0" distR="0" wp14:anchorId="44C0CBBF" wp14:editId="06517FBD">
            <wp:extent cx="5731200" cy="8279165"/>
            <wp:effectExtent l="0" t="0" r="3175" b="7620"/>
            <wp:docPr id="131590680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06803" name="Grafik 1315906803"/>
                    <pic:cNvPicPr/>
                  </pic:nvPicPr>
                  <pic:blipFill rotWithShape="1">
                    <a:blip r:embed="rId14" cstate="print">
                      <a:extLst>
                        <a:ext uri="{28A0092B-C50C-407E-A947-70E740481C1C}">
                          <a14:useLocalDpi xmlns:a14="http://schemas.microsoft.com/office/drawing/2010/main" val="0"/>
                        </a:ext>
                      </a:extLst>
                    </a:blip>
                    <a:srcRect l="8934" t="493" r="8097" b="6895"/>
                    <a:stretch>
                      <a:fillRect/>
                    </a:stretch>
                  </pic:blipFill>
                  <pic:spPr bwMode="auto">
                    <a:xfrm>
                      <a:off x="0" y="0"/>
                      <a:ext cx="5731200" cy="8279165"/>
                    </a:xfrm>
                    <a:prstGeom prst="rect">
                      <a:avLst/>
                    </a:prstGeom>
                    <a:ln>
                      <a:noFill/>
                    </a:ln>
                    <a:extLst>
                      <a:ext uri="{53640926-AAD7-44D8-BBD7-CCE9431645EC}">
                        <a14:shadowObscured xmlns:a14="http://schemas.microsoft.com/office/drawing/2010/main"/>
                      </a:ext>
                    </a:extLst>
                  </pic:spPr>
                </pic:pic>
              </a:graphicData>
            </a:graphic>
          </wp:inline>
        </w:drawing>
      </w:r>
    </w:p>
    <w:p w14:paraId="7CABE43A" w14:textId="3F186D6C" w:rsidR="009A353B" w:rsidRPr="00B75DDC" w:rsidRDefault="00507E71" w:rsidP="00513328">
      <w:pPr>
        <w:spacing w:line="276" w:lineRule="auto"/>
        <w:jc w:val="both"/>
        <w:rPr>
          <w:rFonts w:eastAsia="Times New Roman" w:cs="Arial"/>
          <w:kern w:val="0"/>
          <w:sz w:val="22"/>
          <w:lang w:val="en-US"/>
          <w14:ligatures w14:val="none"/>
        </w:rPr>
      </w:pPr>
      <w:r w:rsidRPr="00B75DDC">
        <w:rPr>
          <w:rFonts w:eastAsia="Times New Roman" w:cs="Arial"/>
          <w:kern w:val="0"/>
          <w:sz w:val="22"/>
          <w:lang w:val="en-US"/>
          <w14:ligatures w14:val="none"/>
        </w:rPr>
        <w:lastRenderedPageBreak/>
        <w:t>Figure S8</w:t>
      </w:r>
      <w:r w:rsidR="00AB257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Anti-LILRB2 CAR T cells exhibit anti-tumor activity against patient samples in vitro, which can be further increased by the combination with anti-CD117 or anti-CD33 CAR T cells. (A-C) Contour plots of CD33, LILRB2</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CD117 expression of the AML patient samples PID1 (A), PID2 (B)</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PID3 (C) after co-culture with NT, anti-CD33 CAR, anti-LILRB2 CAR</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or anti-CD117 CAR T cells for 1 day at an E:T ratio of 5:1. (D-L) Killing activity of CAR T cells targeting LILRB2, CD33, CD117</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their combinations after a 1-day co-culture with the AML patient samples PID2 (D, F-H) and PID3 (E, J-L) at indicated E:T ratios, normalized to NT controls. Depicted are the total killing activities (D-E), as well as the specific killing activities against CD33+ (F, J), LILRB2+ (G, K)</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CD117+ (H, L) subpopulations. Readout was done by flow cytometry. The data illustrates the mean</w:t>
      </w:r>
      <w:r w:rsidR="00922BEF" w:rsidRPr="00B75DDC">
        <w:rPr>
          <w:rFonts w:eastAsia="Times New Roman" w:cs="Arial"/>
          <w:kern w:val="0"/>
          <w:sz w:val="22"/>
          <w:lang w:val="en-US"/>
          <w14:ligatures w14:val="none"/>
        </w:rPr>
        <w:t xml:space="preserve"> ± SD</w:t>
      </w:r>
      <w:r w:rsidRPr="00B75DDC">
        <w:rPr>
          <w:rFonts w:eastAsia="Times New Roman" w:cs="Arial"/>
          <w:kern w:val="0"/>
          <w:sz w:val="22"/>
          <w:lang w:val="en-US"/>
          <w14:ligatures w14:val="none"/>
        </w:rPr>
        <w:t xml:space="preserve"> of two technical replicates of one patient sample. (M) Relative killing activity of anti-CD33 CAR, anti-LILRB2 CAR</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and anti-CD117 CAR T cells against LILRB2+, CD33+</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or CD117 cells</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respectively</w:t>
      </w:r>
      <w:r w:rsidR="00922BEF" w:rsidRPr="00B75DDC">
        <w:rPr>
          <w:rFonts w:eastAsia="Times New Roman" w:cs="Arial"/>
          <w:kern w:val="0"/>
          <w:sz w:val="22"/>
          <w:lang w:val="en-US"/>
          <w14:ligatures w14:val="none"/>
        </w:rPr>
        <w:t>,</w:t>
      </w:r>
      <w:r w:rsidRPr="00B75DDC">
        <w:rPr>
          <w:rFonts w:eastAsia="Times New Roman" w:cs="Arial"/>
          <w:kern w:val="0"/>
          <w:sz w:val="22"/>
          <w:lang w:val="en-US"/>
          <w14:ligatures w14:val="none"/>
        </w:rPr>
        <w:t xml:space="preserve"> after co-culture with PIDs 1-3 at an E:T ratio of 1:1 for 1 day. The data illustrates the mean</w:t>
      </w:r>
      <w:r w:rsidR="00922BEF" w:rsidRPr="00B75DDC">
        <w:rPr>
          <w:rFonts w:eastAsia="Times New Roman" w:cs="Arial"/>
          <w:kern w:val="0"/>
          <w:sz w:val="22"/>
          <w:lang w:val="en-US"/>
          <w14:ligatures w14:val="none"/>
        </w:rPr>
        <w:t xml:space="preserve"> ± SD</w:t>
      </w:r>
      <w:r w:rsidRPr="00B75DDC">
        <w:rPr>
          <w:rFonts w:eastAsia="Times New Roman" w:cs="Arial"/>
          <w:kern w:val="0"/>
          <w:sz w:val="22"/>
          <w:lang w:val="en-US"/>
          <w14:ligatures w14:val="none"/>
        </w:rPr>
        <w:t xml:space="preserve"> of two technical replicates of three independent patient sample</w:t>
      </w:r>
      <w:r w:rsidR="00922BEF" w:rsidRPr="00B75DDC">
        <w:rPr>
          <w:rFonts w:eastAsia="Times New Roman" w:cs="Arial"/>
          <w:kern w:val="0"/>
          <w:sz w:val="22"/>
          <w:lang w:val="en-US"/>
          <w14:ligatures w14:val="none"/>
        </w:rPr>
        <w:t>s</w:t>
      </w:r>
      <w:r w:rsidRPr="00B75DDC">
        <w:rPr>
          <w:rFonts w:eastAsia="Times New Roman" w:cs="Arial"/>
          <w:kern w:val="0"/>
          <w:sz w:val="22"/>
          <w:lang w:val="en-US"/>
          <w14:ligatures w14:val="none"/>
        </w:rPr>
        <w:t xml:space="preserve">. Statistical analysis was performed via </w:t>
      </w:r>
      <w:r w:rsidR="00922BEF" w:rsidRPr="00B75DDC">
        <w:rPr>
          <w:rFonts w:eastAsia="Times New Roman" w:cs="Arial"/>
          <w:kern w:val="0"/>
          <w:sz w:val="22"/>
          <w:lang w:val="en-US"/>
          <w14:ligatures w14:val="none"/>
        </w:rPr>
        <w:t>t</w:t>
      </w:r>
      <w:r w:rsidRPr="00B75DDC">
        <w:rPr>
          <w:rFonts w:eastAsia="Times New Roman" w:cs="Arial"/>
          <w:kern w:val="0"/>
          <w:sz w:val="22"/>
          <w:lang w:val="en-US"/>
          <w14:ligatures w14:val="none"/>
        </w:rPr>
        <w:t>wo-way ANOVA with Tukey’s multiple comparison; *p&lt;0.05; **p&lt;0.01; ***p&lt;0.001; ****p&lt;0.0001.</w:t>
      </w:r>
    </w:p>
    <w:p w14:paraId="431E166F" w14:textId="77777777" w:rsidR="009A353B" w:rsidRPr="004B3D8B" w:rsidRDefault="009A353B" w:rsidP="00513328">
      <w:pPr>
        <w:spacing w:line="276" w:lineRule="auto"/>
        <w:rPr>
          <w:rFonts w:eastAsia="Times New Roman" w:cs="Arial"/>
          <w:i/>
          <w:iCs/>
          <w:color w:val="44546A" w:themeColor="text2"/>
          <w:kern w:val="0"/>
          <w:sz w:val="22"/>
          <w:lang w:val="en-US"/>
          <w14:ligatures w14:val="none"/>
        </w:rPr>
      </w:pPr>
      <w:r w:rsidRPr="004B3D8B">
        <w:rPr>
          <w:rFonts w:eastAsia="Times New Roman" w:cs="Arial"/>
          <w:i/>
          <w:iCs/>
          <w:color w:val="44546A" w:themeColor="text2"/>
          <w:kern w:val="0"/>
          <w:sz w:val="22"/>
          <w:lang w:val="en-US"/>
          <w14:ligatures w14:val="none"/>
        </w:rPr>
        <w:br w:type="page"/>
      </w:r>
    </w:p>
    <w:p w14:paraId="0DC1342E" w14:textId="77777777" w:rsidR="008E178D" w:rsidRPr="008E178D" w:rsidRDefault="008E178D" w:rsidP="00513328">
      <w:pPr>
        <w:pStyle w:val="EndNoteBibliography"/>
        <w:spacing w:after="480" w:line="276" w:lineRule="auto"/>
        <w:rPr>
          <w:b/>
          <w:bCs/>
          <w:sz w:val="22"/>
        </w:rPr>
      </w:pPr>
      <w:r w:rsidRPr="008E178D">
        <w:rPr>
          <w:b/>
          <w:bCs/>
          <w:sz w:val="22"/>
        </w:rPr>
        <w:lastRenderedPageBreak/>
        <w:t>References</w:t>
      </w:r>
    </w:p>
    <w:p w14:paraId="42E855A2" w14:textId="77777777" w:rsidR="00DE475B" w:rsidRPr="00DE475B" w:rsidRDefault="004E1686" w:rsidP="00513328">
      <w:pPr>
        <w:pStyle w:val="EndNoteBibliography"/>
        <w:spacing w:line="276" w:lineRule="auto"/>
      </w:pPr>
      <w:r w:rsidRPr="008E178D">
        <w:rPr>
          <w:szCs w:val="20"/>
        </w:rPr>
        <w:fldChar w:fldCharType="begin"/>
      </w:r>
      <w:r w:rsidRPr="00513328">
        <w:rPr>
          <w:szCs w:val="20"/>
        </w:rPr>
        <w:instrText xml:space="preserve"> ADDIN EN.REFLIST </w:instrText>
      </w:r>
      <w:r w:rsidRPr="008E178D">
        <w:rPr>
          <w:szCs w:val="20"/>
        </w:rPr>
        <w:fldChar w:fldCharType="separate"/>
      </w:r>
      <w:r w:rsidR="00DE475B" w:rsidRPr="00DE475B">
        <w:t>1.</w:t>
      </w:r>
      <w:r w:rsidR="00DE475B" w:rsidRPr="00DE475B">
        <w:tab/>
        <w:t>Magnani CF, Myburgh R, Brunn S, Chambovey M, Ponzo M, Volta L, et al. Anti-CD117 CAR T cells incorporating a safety switch eradicate human acute myeloid leukemia and hematopoietic stem cells. Mol Ther Oncolytics. 2023;30:56–71.</w:t>
      </w:r>
    </w:p>
    <w:p w14:paraId="2CD98943" w14:textId="07D2F407" w:rsidR="00EF574F" w:rsidRPr="004B3D8B" w:rsidRDefault="004E1686" w:rsidP="00513328">
      <w:pPr>
        <w:spacing w:after="0" w:line="276" w:lineRule="auto"/>
        <w:jc w:val="both"/>
        <w:rPr>
          <w:rFonts w:cs="Arial"/>
          <w:sz w:val="22"/>
          <w:lang w:val="en-US"/>
        </w:rPr>
      </w:pPr>
      <w:r w:rsidRPr="008E178D">
        <w:rPr>
          <w:rFonts w:cs="Arial"/>
          <w:szCs w:val="20"/>
          <w:lang w:val="en-US"/>
        </w:rPr>
        <w:fldChar w:fldCharType="end"/>
      </w:r>
    </w:p>
    <w:sectPr w:rsidR="00EF574F" w:rsidRPr="004B3D8B" w:rsidSect="004D630F">
      <w:footerReference w:type="default" r:id="rId15"/>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166AE" w14:textId="77777777" w:rsidR="00B75993" w:rsidRDefault="00B75993" w:rsidP="004D630F">
      <w:pPr>
        <w:spacing w:after="0" w:line="240" w:lineRule="auto"/>
      </w:pPr>
      <w:r>
        <w:separator/>
      </w:r>
    </w:p>
  </w:endnote>
  <w:endnote w:type="continuationSeparator" w:id="0">
    <w:p w14:paraId="289B85B5" w14:textId="77777777" w:rsidR="00B75993" w:rsidRDefault="00B75993" w:rsidP="004D6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117283"/>
      <w:docPartObj>
        <w:docPartGallery w:val="Page Numbers (Bottom of Page)"/>
        <w:docPartUnique/>
      </w:docPartObj>
    </w:sdtPr>
    <w:sdtEndPr/>
    <w:sdtContent>
      <w:p w14:paraId="7434E9C8" w14:textId="0051F0D1" w:rsidR="004D630F" w:rsidRDefault="004D630F">
        <w:pPr>
          <w:pStyle w:val="Fuzeile"/>
          <w:jc w:val="right"/>
        </w:pPr>
        <w:r>
          <w:fldChar w:fldCharType="begin"/>
        </w:r>
        <w:r>
          <w:instrText>PAGE   \* MERGEFORMAT</w:instrText>
        </w:r>
        <w:r>
          <w:fldChar w:fldCharType="separate"/>
        </w:r>
        <w:r>
          <w:rPr>
            <w:lang w:val="de-DE"/>
          </w:rPr>
          <w:t>2</w:t>
        </w:r>
        <w:r>
          <w:fldChar w:fldCharType="end"/>
        </w:r>
      </w:p>
    </w:sdtContent>
  </w:sdt>
  <w:p w14:paraId="3356756C" w14:textId="77777777" w:rsidR="004D630F" w:rsidRDefault="004D63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CE659" w14:textId="77777777" w:rsidR="00B75993" w:rsidRDefault="00B75993" w:rsidP="004D630F">
      <w:pPr>
        <w:spacing w:after="0" w:line="240" w:lineRule="auto"/>
      </w:pPr>
      <w:r>
        <w:separator/>
      </w:r>
    </w:p>
  </w:footnote>
  <w:footnote w:type="continuationSeparator" w:id="0">
    <w:p w14:paraId="416BA160" w14:textId="77777777" w:rsidR="00B75993" w:rsidRDefault="00B75993" w:rsidP="004D63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3&lt;/SpaceAfter&gt;&lt;HyperlinksEnabled&gt;0&lt;/HyperlinksEnabled&gt;&lt;HyperlinksVisible&gt;0&lt;/HyperlinksVisible&gt;&lt;EnableBibliographyCategories&gt;0&lt;/EnableBibliographyCategories&gt;&lt;/ENLayout&gt;"/>
    <w:docVar w:name="EN.Libraries" w:val="&lt;Libraries&gt;&lt;item db-id=&quot;2s0t9a99d5pr2ferzd4x5xptfxxe0ffxrds2&quot;&gt;AML_Project_1&lt;record-ids&gt;&lt;item&gt;88&lt;/item&gt;&lt;/record-ids&gt;&lt;/item&gt;&lt;/Libraries&gt;"/>
    <w:docVar w:name="EN.UseJSCitationFormat" w:val="False"/>
  </w:docVars>
  <w:rsids>
    <w:rsidRoot w:val="00735E7E"/>
    <w:rsid w:val="00002B7F"/>
    <w:rsid w:val="000543D3"/>
    <w:rsid w:val="00077D6E"/>
    <w:rsid w:val="000C249F"/>
    <w:rsid w:val="00110F8B"/>
    <w:rsid w:val="00134C50"/>
    <w:rsid w:val="001434A3"/>
    <w:rsid w:val="0015715C"/>
    <w:rsid w:val="0019037B"/>
    <w:rsid w:val="0019500D"/>
    <w:rsid w:val="001A18DF"/>
    <w:rsid w:val="001B2B2D"/>
    <w:rsid w:val="001B5350"/>
    <w:rsid w:val="0025176A"/>
    <w:rsid w:val="002B2DB2"/>
    <w:rsid w:val="002E3334"/>
    <w:rsid w:val="00305744"/>
    <w:rsid w:val="00342055"/>
    <w:rsid w:val="003A50AE"/>
    <w:rsid w:val="003D6337"/>
    <w:rsid w:val="00445B26"/>
    <w:rsid w:val="004503A1"/>
    <w:rsid w:val="004B3D8B"/>
    <w:rsid w:val="004D630F"/>
    <w:rsid w:val="004E1686"/>
    <w:rsid w:val="004E4B58"/>
    <w:rsid w:val="00505949"/>
    <w:rsid w:val="00507E71"/>
    <w:rsid w:val="00513328"/>
    <w:rsid w:val="005B4DB4"/>
    <w:rsid w:val="005D6178"/>
    <w:rsid w:val="0064762F"/>
    <w:rsid w:val="006A0A35"/>
    <w:rsid w:val="006B2A80"/>
    <w:rsid w:val="00714DD1"/>
    <w:rsid w:val="00735E7E"/>
    <w:rsid w:val="007377E7"/>
    <w:rsid w:val="00763A5D"/>
    <w:rsid w:val="007C1F1D"/>
    <w:rsid w:val="007C4C03"/>
    <w:rsid w:val="007D3E74"/>
    <w:rsid w:val="007F0202"/>
    <w:rsid w:val="0082673C"/>
    <w:rsid w:val="0083081D"/>
    <w:rsid w:val="00865E8F"/>
    <w:rsid w:val="00873263"/>
    <w:rsid w:val="00873D63"/>
    <w:rsid w:val="008D6C57"/>
    <w:rsid w:val="008E178D"/>
    <w:rsid w:val="008E6266"/>
    <w:rsid w:val="00914CEB"/>
    <w:rsid w:val="00921F76"/>
    <w:rsid w:val="00922BEF"/>
    <w:rsid w:val="00932457"/>
    <w:rsid w:val="00992514"/>
    <w:rsid w:val="00992ECC"/>
    <w:rsid w:val="009A353B"/>
    <w:rsid w:val="009D4F2D"/>
    <w:rsid w:val="009E79EB"/>
    <w:rsid w:val="009F69EF"/>
    <w:rsid w:val="00A03728"/>
    <w:rsid w:val="00A46300"/>
    <w:rsid w:val="00A812F8"/>
    <w:rsid w:val="00AA1CB5"/>
    <w:rsid w:val="00AB257F"/>
    <w:rsid w:val="00AC118C"/>
    <w:rsid w:val="00AE7F8E"/>
    <w:rsid w:val="00B37EEC"/>
    <w:rsid w:val="00B5699C"/>
    <w:rsid w:val="00B75993"/>
    <w:rsid w:val="00B75DDC"/>
    <w:rsid w:val="00B95922"/>
    <w:rsid w:val="00B96174"/>
    <w:rsid w:val="00C1499D"/>
    <w:rsid w:val="00C16DFA"/>
    <w:rsid w:val="00C80624"/>
    <w:rsid w:val="00CC63CB"/>
    <w:rsid w:val="00CE514C"/>
    <w:rsid w:val="00CF2A16"/>
    <w:rsid w:val="00D22752"/>
    <w:rsid w:val="00DE475B"/>
    <w:rsid w:val="00E512A9"/>
    <w:rsid w:val="00E94E27"/>
    <w:rsid w:val="00EC181B"/>
    <w:rsid w:val="00ED6911"/>
    <w:rsid w:val="00EE0C9C"/>
    <w:rsid w:val="00EF313E"/>
    <w:rsid w:val="00EF574F"/>
    <w:rsid w:val="00F04988"/>
    <w:rsid w:val="00FC07FD"/>
    <w:rsid w:val="00FD649A"/>
    <w:rsid w:val="00FE2A4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EB005"/>
  <w15:chartTrackingRefBased/>
  <w15:docId w15:val="{290FEB7D-1A1B-49EF-AA4C-EFCD4D517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7E71"/>
    <w:rPr>
      <w:rFonts w:ascii="Arial" w:hAnsi="Arial"/>
      <w:kern w:val="2"/>
      <w:sz w:val="20"/>
      <w14:ligatures w14:val="standardContextual"/>
    </w:rPr>
  </w:style>
  <w:style w:type="paragraph" w:styleId="berschrift1">
    <w:name w:val="heading 1"/>
    <w:basedOn w:val="Standard"/>
    <w:next w:val="Standard"/>
    <w:link w:val="berschrift1Zchn"/>
    <w:uiPriority w:val="9"/>
    <w:qFormat/>
    <w:rsid w:val="00E512A9"/>
    <w:pPr>
      <w:keepNext/>
      <w:keepLines/>
      <w:spacing w:before="360" w:after="80"/>
      <w:outlineLvl w:val="0"/>
    </w:pPr>
    <w:rPr>
      <w:rFonts w:eastAsiaTheme="majorEastAsia" w:cstheme="majorBidi"/>
      <w:b/>
      <w:color w:val="000000" w:themeColor="text1"/>
      <w:kern w:val="0"/>
      <w:sz w:val="28"/>
      <w:szCs w:val="40"/>
      <w14:ligatures w14:val="none"/>
    </w:rPr>
  </w:style>
  <w:style w:type="paragraph" w:styleId="berschrift2">
    <w:name w:val="heading 2"/>
    <w:basedOn w:val="Standard"/>
    <w:next w:val="Standard"/>
    <w:link w:val="berschrift2Zchn"/>
    <w:uiPriority w:val="9"/>
    <w:semiHidden/>
    <w:unhideWhenUsed/>
    <w:qFormat/>
    <w:rsid w:val="00735E7E"/>
    <w:pPr>
      <w:keepNext/>
      <w:keepLines/>
      <w:spacing w:before="160" w:after="80"/>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berschrift3">
    <w:name w:val="heading 3"/>
    <w:basedOn w:val="Standard"/>
    <w:next w:val="Standard"/>
    <w:link w:val="berschrift3Zchn"/>
    <w:uiPriority w:val="9"/>
    <w:semiHidden/>
    <w:unhideWhenUsed/>
    <w:qFormat/>
    <w:rsid w:val="00735E7E"/>
    <w:pPr>
      <w:keepNext/>
      <w:keepLines/>
      <w:spacing w:before="160" w:after="80"/>
      <w:outlineLvl w:val="2"/>
    </w:pPr>
    <w:rPr>
      <w:rFonts w:asciiTheme="minorHAnsi" w:eastAsiaTheme="majorEastAsia" w:hAnsiTheme="minorHAnsi" w:cstheme="majorBidi"/>
      <w:color w:val="2F5496" w:themeColor="accent1" w:themeShade="BF"/>
      <w:kern w:val="0"/>
      <w:sz w:val="28"/>
      <w:szCs w:val="28"/>
      <w14:ligatures w14:val="none"/>
    </w:rPr>
  </w:style>
  <w:style w:type="paragraph" w:styleId="berschrift4">
    <w:name w:val="heading 4"/>
    <w:basedOn w:val="Standard"/>
    <w:next w:val="Standard"/>
    <w:link w:val="berschrift4Zchn"/>
    <w:uiPriority w:val="9"/>
    <w:semiHidden/>
    <w:unhideWhenUsed/>
    <w:qFormat/>
    <w:rsid w:val="00735E7E"/>
    <w:pPr>
      <w:keepNext/>
      <w:keepLines/>
      <w:spacing w:before="80" w:after="40"/>
      <w:outlineLvl w:val="3"/>
    </w:pPr>
    <w:rPr>
      <w:rFonts w:asciiTheme="minorHAnsi" w:eastAsiaTheme="majorEastAsia" w:hAnsiTheme="minorHAnsi" w:cstheme="majorBidi"/>
      <w:i/>
      <w:iCs/>
      <w:color w:val="2F5496" w:themeColor="accent1" w:themeShade="BF"/>
      <w:kern w:val="0"/>
      <w14:ligatures w14:val="none"/>
    </w:rPr>
  </w:style>
  <w:style w:type="paragraph" w:styleId="berschrift5">
    <w:name w:val="heading 5"/>
    <w:basedOn w:val="Standard"/>
    <w:next w:val="Standard"/>
    <w:link w:val="berschrift5Zchn"/>
    <w:uiPriority w:val="9"/>
    <w:semiHidden/>
    <w:unhideWhenUsed/>
    <w:qFormat/>
    <w:rsid w:val="00735E7E"/>
    <w:pPr>
      <w:keepNext/>
      <w:keepLines/>
      <w:spacing w:before="80" w:after="40"/>
      <w:outlineLvl w:val="4"/>
    </w:pPr>
    <w:rPr>
      <w:rFonts w:asciiTheme="minorHAnsi" w:eastAsiaTheme="majorEastAsia" w:hAnsiTheme="minorHAnsi" w:cstheme="majorBidi"/>
      <w:color w:val="2F5496" w:themeColor="accent1" w:themeShade="BF"/>
      <w:kern w:val="0"/>
      <w14:ligatures w14:val="none"/>
    </w:rPr>
  </w:style>
  <w:style w:type="paragraph" w:styleId="berschrift6">
    <w:name w:val="heading 6"/>
    <w:basedOn w:val="Standard"/>
    <w:next w:val="Standard"/>
    <w:link w:val="berschrift6Zchn"/>
    <w:uiPriority w:val="9"/>
    <w:semiHidden/>
    <w:unhideWhenUsed/>
    <w:qFormat/>
    <w:rsid w:val="00735E7E"/>
    <w:pPr>
      <w:keepNext/>
      <w:keepLines/>
      <w:spacing w:before="40" w:after="0"/>
      <w:outlineLvl w:val="5"/>
    </w:pPr>
    <w:rPr>
      <w:rFonts w:asciiTheme="minorHAnsi" w:eastAsiaTheme="majorEastAsia" w:hAnsiTheme="minorHAnsi" w:cstheme="majorBidi"/>
      <w:i/>
      <w:iCs/>
      <w:color w:val="595959" w:themeColor="text1" w:themeTint="A6"/>
      <w:kern w:val="0"/>
      <w14:ligatures w14:val="none"/>
    </w:rPr>
  </w:style>
  <w:style w:type="paragraph" w:styleId="berschrift7">
    <w:name w:val="heading 7"/>
    <w:basedOn w:val="Standard"/>
    <w:next w:val="Standard"/>
    <w:link w:val="berschrift7Zchn"/>
    <w:uiPriority w:val="9"/>
    <w:semiHidden/>
    <w:unhideWhenUsed/>
    <w:qFormat/>
    <w:rsid w:val="00735E7E"/>
    <w:pPr>
      <w:keepNext/>
      <w:keepLines/>
      <w:spacing w:before="40" w:after="0"/>
      <w:outlineLvl w:val="6"/>
    </w:pPr>
    <w:rPr>
      <w:rFonts w:asciiTheme="minorHAnsi" w:eastAsiaTheme="majorEastAsia" w:hAnsiTheme="minorHAnsi" w:cstheme="majorBidi"/>
      <w:color w:val="595959" w:themeColor="text1" w:themeTint="A6"/>
      <w:kern w:val="0"/>
      <w14:ligatures w14:val="none"/>
    </w:rPr>
  </w:style>
  <w:style w:type="paragraph" w:styleId="berschrift8">
    <w:name w:val="heading 8"/>
    <w:basedOn w:val="Standard"/>
    <w:next w:val="Standard"/>
    <w:link w:val="berschrift8Zchn"/>
    <w:uiPriority w:val="9"/>
    <w:semiHidden/>
    <w:unhideWhenUsed/>
    <w:qFormat/>
    <w:rsid w:val="00735E7E"/>
    <w:pPr>
      <w:keepNext/>
      <w:keepLines/>
      <w:spacing w:after="0"/>
      <w:outlineLvl w:val="7"/>
    </w:pPr>
    <w:rPr>
      <w:rFonts w:asciiTheme="minorHAnsi" w:eastAsiaTheme="majorEastAsia" w:hAnsiTheme="minorHAnsi" w:cstheme="majorBidi"/>
      <w:i/>
      <w:iCs/>
      <w:color w:val="272727" w:themeColor="text1" w:themeTint="D8"/>
      <w:kern w:val="0"/>
      <w14:ligatures w14:val="none"/>
    </w:rPr>
  </w:style>
  <w:style w:type="paragraph" w:styleId="berschrift9">
    <w:name w:val="heading 9"/>
    <w:basedOn w:val="Standard"/>
    <w:next w:val="Standard"/>
    <w:link w:val="berschrift9Zchn"/>
    <w:uiPriority w:val="9"/>
    <w:semiHidden/>
    <w:unhideWhenUsed/>
    <w:qFormat/>
    <w:rsid w:val="00735E7E"/>
    <w:pPr>
      <w:keepNext/>
      <w:keepLines/>
      <w:spacing w:after="0"/>
      <w:outlineLvl w:val="8"/>
    </w:pPr>
    <w:rPr>
      <w:rFonts w:asciiTheme="minorHAnsi" w:eastAsiaTheme="majorEastAsia" w:hAnsiTheme="minorHAnsi" w:cstheme="majorBidi"/>
      <w:color w:val="272727" w:themeColor="text1" w:themeTint="D8"/>
      <w:kern w:val="0"/>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512A9"/>
    <w:rPr>
      <w:rFonts w:ascii="Arial" w:eastAsiaTheme="majorEastAsia" w:hAnsi="Arial" w:cstheme="majorBidi"/>
      <w:b/>
      <w:color w:val="000000" w:themeColor="text1"/>
      <w:sz w:val="28"/>
      <w:szCs w:val="40"/>
    </w:rPr>
  </w:style>
  <w:style w:type="character" w:customStyle="1" w:styleId="berschrift2Zchn">
    <w:name w:val="Überschrift 2 Zchn"/>
    <w:basedOn w:val="Absatz-Standardschriftart"/>
    <w:link w:val="berschrift2"/>
    <w:uiPriority w:val="9"/>
    <w:semiHidden/>
    <w:rsid w:val="00735E7E"/>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35E7E"/>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35E7E"/>
    <w:rPr>
      <w:rFonts w:eastAsiaTheme="majorEastAsia" w:cstheme="majorBidi"/>
      <w:i/>
      <w:iCs/>
      <w:color w:val="2F5496" w:themeColor="accent1" w:themeShade="BF"/>
      <w:sz w:val="20"/>
    </w:rPr>
  </w:style>
  <w:style w:type="character" w:customStyle="1" w:styleId="berschrift5Zchn">
    <w:name w:val="Überschrift 5 Zchn"/>
    <w:basedOn w:val="Absatz-Standardschriftart"/>
    <w:link w:val="berschrift5"/>
    <w:uiPriority w:val="9"/>
    <w:semiHidden/>
    <w:rsid w:val="00735E7E"/>
    <w:rPr>
      <w:rFonts w:eastAsiaTheme="majorEastAsia" w:cstheme="majorBidi"/>
      <w:color w:val="2F5496" w:themeColor="accent1" w:themeShade="BF"/>
      <w:sz w:val="20"/>
    </w:rPr>
  </w:style>
  <w:style w:type="character" w:customStyle="1" w:styleId="berschrift6Zchn">
    <w:name w:val="Überschrift 6 Zchn"/>
    <w:basedOn w:val="Absatz-Standardschriftart"/>
    <w:link w:val="berschrift6"/>
    <w:uiPriority w:val="9"/>
    <w:semiHidden/>
    <w:rsid w:val="00735E7E"/>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735E7E"/>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735E7E"/>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735E7E"/>
    <w:rPr>
      <w:rFonts w:eastAsiaTheme="majorEastAsia" w:cstheme="majorBidi"/>
      <w:color w:val="272727" w:themeColor="text1" w:themeTint="D8"/>
      <w:sz w:val="20"/>
    </w:rPr>
  </w:style>
  <w:style w:type="paragraph" w:styleId="Titel">
    <w:name w:val="Title"/>
    <w:basedOn w:val="Standard"/>
    <w:next w:val="Standard"/>
    <w:link w:val="TitelZchn"/>
    <w:uiPriority w:val="10"/>
    <w:qFormat/>
    <w:rsid w:val="00735E7E"/>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elZchn">
    <w:name w:val="Titel Zchn"/>
    <w:basedOn w:val="Absatz-Standardschriftart"/>
    <w:link w:val="Titel"/>
    <w:uiPriority w:val="10"/>
    <w:rsid w:val="00735E7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5E7E"/>
    <w:pPr>
      <w:numPr>
        <w:ilvl w:val="1"/>
      </w:numPr>
    </w:pPr>
    <w:rPr>
      <w:rFonts w:asciiTheme="minorHAnsi" w:eastAsiaTheme="majorEastAsia" w:hAnsiTheme="minorHAnsi" w:cstheme="majorBidi"/>
      <w:color w:val="595959" w:themeColor="text1" w:themeTint="A6"/>
      <w:spacing w:val="15"/>
      <w:kern w:val="0"/>
      <w:sz w:val="28"/>
      <w:szCs w:val="28"/>
      <w14:ligatures w14:val="none"/>
    </w:rPr>
  </w:style>
  <w:style w:type="character" w:customStyle="1" w:styleId="UntertitelZchn">
    <w:name w:val="Untertitel Zchn"/>
    <w:basedOn w:val="Absatz-Standardschriftart"/>
    <w:link w:val="Untertitel"/>
    <w:uiPriority w:val="11"/>
    <w:rsid w:val="00735E7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35E7E"/>
    <w:pPr>
      <w:spacing w:before="160"/>
      <w:jc w:val="center"/>
    </w:pPr>
    <w:rPr>
      <w:i/>
      <w:iCs/>
      <w:color w:val="404040" w:themeColor="text1" w:themeTint="BF"/>
      <w:kern w:val="0"/>
      <w14:ligatures w14:val="none"/>
    </w:rPr>
  </w:style>
  <w:style w:type="character" w:customStyle="1" w:styleId="ZitatZchn">
    <w:name w:val="Zitat Zchn"/>
    <w:basedOn w:val="Absatz-Standardschriftart"/>
    <w:link w:val="Zitat"/>
    <w:uiPriority w:val="29"/>
    <w:rsid w:val="00735E7E"/>
    <w:rPr>
      <w:rFonts w:ascii="Arial" w:hAnsi="Arial"/>
      <w:i/>
      <w:iCs/>
      <w:color w:val="404040" w:themeColor="text1" w:themeTint="BF"/>
      <w:sz w:val="20"/>
    </w:rPr>
  </w:style>
  <w:style w:type="paragraph" w:styleId="Listenabsatz">
    <w:name w:val="List Paragraph"/>
    <w:basedOn w:val="Standard"/>
    <w:uiPriority w:val="34"/>
    <w:qFormat/>
    <w:rsid w:val="00735E7E"/>
    <w:pPr>
      <w:ind w:left="720"/>
      <w:contextualSpacing/>
    </w:pPr>
    <w:rPr>
      <w:kern w:val="0"/>
      <w14:ligatures w14:val="none"/>
    </w:rPr>
  </w:style>
  <w:style w:type="character" w:styleId="IntensiveHervorhebung">
    <w:name w:val="Intense Emphasis"/>
    <w:basedOn w:val="Absatz-Standardschriftart"/>
    <w:uiPriority w:val="21"/>
    <w:qFormat/>
    <w:rsid w:val="00735E7E"/>
    <w:rPr>
      <w:i/>
      <w:iCs/>
      <w:color w:val="2F5496" w:themeColor="accent1" w:themeShade="BF"/>
    </w:rPr>
  </w:style>
  <w:style w:type="paragraph" w:styleId="IntensivesZitat">
    <w:name w:val="Intense Quote"/>
    <w:basedOn w:val="Standard"/>
    <w:next w:val="Standard"/>
    <w:link w:val="IntensivesZitatZchn"/>
    <w:uiPriority w:val="30"/>
    <w:qFormat/>
    <w:rsid w:val="00735E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0"/>
      <w14:ligatures w14:val="none"/>
    </w:rPr>
  </w:style>
  <w:style w:type="character" w:customStyle="1" w:styleId="IntensivesZitatZchn">
    <w:name w:val="Intensives Zitat Zchn"/>
    <w:basedOn w:val="Absatz-Standardschriftart"/>
    <w:link w:val="IntensivesZitat"/>
    <w:uiPriority w:val="30"/>
    <w:rsid w:val="00735E7E"/>
    <w:rPr>
      <w:rFonts w:ascii="Arial" w:hAnsi="Arial"/>
      <w:i/>
      <w:iCs/>
      <w:color w:val="2F5496" w:themeColor="accent1" w:themeShade="BF"/>
      <w:sz w:val="20"/>
    </w:rPr>
  </w:style>
  <w:style w:type="character" w:styleId="IntensiverVerweis">
    <w:name w:val="Intense Reference"/>
    <w:basedOn w:val="Absatz-Standardschriftart"/>
    <w:uiPriority w:val="32"/>
    <w:qFormat/>
    <w:rsid w:val="00735E7E"/>
    <w:rPr>
      <w:b/>
      <w:bCs/>
      <w:smallCaps/>
      <w:color w:val="2F5496" w:themeColor="accent1" w:themeShade="BF"/>
      <w:spacing w:val="5"/>
    </w:rPr>
  </w:style>
  <w:style w:type="paragraph" w:customStyle="1" w:styleId="Head2">
    <w:name w:val="Head2"/>
    <w:basedOn w:val="Standard"/>
    <w:link w:val="Head2Zchn"/>
    <w:qFormat/>
    <w:rsid w:val="00507E71"/>
    <w:rPr>
      <w:b/>
      <w:bCs/>
      <w:sz w:val="28"/>
      <w:szCs w:val="28"/>
      <w:lang w:val="en-US"/>
    </w:rPr>
  </w:style>
  <w:style w:type="character" w:customStyle="1" w:styleId="Head2Zchn">
    <w:name w:val="Head2 Zchn"/>
    <w:basedOn w:val="Absatz-Standardschriftart"/>
    <w:link w:val="Head2"/>
    <w:rsid w:val="00507E71"/>
    <w:rPr>
      <w:rFonts w:ascii="Arial" w:hAnsi="Arial"/>
      <w:b/>
      <w:bCs/>
      <w:kern w:val="2"/>
      <w:sz w:val="28"/>
      <w:szCs w:val="28"/>
      <w:lang w:val="en-US"/>
      <w14:ligatures w14:val="standardContextual"/>
    </w:rPr>
  </w:style>
  <w:style w:type="paragraph" w:customStyle="1" w:styleId="Head3">
    <w:name w:val="Head3"/>
    <w:basedOn w:val="Standard"/>
    <w:link w:val="Head3Zchn"/>
    <w:qFormat/>
    <w:rsid w:val="00507E71"/>
    <w:rPr>
      <w:b/>
      <w:bCs/>
      <w:i/>
      <w:iCs/>
      <w:sz w:val="22"/>
      <w:szCs w:val="24"/>
      <w:lang w:val="en-US"/>
    </w:rPr>
  </w:style>
  <w:style w:type="character" w:customStyle="1" w:styleId="Head3Zchn">
    <w:name w:val="Head3 Zchn"/>
    <w:basedOn w:val="Absatz-Standardschriftart"/>
    <w:link w:val="Head3"/>
    <w:rsid w:val="00507E71"/>
    <w:rPr>
      <w:rFonts w:ascii="Arial" w:hAnsi="Arial"/>
      <w:b/>
      <w:bCs/>
      <w:i/>
      <w:iCs/>
      <w:kern w:val="2"/>
      <w:szCs w:val="24"/>
      <w:lang w:val="en-US"/>
      <w14:ligatures w14:val="standardContextual"/>
    </w:rPr>
  </w:style>
  <w:style w:type="character" w:styleId="Hyperlink">
    <w:name w:val="Hyperlink"/>
    <w:basedOn w:val="Absatz-Standardschriftart"/>
    <w:uiPriority w:val="99"/>
    <w:unhideWhenUsed/>
    <w:rsid w:val="00507E71"/>
    <w:rPr>
      <w:color w:val="0563C1" w:themeColor="hyperlink"/>
      <w:u w:val="single"/>
    </w:rPr>
  </w:style>
  <w:style w:type="character" w:styleId="Kommentarzeichen">
    <w:name w:val="annotation reference"/>
    <w:basedOn w:val="Absatz-Standardschriftart"/>
    <w:uiPriority w:val="99"/>
    <w:semiHidden/>
    <w:unhideWhenUsed/>
    <w:rsid w:val="00507E71"/>
    <w:rPr>
      <w:sz w:val="16"/>
      <w:szCs w:val="16"/>
    </w:rPr>
  </w:style>
  <w:style w:type="paragraph" w:styleId="Kommentartext">
    <w:name w:val="annotation text"/>
    <w:basedOn w:val="Standard"/>
    <w:link w:val="KommentartextZchn"/>
    <w:uiPriority w:val="99"/>
    <w:unhideWhenUsed/>
    <w:rsid w:val="00507E71"/>
    <w:pPr>
      <w:spacing w:line="240" w:lineRule="auto"/>
    </w:pPr>
    <w:rPr>
      <w:szCs w:val="20"/>
    </w:rPr>
  </w:style>
  <w:style w:type="character" w:customStyle="1" w:styleId="KommentartextZchn">
    <w:name w:val="Kommentartext Zchn"/>
    <w:basedOn w:val="Absatz-Standardschriftart"/>
    <w:link w:val="Kommentartext"/>
    <w:uiPriority w:val="99"/>
    <w:rsid w:val="00507E71"/>
    <w:rPr>
      <w:rFonts w:ascii="Arial" w:hAnsi="Arial"/>
      <w:kern w:val="2"/>
      <w:sz w:val="20"/>
      <w:szCs w:val="20"/>
      <w14:ligatures w14:val="standardContextual"/>
    </w:rPr>
  </w:style>
  <w:style w:type="paragraph" w:customStyle="1" w:styleId="Head4">
    <w:name w:val="Head4"/>
    <w:basedOn w:val="Standard"/>
    <w:link w:val="Head4Zchn"/>
    <w:qFormat/>
    <w:rsid w:val="00507E71"/>
    <w:rPr>
      <w:b/>
      <w:bCs/>
      <w:i/>
      <w:lang w:val="en-US"/>
    </w:rPr>
  </w:style>
  <w:style w:type="character" w:customStyle="1" w:styleId="Head4Zchn">
    <w:name w:val="Head4 Zchn"/>
    <w:basedOn w:val="Absatz-Standardschriftart"/>
    <w:link w:val="Head4"/>
    <w:rsid w:val="00507E71"/>
    <w:rPr>
      <w:rFonts w:ascii="Arial" w:hAnsi="Arial"/>
      <w:b/>
      <w:bCs/>
      <w:i/>
      <w:kern w:val="2"/>
      <w:sz w:val="20"/>
      <w:lang w:val="en-US"/>
      <w14:ligatures w14:val="standardContextual"/>
    </w:rPr>
  </w:style>
  <w:style w:type="paragraph" w:customStyle="1" w:styleId="EndNoteBibliographyTitle">
    <w:name w:val="EndNote Bibliography Title"/>
    <w:basedOn w:val="Standard"/>
    <w:link w:val="EndNoteBibliographyTitleZchn"/>
    <w:rsid w:val="004E1686"/>
    <w:pPr>
      <w:spacing w:after="0"/>
      <w:jc w:val="center"/>
    </w:pPr>
    <w:rPr>
      <w:rFonts w:cs="Arial"/>
      <w:noProof/>
      <w:lang w:val="en-US"/>
    </w:rPr>
  </w:style>
  <w:style w:type="character" w:customStyle="1" w:styleId="EndNoteBibliographyTitleZchn">
    <w:name w:val="EndNote Bibliography Title Zchn"/>
    <w:basedOn w:val="Absatz-Standardschriftart"/>
    <w:link w:val="EndNoteBibliographyTitle"/>
    <w:rsid w:val="004E1686"/>
    <w:rPr>
      <w:rFonts w:ascii="Arial" w:hAnsi="Arial" w:cs="Arial"/>
      <w:noProof/>
      <w:kern w:val="2"/>
      <w:sz w:val="20"/>
      <w:lang w:val="en-US"/>
      <w14:ligatures w14:val="standardContextual"/>
    </w:rPr>
  </w:style>
  <w:style w:type="paragraph" w:customStyle="1" w:styleId="EndNoteBibliography">
    <w:name w:val="EndNote Bibliography"/>
    <w:basedOn w:val="Standard"/>
    <w:link w:val="EndNoteBibliographyZchn"/>
    <w:rsid w:val="004E1686"/>
    <w:pPr>
      <w:spacing w:line="240" w:lineRule="auto"/>
    </w:pPr>
    <w:rPr>
      <w:rFonts w:cs="Arial"/>
      <w:noProof/>
      <w:lang w:val="en-US"/>
    </w:rPr>
  </w:style>
  <w:style w:type="character" w:customStyle="1" w:styleId="EndNoteBibliographyZchn">
    <w:name w:val="EndNote Bibliography Zchn"/>
    <w:basedOn w:val="Absatz-Standardschriftart"/>
    <w:link w:val="EndNoteBibliography"/>
    <w:rsid w:val="004E1686"/>
    <w:rPr>
      <w:rFonts w:ascii="Arial" w:hAnsi="Arial" w:cs="Arial"/>
      <w:noProof/>
      <w:kern w:val="2"/>
      <w:sz w:val="20"/>
      <w:lang w:val="en-US"/>
      <w14:ligatures w14:val="standardContextual"/>
    </w:rPr>
  </w:style>
  <w:style w:type="character" w:styleId="NichtaufgelsteErwhnung">
    <w:name w:val="Unresolved Mention"/>
    <w:basedOn w:val="Absatz-Standardschriftart"/>
    <w:uiPriority w:val="99"/>
    <w:semiHidden/>
    <w:unhideWhenUsed/>
    <w:rsid w:val="004E1686"/>
    <w:rPr>
      <w:color w:val="605E5C"/>
      <w:shd w:val="clear" w:color="auto" w:fill="E1DFDD"/>
    </w:rPr>
  </w:style>
  <w:style w:type="paragraph" w:styleId="berarbeitung">
    <w:name w:val="Revision"/>
    <w:hidden/>
    <w:uiPriority w:val="99"/>
    <w:semiHidden/>
    <w:rsid w:val="003D6337"/>
    <w:pPr>
      <w:spacing w:after="0" w:line="240" w:lineRule="auto"/>
    </w:pPr>
    <w:rPr>
      <w:rFonts w:ascii="Arial" w:hAnsi="Arial"/>
      <w:kern w:val="2"/>
      <w:sz w:val="20"/>
      <w14:ligatures w14:val="standardContextual"/>
    </w:rPr>
  </w:style>
  <w:style w:type="paragraph" w:styleId="Kopfzeile">
    <w:name w:val="header"/>
    <w:basedOn w:val="Standard"/>
    <w:link w:val="KopfzeileZchn"/>
    <w:uiPriority w:val="99"/>
    <w:unhideWhenUsed/>
    <w:rsid w:val="004D630F"/>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D630F"/>
    <w:rPr>
      <w:rFonts w:ascii="Arial" w:hAnsi="Arial"/>
      <w:kern w:val="2"/>
      <w:sz w:val="20"/>
      <w14:ligatures w14:val="standardContextual"/>
    </w:rPr>
  </w:style>
  <w:style w:type="paragraph" w:styleId="Fuzeile">
    <w:name w:val="footer"/>
    <w:basedOn w:val="Standard"/>
    <w:link w:val="FuzeileZchn"/>
    <w:uiPriority w:val="99"/>
    <w:unhideWhenUsed/>
    <w:rsid w:val="004D630F"/>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D630F"/>
    <w:rPr>
      <w:rFonts w:ascii="Arial" w:hAnsi="Arial"/>
      <w:kern w:val="2"/>
      <w:sz w:val="20"/>
      <w14:ligatures w14:val="standardContextual"/>
    </w:rPr>
  </w:style>
  <w:style w:type="character" w:styleId="Zeilennummer">
    <w:name w:val="line number"/>
    <w:basedOn w:val="Absatz-Standardschriftart"/>
    <w:uiPriority w:val="99"/>
    <w:semiHidden/>
    <w:unhideWhenUsed/>
    <w:rsid w:val="004D630F"/>
  </w:style>
  <w:style w:type="paragraph" w:customStyle="1" w:styleId="Head1">
    <w:name w:val="Head1"/>
    <w:basedOn w:val="Standard"/>
    <w:link w:val="Head1Zchn"/>
    <w:qFormat/>
    <w:rsid w:val="006B2A80"/>
    <w:rPr>
      <w:b/>
      <w:bCs/>
      <w:sz w:val="34"/>
      <w:szCs w:val="34"/>
      <w:lang w:val="en-US"/>
    </w:rPr>
  </w:style>
  <w:style w:type="character" w:customStyle="1" w:styleId="Head1Zchn">
    <w:name w:val="Head1 Zchn"/>
    <w:basedOn w:val="Absatz-Standardschriftart"/>
    <w:link w:val="Head1"/>
    <w:rsid w:val="006B2A80"/>
    <w:rPr>
      <w:rFonts w:ascii="Arial" w:hAnsi="Arial"/>
      <w:b/>
      <w:bCs/>
      <w:kern w:val="2"/>
      <w:sz w:val="34"/>
      <w:szCs w:val="34"/>
      <w:lang w:val="en-US"/>
      <w14:ligatures w14:val="standardContextual"/>
    </w:rPr>
  </w:style>
  <w:style w:type="paragraph" w:styleId="Inhaltsverzeichnisberschrift">
    <w:name w:val="TOC Heading"/>
    <w:basedOn w:val="berschrift1"/>
    <w:next w:val="Standard"/>
    <w:uiPriority w:val="39"/>
    <w:unhideWhenUsed/>
    <w:qFormat/>
    <w:rsid w:val="006B2A80"/>
    <w:pPr>
      <w:spacing w:before="240" w:after="0"/>
      <w:outlineLvl w:val="9"/>
    </w:pPr>
    <w:rPr>
      <w:sz w:val="32"/>
      <w:szCs w:val="32"/>
      <w:lang w:eastAsia="de-CH"/>
    </w:rPr>
  </w:style>
  <w:style w:type="paragraph" w:styleId="Beschriftung">
    <w:name w:val="caption"/>
    <w:basedOn w:val="Standard"/>
    <w:next w:val="Standard"/>
    <w:uiPriority w:val="35"/>
    <w:unhideWhenUsed/>
    <w:qFormat/>
    <w:rsid w:val="009A353B"/>
    <w:pPr>
      <w:spacing w:after="200" w:line="240" w:lineRule="auto"/>
    </w:pPr>
    <w:rPr>
      <w:i/>
      <w:iCs/>
      <w:color w:val="44546A" w:themeColor="text2"/>
      <w:sz w:val="18"/>
      <w:szCs w:val="18"/>
    </w:rPr>
  </w:style>
  <w:style w:type="paragraph" w:styleId="Verzeichnis1">
    <w:name w:val="toc 1"/>
    <w:basedOn w:val="Standard"/>
    <w:next w:val="Standard"/>
    <w:autoRedefine/>
    <w:uiPriority w:val="39"/>
    <w:unhideWhenUsed/>
    <w:rsid w:val="00873263"/>
    <w:pPr>
      <w:spacing w:after="100"/>
    </w:pPr>
  </w:style>
  <w:style w:type="paragraph" w:styleId="Kommentarthema">
    <w:name w:val="annotation subject"/>
    <w:basedOn w:val="Kommentartext"/>
    <w:next w:val="Kommentartext"/>
    <w:link w:val="KommentarthemaZchn"/>
    <w:uiPriority w:val="99"/>
    <w:semiHidden/>
    <w:unhideWhenUsed/>
    <w:rsid w:val="00EC181B"/>
    <w:rPr>
      <w:b/>
      <w:bCs/>
    </w:rPr>
  </w:style>
  <w:style w:type="character" w:customStyle="1" w:styleId="KommentarthemaZchn">
    <w:name w:val="Kommentarthema Zchn"/>
    <w:basedOn w:val="KommentartextZchn"/>
    <w:link w:val="Kommentarthema"/>
    <w:uiPriority w:val="99"/>
    <w:semiHidden/>
    <w:rsid w:val="00EC181B"/>
    <w:rPr>
      <w:rFonts w:ascii="Arial" w:hAnsi="Arial"/>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1CF2-9774-4C80-8DAA-19CEDF47A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3972</Words>
  <Characters>25024</Characters>
  <Application>Microsoft Office Word</Application>
  <DocSecurity>0</DocSecurity>
  <Lines>208</Lines>
  <Paragraphs>57</Paragraphs>
  <ScaleCrop>false</ScaleCrop>
  <HeadingPairs>
    <vt:vector size="2" baseType="variant">
      <vt:variant>
        <vt:lpstr>Titel</vt:lpstr>
      </vt:variant>
      <vt:variant>
        <vt:i4>1</vt:i4>
      </vt:variant>
    </vt:vector>
  </HeadingPairs>
  <TitlesOfParts>
    <vt:vector size="1" baseType="lpstr">
      <vt:lpstr/>
    </vt:vector>
  </TitlesOfParts>
  <Company>USZ</Company>
  <LinksUpToDate>false</LinksUpToDate>
  <CharactersWithSpaces>28939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Brunn Silvan</dc:creator>
  <cp:keywords/>
  <dc:description/>
  <cp:lastModifiedBy>Magnani Chiara</cp:lastModifiedBy>
  <cp:revision>8</cp:revision>
  <dcterms:created xsi:type="dcterms:W3CDTF">2026-08-17T20:46:00Z</dcterms:created>
  <dcterms:modified xsi:type="dcterms:W3CDTF">2026-08-20T09:36:00Z</dcterms:modified>
</cp:coreProperties>
</file>