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gif" ContentType="image/gif"/>
  <Default Extension="png" ContentType="image/png"/>
  <Default Extension="svg" ContentType="image/svg+xml"/>
  <Default Extension="bmp" ContentType="image/bmp"/>
  <Default Extension="emf" ContentType="image/x-emf"/>
  <Default Extension="wmf" ContentType="image/x-wmf"/>
  <Default Extension="tiff" ContentType="image/tiff"/>
  <Default Extension="pdf" ContentType="application/pdf"/>
  <Default Extension="jpg" ContentType="application/octet-stream"/>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pPr>
        <w:pStyle w:val="Normal"/>
        <w:jc w:val="left"/>
        <w:pBdr>
          <w:bottom w:val="none" w:sz="0" w:space="0" w:color="000000"/>
          <w:top w:val="none" w:sz="0" w:space="0" w:color="000000"/>
          <w:left w:val="none" w:sz="0" w:space="0" w:color="000000"/>
          <w:right w:val="none" w:sz="0" w:space="0" w:color="000000"/>
        </w:pBdr>
        <w:spacing w:after="100" w:before="200" w:line="240"/>
        <w:ind w:left="0" w:right="0" w:firstLine="0" w:firstLineChars="0"/>
      </w:pPr>
      <w:r>
        <w:rPr>
          <w:rFonts w:ascii="Times New Roman" w:hAnsi="Times New Roman" w:eastAsia="Times New Roman" w:cs="Times New Roman"/>
          <w:i w:val="false"/>
          <w:b w:val="true"/>
          <w:u w:val="none"/>
          <w:strike w:val="false"/>
          <w:sz w:val="30"/>
          <w:szCs w:val="30"/>
          <w:color w:val="000000"/>
        </w:rPr>
        <w:t xml:space="preserve">Supplementary Material</w:t>
      </w:r>
    </w:p>
    <w:p>
      <w:pPr>
        <w:pStyle w:val="Normal"/>
        <w:jc w:val="left"/>
        <w:pBdr>
          <w:bottom w:val="none" w:sz="0" w:space="0" w:color="000000"/>
          <w:top w:val="none" w:sz="0" w:space="0" w:color="000000"/>
          <w:left w:val="none" w:sz="0" w:space="0" w:color="000000"/>
          <w:right w:val="none" w:sz="0" w:space="0" w:color="000000"/>
        </w:pBdr>
        <w:spacing w:after="160" w:before="0" w:line="276"/>
        <w:ind w:left="0" w:right="0" w:firstLine="0" w:firstLineChars="0"/>
      </w:pPr>
      <w:r>
        <w:rPr>
          <w:rFonts w:ascii="Times New Roman" w:hAnsi="Times New Roman" w:eastAsia="Times New Roman" w:cs="Times New Roman"/>
          <w:i w:val="false"/>
          <w:b w:val="false"/>
          <w:u w:val="none"/>
          <w:strike w:val="false"/>
          <w:sz w:val="22"/>
          <w:szCs w:val="22"/>
          <w:color w:val="000000"/>
        </w:rPr>
        <w:t xml:space="preserve">Childhood lead exposure in Bangladesh: a nationally representative biomonitoring survey of prevalence, determinants, and associations with undernutrition and anaemia</w:t>
      </w:r>
    </w:p>
    <w:p>
      <w:pPr>
        <w:pStyle w:val="Normal"/>
        <w:jc w:val="left"/>
        <w:pBdr>
          <w:bottom w:val="none" w:sz="0" w:space="0" w:color="000000"/>
          <w:top w:val="none" w:sz="0" w:space="0" w:color="000000"/>
          <w:left w:val="none" w:sz="0" w:space="0" w:color="000000"/>
          <w:right w:val="none" w:sz="0" w:space="0" w:color="000000"/>
        </w:pBdr>
        <w:spacing w:after="100" w:before="200" w:line="240"/>
        <w:ind w:left="0" w:right="0" w:firstLine="0" w:firstLineChars="0"/>
      </w:pPr>
      <w:r>
        <w:rPr>
          <w:rFonts w:ascii="Times New Roman" w:hAnsi="Times New Roman" w:eastAsia="Times New Roman" w:cs="Times New Roman"/>
          <w:i w:val="false"/>
          <w:b w:val="true"/>
          <w:u w:val="none"/>
          <w:strike w:val="false"/>
          <w:sz w:val="23"/>
          <w:szCs w:val="23"/>
          <w:color w:val="000000"/>
        </w:rPr>
        <w:t xml:space="preserve">Table S1. Reproduction of published MICS 2025 estimates</w:t>
      </w:r>
    </w:p>
    <w:tbl xmlns:a="http://schemas.openxmlformats.org/drawingml/2006/main" xmlns:pic="http://schemas.openxmlformats.org/drawingml/2006/picture">
      <w:tblPr>
        <w:tblLayout w:type="fixed"/>
        <w:jc w:val="center"/>
        <w:tblLook w:firstRow="1" w:lastRow="0" w:firstColumn="0" w:lastColumn="0" w:noHBand="0" w:noVBand="1"/>
      </w:tblPr>
      <w:tblGrid>
        <w:gridCol w:w="1645"/>
        <w:gridCol w:w="1001"/>
        <w:gridCol w:w="1011"/>
        <w:gridCol w:w="1020"/>
      </w:tblGrid>
      <w:tr>
        <w:trPr>
          <w:trHeight w:val="411" w:hRule="auto"/>
          <w:tblHeader/>
        </w:trPr>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indicator</w:t>
            </w:r>
          </w:p>
        </w:tc>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published</w:t>
            </w:r>
          </w:p>
        </w:tc>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computed</w:t>
            </w:r>
          </w:p>
        </w:tc>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difference</w:t>
            </w:r>
          </w:p>
        </w:tc>
      </w:tr>
      <w:tr>
        <w:trPr>
          <w:trHeight w:val="375" w:hRule="auto"/>
        </w:trPr>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Mean BLL</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5.21</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5.21</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w:t>
            </w:r>
          </w:p>
        </w:tc>
      </w:tr>
      <w:tr>
        <w:trPr>
          <w:trHeight w:val="378"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Median BLL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BLL &gt;=5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38.30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38.50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Mean haemoglobin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Stunting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24.00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24.00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Wasting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Underweight (%)</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23.00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23.00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w:t>
            </w:r>
          </w:p>
        </w:tc>
      </w:tr>
      <w:tr>
        <w:trPr>
          <w:trHeight w:val="414" w:hRule="auto"/>
        </w:trPr>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Child anaemia (%)</w:t>
            </w:r>
          </w:p>
        </w:tc>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43.90</w:t>
            </w:r>
          </w:p>
        </w:tc>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47.40</w:t>
            </w:r>
          </w:p>
        </w:tc>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3.5</w:t>
            </w:r>
          </w:p>
        </w:tc>
      </w:tr>
    </w:tbl>
    <w:p>
      <w:pPr>
        <w:pStyle w:val="Normal"/>
        <w:jc w:val="left"/>
        <w:pBdr>
          <w:bottom w:val="none" w:sz="0" w:space="0" w:color="000000"/>
          <w:top w:val="none" w:sz="0" w:space="0" w:color="000000"/>
          <w:left w:val="none" w:sz="0" w:space="0" w:color="000000"/>
          <w:right w:val="none" w:sz="0" w:space="0" w:color="000000"/>
        </w:pBdr>
        <w:spacing w:after="240" w:before="60" w:line="240"/>
        <w:ind w:left="0" w:right="0" w:firstLine="0" w:firstLineChars="0"/>
      </w:pPr>
      <w:r>
        <w:rPr>
          <w:rFonts w:ascii="Times New Roman" w:hAnsi="Times New Roman" w:eastAsia="Times New Roman" w:cs="Times New Roman"/>
          <w:i w:val="false"/>
          <w:b w:val="false"/>
          <w:u w:val="none"/>
          <w:strike w:val="false"/>
          <w:sz w:val="17"/>
          <w:szCs w:val="17"/>
          <w:color w:val="000000"/>
        </w:rPr>
        <w:t xml:space="preserve">Published values are from the MICS 2025 preliminary report. Computed values were derived independently from the released microdata using the analysis code accompanying this paper. Blood lead and anaemia indicators use the blood-specimen weight; anthropometric indicators use the under-five weight and cover all children under five.</w:t>
      </w:r>
    </w:p>
    <w:p>
      <w:pPr>
        <w:pStyle w:val="Normal"/>
        <w:jc w:val="left"/>
        <w:pBdr>
          <w:bottom w:val="none" w:sz="0" w:space="0" w:color="000000"/>
          <w:top w:val="none" w:sz="0" w:space="0" w:color="000000"/>
          <w:left w:val="none" w:sz="0" w:space="0" w:color="000000"/>
          <w:right w:val="none" w:sz="0" w:space="0" w:color="000000"/>
        </w:pBdr>
        <w:spacing w:after="100" w:before="200" w:line="240"/>
        <w:ind w:left="0" w:right="0" w:firstLine="0" w:firstLineChars="0"/>
      </w:pPr>
      <w:r>
        <w:rPr>
          <w:rFonts w:ascii="Times New Roman" w:hAnsi="Times New Roman" w:eastAsia="Times New Roman" w:cs="Times New Roman"/>
          <w:i w:val="false"/>
          <w:b w:val="true"/>
          <w:u w:val="none"/>
          <w:strike w:val="false"/>
          <w:sz w:val="23"/>
          <w:szCs w:val="23"/>
          <w:color w:val="000000"/>
        </w:rPr>
        <w:t xml:space="preserve">Table S2. Item missingness within the analytic sample (n = 10,622)</w:t>
      </w:r>
    </w:p>
    <w:tbl xmlns:a="http://schemas.openxmlformats.org/drawingml/2006/main" xmlns:pic="http://schemas.openxmlformats.org/drawingml/2006/picture">
      <w:tblPr>
        <w:tblLayout w:type="fixed"/>
        <w:jc w:val="center"/>
        <w:tblLook w:firstRow="1" w:lastRow="0" w:firstColumn="0" w:lastColumn="0" w:noHBand="0" w:noVBand="1"/>
      </w:tblPr>
      <w:tblGrid>
        <w:gridCol w:w="1300"/>
        <w:gridCol w:w="1021"/>
        <w:gridCol w:w="1161"/>
      </w:tblGrid>
      <w:tr>
        <w:trPr>
          <w:trHeight w:val="412" w:hRule="auto"/>
          <w:tblHeader/>
        </w:trPr>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variable</w:t>
            </w:r>
          </w:p>
        </w:tc>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n_missing</w:t>
            </w:r>
          </w:p>
        </w:tc>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pct_missing</w:t>
            </w:r>
          </w:p>
        </w:tc>
      </w:tr>
      <w:tr>
        <w:trPr>
          <w:trHeight w:val="378" w:hRule="auto"/>
        </w:trPr>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bll</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0.00</w:t>
            </w:r>
          </w:p>
        </w:tc>
      </w:tr>
      <w:tr>
        <w:trPr>
          <w:trHeight w:val="378"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hb</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0.22</w:t>
            </w:r>
          </w:p>
        </w:tc>
      </w:tr>
      <w:tr>
        <w:trPr>
          <w:trHeight w:val="37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haz</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81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0.76</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waz</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0.31</w:t>
            </w:r>
          </w:p>
        </w:tc>
      </w:tr>
      <w:tr>
        <w:trPr>
          <w:trHeight w:val="378"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whz</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0.82</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soil_pb</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0.82</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agegrp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0.00</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sex</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0.00</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area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0.00</w:t>
            </w:r>
          </w:p>
        </w:tc>
      </w:tr>
      <w:tr>
        <w:trPr>
          <w:trHeight w:val="378"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division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0.00</w:t>
            </w:r>
          </w:p>
        </w:tc>
      </w:tr>
      <w:tr>
        <w:trPr>
          <w:trHeight w:val="378"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wealth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0.00</w:t>
            </w:r>
          </w:p>
        </w:tc>
      </w:tr>
      <w:tr>
        <w:trPr>
          <w:trHeight w:val="378"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meduc</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0.03</w:t>
            </w:r>
          </w:p>
        </w:tc>
      </w:tr>
      <w:tr>
        <w:trPr>
          <w:trHeight w:val="378"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floor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0.31</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paint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0.00</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pica_f</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0.02</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surma_any_f</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0.00</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amulet_f</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0.07</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sindoor_f</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0.02</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smoke_hh_f</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0.02</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ind_near_f</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0.89</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ind_work_f</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0.60</w:t>
            </w:r>
          </w:p>
        </w:tc>
      </w:tr>
      <w:tr>
        <w:trPr>
          <w:trHeight w:val="414" w:hRule="auto"/>
        </w:trPr>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battery_near_f</w:t>
            </w:r>
          </w:p>
        </w:tc>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284</w:t>
            </w:r>
          </w:p>
        </w:tc>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2.67</w:t>
            </w:r>
          </w:p>
        </w:tc>
      </w:tr>
    </w:tbl>
    <w:p>
      <w:pPr>
        <w:pStyle w:val="Normal"/>
        <w:jc w:val="left"/>
        <w:pBdr>
          <w:bottom w:val="none" w:sz="0" w:space="0" w:color="000000"/>
          <w:top w:val="none" w:sz="0" w:space="0" w:color="000000"/>
          <w:left w:val="none" w:sz="0" w:space="0" w:color="000000"/>
          <w:right w:val="none" w:sz="0" w:space="0" w:color="000000"/>
        </w:pBdr>
        <w:spacing w:after="240" w:before="60" w:line="240"/>
        <w:ind w:left="0" w:right="0" w:firstLine="0" w:firstLineChars="0"/>
      </w:pPr>
      <w:r>
        <w:rPr>
          <w:rFonts w:ascii="Times New Roman" w:hAnsi="Times New Roman" w:eastAsia="Times New Roman" w:cs="Times New Roman"/>
          <w:i w:val="false"/>
          <w:b w:val="false"/>
          <w:u w:val="none"/>
          <w:strike w:val="false"/>
          <w:sz w:val="17"/>
          <w:szCs w:val="17"/>
          <w:color w:val="000000"/>
        </w:rPr>
        <w:t xml:space="preserve">Percentages are of the primary analytic sample of children with a valid blood lead result.</w:t>
      </w:r>
    </w:p>
    <w:p>
      <w:pPr>
        <w:pStyle w:val="Normal"/>
        <w:jc w:val="left"/>
        <w:pBdr>
          <w:bottom w:val="none" w:sz="0" w:space="0" w:color="000000"/>
          <w:top w:val="none" w:sz="0" w:space="0" w:color="000000"/>
          <w:left w:val="none" w:sz="0" w:space="0" w:color="000000"/>
          <w:right w:val="none" w:sz="0" w:space="0" w:color="000000"/>
        </w:pBdr>
        <w:spacing w:after="100" w:before="200" w:line="240"/>
        <w:ind w:left="0" w:right="0" w:firstLine="0" w:firstLineChars="0"/>
      </w:pPr>
      <w:r>
        <w:rPr>
          <w:rFonts w:ascii="Times New Roman" w:hAnsi="Times New Roman" w:eastAsia="Times New Roman" w:cs="Times New Roman"/>
          <w:i w:val="false"/>
          <w:b w:val="true"/>
          <w:u w:val="none"/>
          <w:strike w:val="false"/>
          <w:sz w:val="23"/>
          <w:szCs w:val="23"/>
          <w:color w:val="000000"/>
        </w:rPr>
        <w:t xml:space="preserve">Table S3. Complete-case versus missing-indicator sensitivity analysis</w:t>
      </w:r>
    </w:p>
    <w:tbl xmlns:a="http://schemas.openxmlformats.org/drawingml/2006/main" xmlns:pic="http://schemas.openxmlformats.org/drawingml/2006/picture">
      <w:tblPr>
        <w:tblLayout w:type="fixed"/>
        <w:jc w:val="center"/>
        <w:tblLook w:firstRow="1" w:lastRow="0" w:firstColumn="0" w:lastColumn="0" w:noHBand="0" w:noVBand="1"/>
      </w:tblPr>
      <w:tblGrid>
        <w:gridCol w:w="2156"/>
        <w:gridCol w:w="710"/>
        <w:gridCol w:w="656"/>
        <w:gridCol w:w="656"/>
        <w:gridCol w:w="751"/>
        <w:gridCol w:w="681"/>
        <w:gridCol w:w="691"/>
        <w:gridCol w:w="871"/>
      </w:tblGrid>
      <w:tr>
        <w:trPr>
          <w:trHeight w:val="412" w:hRule="auto"/>
          <w:tblHeader/>
        </w:trPr>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term</w:t>
            </w:r>
          </w:p>
        </w:tc>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cc_est</w:t>
            </w:r>
          </w:p>
        </w:tc>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cc_lo</w:t>
            </w:r>
          </w:p>
        </w:tc>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cc_hi</w:t>
            </w:r>
          </w:p>
        </w:tc>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mi_est</w:t>
            </w:r>
          </w:p>
        </w:tc>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mi_lo</w:t>
            </w:r>
          </w:p>
        </w:tc>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mi_hi</w:t>
            </w:r>
          </w:p>
        </w:tc>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abs_diff</w:t>
            </w:r>
          </w:p>
        </w:tc>
      </w:tr>
      <w:tr>
        <w:trPr>
          <w:trHeight w:val="411" w:hRule="auto"/>
        </w:trPr>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agegrp24-35</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0.878</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0.742</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1.040</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0.865</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0.735</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1.018</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0.013</w:t>
            </w:r>
          </w:p>
        </w:tc>
      </w:tr>
      <w:tr>
        <w:trPr>
          <w:trHeight w:val="411"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agegrp36-47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0.016</w:t>
            </w:r>
          </w:p>
        </w:tc>
      </w:tr>
      <w:tr>
        <w:trPr>
          <w:trHeight w:val="411"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agegrp48-59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0.617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0.626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0.010</w:t>
            </w:r>
          </w:p>
        </w:tc>
      </w:tr>
      <w:tr>
        <w:trPr>
          <w:trHeight w:val="378"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sexFemale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0.680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0.685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0.852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0.005</w:t>
            </w:r>
          </w:p>
        </w:tc>
      </w:tr>
      <w:tr>
        <w:trPr>
          <w:trHeight w:val="378"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areaRural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0.654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0.643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0.867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0.015</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divisionChattogram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1.603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2.034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1.663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1.300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2.127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0.060</w:t>
            </w:r>
          </w:p>
        </w:tc>
      </w:tr>
      <w:tr>
        <w:trPr>
          <w:trHeight w:val="378"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divisionDhaka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3.892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3.055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4.958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4.006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3.148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5.098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0.114</w:t>
            </w:r>
          </w:p>
        </w:tc>
      </w:tr>
      <w:tr>
        <w:trPr>
          <w:trHeight w:val="378"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divisionKhulna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0.594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0.021</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divisionMymensingh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1.344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1.484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0.094</w:t>
            </w:r>
          </w:p>
        </w:tc>
      </w:tr>
      <w:tr>
        <w:trPr>
          <w:trHeight w:val="41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divisionRajshahi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0.633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0.657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0.017</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divisionRangpur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0.685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0.029</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divisionSylhet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2.127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1.612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2.807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2.205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1.668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2.913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0.077</w:t>
            </w:r>
          </w:p>
        </w:tc>
      </w:tr>
      <w:tr>
        <w:trPr>
          <w:trHeight w:val="378"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wealthSecond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0.003</w:t>
            </w:r>
          </w:p>
        </w:tc>
      </w:tr>
      <w:tr>
        <w:trPr>
          <w:trHeight w:val="378"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wealthMiddle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1.321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1.635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1.579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0.038</w:t>
            </w:r>
          </w:p>
        </w:tc>
      </w:tr>
      <w:tr>
        <w:trPr>
          <w:trHeight w:val="378"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wealthFourth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1.597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2.060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1.584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2.036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0.012</w:t>
            </w:r>
          </w:p>
        </w:tc>
      </w:tr>
      <w:tr>
        <w:trPr>
          <w:trHeight w:val="378"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wealthRichest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1.837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1.353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2.493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1.764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1.304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2.387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0.073</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meducPrimary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0.004</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meducLower secondary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0.594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0.607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0.016</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meducSecondary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0.022</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meducHigher secondary+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0.566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0.020</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floorNatural/rudimentary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1.194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0.982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0.017</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paintPaint, good condition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0.004</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paintPaint, deteriorating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1.377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1.420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0.035</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pica_fYes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1.368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1.400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0.030</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surma_any_fYes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0.007</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amulet_fYes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0.010</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sindoor_fYes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1.066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0.017</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smoke_hh_fYes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0.041</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ind_near_fYes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1.066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0.030</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ind_work_fYes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1.453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1.438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0.010</w:t>
            </w:r>
          </w:p>
        </w:tc>
      </w:tr>
      <w:tr>
        <w:trPr>
          <w:trHeight w:val="414" w:hRule="auto"/>
        </w:trPr>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battery_near_fYes</w:t>
            </w:r>
          </w:p>
        </w:tc>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1.167</w:t>
            </w:r>
          </w:p>
        </w:tc>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0.984</w:t>
            </w:r>
          </w:p>
        </w:tc>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1.383</w:t>
            </w:r>
          </w:p>
        </w:tc>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1.152</w:t>
            </w:r>
          </w:p>
        </w:tc>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0.973</w:t>
            </w:r>
          </w:p>
        </w:tc>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1.363</w:t>
            </w:r>
          </w:p>
        </w:tc>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0.015</w:t>
            </w:r>
          </w:p>
        </w:tc>
      </w:tr>
    </w:tbl>
    <w:p>
      <w:pPr>
        <w:pStyle w:val="Normal"/>
        <w:jc w:val="left"/>
        <w:pBdr>
          <w:bottom w:val="none" w:sz="0" w:space="0" w:color="000000"/>
          <w:top w:val="none" w:sz="0" w:space="0" w:color="000000"/>
          <w:left w:val="none" w:sz="0" w:space="0" w:color="000000"/>
          <w:right w:val="none" w:sz="0" w:space="0" w:color="000000"/>
        </w:pBdr>
        <w:spacing w:after="240" w:before="60" w:line="240"/>
        <w:ind w:left="0" w:right="0" w:firstLine="0" w:firstLineChars="0"/>
      </w:pPr>
      <w:r>
        <w:rPr>
          <w:rFonts w:ascii="Times New Roman" w:hAnsi="Times New Roman" w:eastAsia="Times New Roman" w:cs="Times New Roman"/>
          <w:i w:val="false"/>
          <w:b w:val="false"/>
          <w:u w:val="none"/>
          <w:strike w:val="false"/>
          <w:sz w:val="17"/>
          <w:szCs w:val="17"/>
          <w:color w:val="000000"/>
        </w:rPr>
        <w:t xml:space="preserve">cc, complete-case model (n = 10,260); mi, missing-indicator model (n = 10,622). Adjusted odds ratios for elevated blood lead. The maximum absolute difference between specifications was 0.11.</w:t>
      </w:r>
    </w:p>
    <w:p>
      <w:pPr>
        <w:pStyle w:val="Normal"/>
        <w:jc w:val="left"/>
        <w:pBdr>
          <w:bottom w:val="none" w:sz="0" w:space="0" w:color="000000"/>
          <w:top w:val="none" w:sz="0" w:space="0" w:color="000000"/>
          <w:left w:val="none" w:sz="0" w:space="0" w:color="000000"/>
          <w:right w:val="none" w:sz="0" w:space="0" w:color="000000"/>
        </w:pBdr>
        <w:spacing w:after="100" w:before="200" w:line="240"/>
        <w:ind w:left="0" w:right="0" w:firstLine="0" w:firstLineChars="0"/>
      </w:pPr>
      <w:r>
        <w:rPr>
          <w:rFonts w:ascii="Times New Roman" w:hAnsi="Times New Roman" w:eastAsia="Times New Roman" w:cs="Times New Roman"/>
          <w:i w:val="false"/>
          <w:b w:val="true"/>
          <w:u w:val="none"/>
          <w:strike w:val="false"/>
          <w:sz w:val="23"/>
          <w:szCs w:val="23"/>
          <w:color w:val="000000"/>
        </w:rPr>
        <w:t xml:space="preserve">Table S4. Determinants of blood lead at the 2021 CDC reference value of 3.5 µg/dL</w:t>
      </w:r>
    </w:p>
    <w:tbl xmlns:a="http://schemas.openxmlformats.org/drawingml/2006/main" xmlns:pic="http://schemas.openxmlformats.org/drawingml/2006/picture">
      <w:tblPr>
        <w:tblLayout w:type="fixed"/>
        <w:jc w:val="center"/>
        <w:tblLook w:firstRow="1" w:lastRow="0" w:firstColumn="0" w:lastColumn="0" w:noHBand="0" w:noVBand="1"/>
      </w:tblPr>
      <w:tblGrid>
        <w:gridCol w:w="2156"/>
        <w:gridCol w:w="890"/>
        <w:gridCol w:w="935"/>
        <w:gridCol w:w="841"/>
        <w:gridCol w:w="806"/>
        <w:gridCol w:w="896"/>
        <w:gridCol w:w="966"/>
      </w:tblGrid>
      <w:tr>
        <w:trPr>
          <w:trHeight w:val="412" w:hRule="auto"/>
          <w:tblHeader/>
        </w:trPr>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term</w:t>
            </w:r>
          </w:p>
        </w:tc>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estimate</w:t>
            </w:r>
          </w:p>
        </w:tc>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std.error</w:t>
            </w:r>
          </w:p>
        </w:tc>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statistic</w:t>
            </w:r>
          </w:p>
        </w:tc>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p.value</w:t>
            </w:r>
          </w:p>
        </w:tc>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conf.low</w:t>
            </w:r>
          </w:p>
        </w:tc>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conf.high</w:t>
            </w:r>
          </w:p>
        </w:tc>
      </w:tr>
      <w:tr>
        <w:trPr>
          <w:trHeight w:val="414" w:hRule="auto"/>
        </w:trPr>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(Intercept)</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2.141</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0.195</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3.896</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0.000</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1.460</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3.141</w:t>
            </w:r>
          </w:p>
        </w:tc>
      </w:tr>
      <w:tr>
        <w:trPr>
          <w:trHeight w:val="411"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agegrp24-35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-2.600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0.681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0.948</w:t>
            </w:r>
          </w:p>
        </w:tc>
      </w:tr>
      <w:tr>
        <w:trPr>
          <w:trHeight w:val="411"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agegrp36-47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-2.928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0.685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0.928</w:t>
            </w:r>
          </w:p>
        </w:tc>
      </w:tr>
      <w:tr>
        <w:trPr>
          <w:trHeight w:val="411"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agegrp48-59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0.665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0.082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-5.013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0.566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0.780</w:t>
            </w:r>
          </w:p>
        </w:tc>
      </w:tr>
      <w:tr>
        <w:trPr>
          <w:trHeight w:val="378"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sexFemale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0.052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-6.238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0.651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0.799</w:t>
            </w:r>
          </w:p>
        </w:tc>
      </w:tr>
      <w:tr>
        <w:trPr>
          <w:trHeight w:val="378"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areaRural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-2.177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0.983</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divisionChattogram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1.546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3.740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1.943</w:t>
            </w:r>
          </w:p>
        </w:tc>
      </w:tr>
      <w:tr>
        <w:trPr>
          <w:trHeight w:val="378"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divisionDhaka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3.427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9.808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2.679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4.383</w:t>
            </w:r>
          </w:p>
        </w:tc>
      </w:tr>
      <w:tr>
        <w:trPr>
          <w:trHeight w:val="378"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divisionKhulna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-5.403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0.679</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divisionMymensingh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1.320</w:t>
            </w:r>
          </w:p>
        </w:tc>
      </w:tr>
      <w:tr>
        <w:trPr>
          <w:trHeight w:val="41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divisionRajshahi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-5.254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0.684</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divisionRangpur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0.634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-4.095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0.788</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divisionSylhet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2.998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6.857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2.190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4.103</w:t>
            </w:r>
          </w:p>
        </w:tc>
      </w:tr>
      <w:tr>
        <w:trPr>
          <w:trHeight w:val="378"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wealthSecond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1.246</w:t>
            </w:r>
          </w:p>
        </w:tc>
      </w:tr>
      <w:tr>
        <w:trPr>
          <w:trHeight w:val="378"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wealthMiddle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1.314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2.839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1.586</w:t>
            </w:r>
          </w:p>
        </w:tc>
      </w:tr>
      <w:tr>
        <w:trPr>
          <w:trHeight w:val="378"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wealthFourth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1.469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3.143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1.867</w:t>
            </w:r>
          </w:p>
        </w:tc>
      </w:tr>
      <w:tr>
        <w:trPr>
          <w:trHeight w:val="378"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wealthRichest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1.824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4.191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1.377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2.417</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meducPrimary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1.442</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meducLower secondary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1.102</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meducSecondary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-2.463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0.609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0.945</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meducHigher secondary+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0.598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-4.259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0.758</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floorNatural/rudimentary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1.307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1.323</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paintPaint, good condition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1.078</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paintPaint, deteriorating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2.082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1.424</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pica_fYes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1.813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1.469</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surma_any_fYes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1.315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1.260</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amulet_fYes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-1.502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1.041</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sindoor_fYes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0.082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1.108</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smoke_hh_fYes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1.652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1.220</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ind_near_fYes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0.067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1.129</w:t>
            </w:r>
          </w:p>
        </w:tc>
      </w:tr>
      <w:tr>
        <w:trPr>
          <w:trHeight w:val="414"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ind_work_fYes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1.950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1.428</w:t>
            </w:r>
          </w:p>
        </w:tc>
      </w:tr>
      <w:tr>
        <w:trPr>
          <w:trHeight w:val="414" w:hRule="auto"/>
        </w:trPr>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battery_near_fYes</w:t>
            </w:r>
          </w:p>
        </w:tc>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1.190</w:t>
            </w:r>
          </w:p>
        </w:tc>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0.086</w:t>
            </w:r>
          </w:p>
        </w:tc>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2.025</w:t>
            </w:r>
          </w:p>
        </w:tc>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0.043</w:t>
            </w:r>
          </w:p>
        </w:tc>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1.006</w:t>
            </w:r>
          </w:p>
        </w:tc>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1.409</w:t>
            </w:r>
          </w:p>
        </w:tc>
      </w:tr>
    </w:tbl>
    <w:p>
      <w:pPr>
        <w:pStyle w:val="Normal"/>
        <w:jc w:val="left"/>
        <w:pBdr>
          <w:bottom w:val="none" w:sz="0" w:space="0" w:color="000000"/>
          <w:top w:val="none" w:sz="0" w:space="0" w:color="000000"/>
          <w:left w:val="none" w:sz="0" w:space="0" w:color="000000"/>
          <w:right w:val="none" w:sz="0" w:space="0" w:color="000000"/>
        </w:pBdr>
        <w:spacing w:after="240" w:before="60" w:line="240"/>
        <w:ind w:left="0" w:right="0" w:firstLine="0" w:firstLineChars="0"/>
      </w:pPr>
      <w:r>
        <w:rPr>
          <w:rFonts w:ascii="Times New Roman" w:hAnsi="Times New Roman" w:eastAsia="Times New Roman" w:cs="Times New Roman"/>
          <w:i w:val="false"/>
          <w:b w:val="false"/>
          <w:u w:val="none"/>
          <w:strike w:val="false"/>
          <w:sz w:val="17"/>
          <w:szCs w:val="17"/>
          <w:color w:val="000000"/>
        </w:rPr>
        <w:t xml:space="preserve">Survey-weighted multivariable logistic regression, specified identically to the primary model reported in Table 2 of the main text.</w:t>
      </w:r>
    </w:p>
    <w:p>
      <w:pPr>
        <w:pStyle w:val="Normal"/>
        <w:jc w:val="left"/>
        <w:pBdr>
          <w:bottom w:val="none" w:sz="0" w:space="0" w:color="000000"/>
          <w:top w:val="none" w:sz="0" w:space="0" w:color="000000"/>
          <w:left w:val="none" w:sz="0" w:space="0" w:color="000000"/>
          <w:right w:val="none" w:sz="0" w:space="0" w:color="000000"/>
        </w:pBdr>
        <w:spacing w:after="100" w:before="200" w:line="240"/>
        <w:ind w:left="0" w:right="0" w:firstLine="0" w:firstLineChars="0"/>
      </w:pPr>
      <w:r>
        <w:rPr>
          <w:rFonts w:ascii="Times New Roman" w:hAnsi="Times New Roman" w:eastAsia="Times New Roman" w:cs="Times New Roman"/>
          <w:i w:val="false"/>
          <w:b w:val="true"/>
          <w:u w:val="none"/>
          <w:strike w:val="false"/>
          <w:sz w:val="23"/>
          <w:szCs w:val="23"/>
          <w:color w:val="000000"/>
        </w:rPr>
        <w:t xml:space="preserve">Table S5. Prevalence of elevated blood lead by district and city corporation</w:t>
      </w:r>
    </w:p>
    <w:tbl xmlns:a="http://schemas.openxmlformats.org/drawingml/2006/main" xmlns:pic="http://schemas.openxmlformats.org/drawingml/2006/picture">
      <w:tblPr>
        <w:tblLayout w:type="fixed"/>
        <w:jc w:val="center"/>
        <w:tblLook w:firstRow="1" w:lastRow="0" w:firstColumn="0" w:lastColumn="0" w:noHBand="0" w:noVBand="1"/>
      </w:tblPr>
      <w:tblGrid>
        <w:gridCol w:w="3356"/>
        <w:gridCol w:w="881"/>
        <w:gridCol w:w="746"/>
        <w:gridCol w:w="746"/>
      </w:tblGrid>
      <w:tr>
        <w:trPr>
          <w:trHeight w:val="412" w:hRule="auto"/>
          <w:tblHeader/>
        </w:trPr>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district</w:t>
            </w:r>
          </w:p>
        </w:tc>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bll_high</w:t>
            </w:r>
          </w:p>
        </w:tc>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ci_l</w:t>
            </w:r>
          </w:p>
        </w:tc>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ci_u</w:t>
            </w:r>
          </w:p>
        </w:tc>
      </w:tr>
      <w:tr>
        <w:trPr>
          <w:trHeight w:val="375" w:hRule="auto"/>
        </w:trPr>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BAGERHAT</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0.2154</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0.1574</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0.2734</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BANDARBAN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0.2969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0.2197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0.3740</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BARGUNA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0.3274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0.2452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0.4095</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BARISHAL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0.3960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0.2907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0.5014</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BHOLA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0.2699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0.1977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0.3422</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BOGURA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0.2785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0.1771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0.3799</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BRAHMANBARIA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0.5062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0.4087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0.6037</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CHANDPUR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0.5385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0.4455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0.6316</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CHATTOGRAM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0.4543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0.3579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0.5507</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CHATTOGRAM CITY CORPORATION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0.5229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0.3995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0.6463</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CHUADANGA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0.0711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0.0365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0.1056</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CUMILLA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0.4474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0.3471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0.5477</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DHAKA SOUTH CITY CORPORATION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0.9007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0.8098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0.9916</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COX'S BAZAR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0.3004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0.2356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0.3653</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DHAKA NORTH CITY CORPORATION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0.9206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0.8709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0.9703</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DHAKA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0.8959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0.8210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0.9707</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DINAJPUR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0.1661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0.1008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0.2314</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FARIDPUR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0.3725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0.2754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0.4696</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FENI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0.2844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0.2085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0.3604</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GAIBANDHA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0.2075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0.1452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0.2698</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GAZIPUR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0.6566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0.5742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0.7390</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GOPALGANJ</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0.2630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0.1800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0.3460</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HABIGANJ</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0.4796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0.4072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0.5521</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JOYPURHAT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0.2784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0.2035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0.3534</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JAMALPUR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0.1788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0.1072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0.2504</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JASHORE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0.1207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0.0612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0.1801</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JHALOKATI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0.1858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0.1297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0.2419</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JHENAIDAH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0.2010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0.1252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0.2767</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KHAGRACHHARI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0.4053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0.3095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0.5012</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KHULNA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0.3761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0.2811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0.4711</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KISHOREGANJ</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0.5294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0.4167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0.6422</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KURIGRAM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0.2435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0.1779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0.3091</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KUSHTIA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0.0593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0.0244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0.0941</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LAKSHMIPUR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0.3380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0.2694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0.4065</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LALMONIRHAT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0.1801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0.1220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0.2382</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MADARIPUR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0.4215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0.3012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0.5417</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MAGURA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0.1073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0.0630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0.1516</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MANIKGANJ</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0.4669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0.3254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0.6085</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MEHERPUR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0.0674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0.0264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0.1083</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MOULVIBAZAR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0.4739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0.3665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0.5814</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MUNSHIGANJ</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0.6568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0.5176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0.7960</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MYMENSINGH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0.3900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0.2917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0.4883</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NAOGAON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0.1424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0.0821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0.2027</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NARAIL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0.2008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0.1366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0.2650</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NARAYANGANJ</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0.9373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0.8901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0.9845</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NARSINGDI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0.6379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0.5409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0.7350</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NATORE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0.0499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0.0147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0.0851</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CHAPAINABABGANJ</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0.0791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0.0432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0.1150</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NETRAKONA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0.3147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0.2301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0.3992</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NILPHAMARI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0.2510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0.1713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0.3307</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NOAKHALI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0.3629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0.2900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0.4358</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PABNA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0.1584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0.1047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0.2122</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PANCHAGARH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0.1126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0.0609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0.1642</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PATUAKHALI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0.2195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0.1648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0.2742</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PIROJPUR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0.2339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0.1590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0.3088</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RAJSHAHI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0.0774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0.0351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0.1197</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RAJBARI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0.2265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0.1462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0.3068</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RANGAMATI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0.3659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0.2603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0.4714</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RANGPUR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0.2191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0.1549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0.2833</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SHARIATPUR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0.4640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0.3561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0.5719</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SATKHIRA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0.2440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0.1606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0.3274</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SIRAJGANJ</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0.1839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0.0942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0.2735</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SHERPUR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0.1977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0.1265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0.2689</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SUNAMGANJ</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0.5044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0.4343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0.5745</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SYLHET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0.4341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0.3269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0.5412</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TANGAIL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0.4653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0.3431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0.5876</w:t>
            </w:r>
          </w:p>
        </w:tc>
      </w:tr>
      <w:tr>
        <w:trPr>
          <w:trHeight w:val="375" w:hRule="auto"/>
        </w:trPr>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THAKURGAON</w:t>
            </w:r>
          </w:p>
        </w:tc>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0.1499</w:t>
            </w:r>
          </w:p>
        </w:tc>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0.0772</w:t>
            </w:r>
          </w:p>
        </w:tc>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0.2227</w:t>
            </w:r>
          </w:p>
        </w:tc>
      </w:tr>
    </w:tbl>
    <w:p>
      <w:pPr>
        <w:pStyle w:val="Normal"/>
        <w:jc w:val="left"/>
        <w:pBdr>
          <w:bottom w:val="none" w:sz="0" w:space="0" w:color="000000"/>
          <w:top w:val="none" w:sz="0" w:space="0" w:color="000000"/>
          <w:left w:val="none" w:sz="0" w:space="0" w:color="000000"/>
          <w:right w:val="none" w:sz="0" w:space="0" w:color="000000"/>
        </w:pBdr>
        <w:spacing w:after="240" w:before="60" w:line="240"/>
        <w:ind w:left="0" w:right="0" w:firstLine="0" w:firstLineChars="0"/>
      </w:pPr>
      <w:r>
        <w:rPr>
          <w:rFonts w:ascii="Times New Roman" w:hAnsi="Times New Roman" w:eastAsia="Times New Roman" w:cs="Times New Roman"/>
          <w:i w:val="false"/>
          <w:b w:val="false"/>
          <w:u w:val="none"/>
          <w:strike w:val="false"/>
          <w:sz w:val="17"/>
          <w:szCs w:val="17"/>
          <w:color w:val="000000"/>
        </w:rPr>
        <w:t xml:space="preserve">Survey-weighted percentage of children aged 12 to 59 months with blood lead at or above 5 µg/dL, with 95% confidence intervals.</w:t>
      </w:r>
    </w:p>
    <w:p>
      <w:pPr>
        <w:pStyle w:val="Normal"/>
        <w:jc w:val="left"/>
        <w:pBdr>
          <w:bottom w:val="none" w:sz="0" w:space="0" w:color="000000"/>
          <w:top w:val="none" w:sz="0" w:space="0" w:color="000000"/>
          <w:left w:val="none" w:sz="0" w:space="0" w:color="000000"/>
          <w:right w:val="none" w:sz="0" w:space="0" w:color="000000"/>
        </w:pBdr>
        <w:spacing w:after="100" w:before="200" w:line="240"/>
        <w:ind w:left="0" w:right="0" w:firstLine="0" w:firstLineChars="0"/>
      </w:pPr>
      <w:r>
        <w:rPr>
          <w:rFonts w:ascii="Times New Roman" w:hAnsi="Times New Roman" w:eastAsia="Times New Roman" w:cs="Times New Roman"/>
          <w:i w:val="false"/>
          <w:b w:val="true"/>
          <w:u w:val="none"/>
          <w:strike w:val="false"/>
          <w:sz w:val="23"/>
          <w:szCs w:val="23"/>
          <w:color w:val="000000"/>
        </w:rPr>
        <w:t xml:space="preserve">Supplementary Note 1. The child anaemia discrepancy</w:t>
      </w:r>
    </w:p>
    <w:p>
      <w:pPr>
        <w:pStyle w:val="Normal"/>
        <w:jc w:val="left"/>
        <w:pBdr>
          <w:bottom w:val="none" w:sz="0" w:space="0" w:color="000000"/>
          <w:top w:val="none" w:sz="0" w:space="0" w:color="000000"/>
          <w:left w:val="none" w:sz="0" w:space="0" w:color="000000"/>
          <w:right w:val="none" w:sz="0" w:space="0" w:color="000000"/>
        </w:pBdr>
        <w:spacing w:after="160" w:before="0" w:line="276"/>
        <w:ind w:left="0" w:right="0" w:firstLine="0" w:firstLineChars="0"/>
      </w:pPr>
      <w:r>
        <w:rPr>
          <w:rFonts w:ascii="Times New Roman" w:hAnsi="Times New Roman" w:eastAsia="Times New Roman" w:cs="Times New Roman"/>
          <w:i w:val="false"/>
          <w:b w:val="false"/>
          <w:u w:val="none"/>
          <w:strike w:val="false"/>
          <w:sz w:val="22"/>
          <w:szCs w:val="22"/>
          <w:color w:val="000000"/>
        </w:rPr>
        <w:t xml:space="preserve">Our computed prevalence of child anaemia (47.4%) exceeds the value published in the MICS 2025 preliminary report (43.9%), while our computed mean haemoglobin (10.99 g/dL) matches the published value exactly. To identify the source of this difference we evaluated thirteen alternative specifications: substituting the standard under-five weight for the blood-specimen weight; computing the estimate unweighted; ignoring the laboratory validity code; applying haemoglobin thresholds of 10.0, 10.5, 11.0 and 11.5 g/dL; restricting to children with a valid concurrent blood lead result; restricting to ages 12 months and above and 24 months and above; applying the standard altitude adjustment; and trimming implausible haemoglobin values outside 4 to 18 g/dL. The resulting estimates ranged from 16.5% to 67.3%, and none reproduced 43.9%. The closest was 42.6%, obtained by restricting to children aged 24 months and above, which does not correspond to the published indicator definition of children aged 12 to 59 months.</w:t>
      </w:r>
    </w:p>
    <w:p>
      <w:pPr>
        <w:pStyle w:val="Normal"/>
        <w:jc w:val="left"/>
        <w:pBdr>
          <w:bottom w:val="none" w:sz="0" w:space="0" w:color="000000"/>
          <w:top w:val="none" w:sz="0" w:space="0" w:color="000000"/>
          <w:left w:val="none" w:sz="0" w:space="0" w:color="000000"/>
          <w:right w:val="none" w:sz="0" w:space="0" w:color="000000"/>
        </w:pBdr>
        <w:spacing w:after="160" w:before="0" w:line="276"/>
        <w:ind w:left="0" w:right="0" w:firstLine="0" w:firstLineChars="0"/>
      </w:pPr>
      <w:r>
        <w:rPr>
          <w:rFonts w:ascii="Times New Roman" w:hAnsi="Times New Roman" w:eastAsia="Times New Roman" w:cs="Times New Roman"/>
          <w:i w:val="false"/>
          <w:b w:val="false"/>
          <w:u w:val="none"/>
          <w:strike w:val="false"/>
          <w:sz w:val="22"/>
          <w:szCs w:val="22"/>
          <w:color w:val="000000"/>
        </w:rPr>
        <w:t xml:space="preserve">Because the published mean haemoglobin matches ours exactly, the two published figures are difficult to reconcile with one another given the observed distribution of haemoglobin. We therefore consider a tabulation discrepancy in the preliminary report the most likely explanation, and report the value derived transparently from the released microdata. Anaemia enters the present analysis as a secondary outcome and as a covariate rather than as a headline estimate, and the direction of all anaemia findings is unchanged across every specification examined.</w:t>
      </w:r>
    </w:p>
    <w:p>
      <w:pPr>
        <w:pStyle w:val="Normal"/>
        <w:jc w:val="left"/>
        <w:pBdr>
          <w:bottom w:val="none" w:sz="0" w:space="0" w:color="000000"/>
          <w:top w:val="none" w:sz="0" w:space="0" w:color="000000"/>
          <w:left w:val="none" w:sz="0" w:space="0" w:color="000000"/>
          <w:right w:val="none" w:sz="0" w:space="0" w:color="000000"/>
        </w:pBdr>
        <w:spacing w:after="100" w:before="200" w:line="240"/>
        <w:ind w:left="0" w:right="0" w:firstLine="0" w:firstLineChars="0"/>
      </w:pPr>
      <w:r>
        <w:rPr>
          <w:rFonts w:ascii="Times New Roman" w:hAnsi="Times New Roman" w:eastAsia="Times New Roman" w:cs="Times New Roman"/>
          <w:i w:val="false"/>
          <w:b w:val="true"/>
          <w:u w:val="none"/>
          <w:strike w:val="false"/>
          <w:sz w:val="23"/>
          <w:szCs w:val="23"/>
          <w:color w:val="000000"/>
        </w:rPr>
        <w:t xml:space="preserve">Table S6. Concentration of the national burden by district</w:t>
      </w:r>
    </w:p>
    <w:tbl xmlns:a="http://schemas.openxmlformats.org/drawingml/2006/main" xmlns:pic="http://schemas.openxmlformats.org/drawingml/2006/picture">
      <w:tblPr>
        <w:tblLayout w:type="fixed"/>
        <w:jc w:val="center"/>
        <w:tblLook w:firstRow="1" w:lastRow="0" w:firstColumn="0" w:lastColumn="0" w:noHBand="0" w:noVBand="1"/>
      </w:tblPr>
      <w:tblGrid>
        <w:gridCol w:w="3356"/>
        <w:gridCol w:w="746"/>
        <w:gridCol w:w="790"/>
        <w:gridCol w:w="656"/>
        <w:gridCol w:w="521"/>
        <w:gridCol w:w="1150"/>
        <w:gridCol w:w="1141"/>
        <w:gridCol w:w="1060"/>
        <w:gridCol w:w="1051"/>
      </w:tblGrid>
      <w:tr>
        <w:trPr>
          <w:trHeight w:val="412" w:hRule="auto"/>
          <w:tblHeader/>
        </w:trPr>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district</w:t>
            </w:r>
          </w:p>
        </w:tc>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w_all</w:t>
            </w:r>
          </w:p>
        </w:tc>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w_case</w:t>
            </w:r>
          </w:p>
        </w:tc>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prev</w:t>
            </w:r>
          </w:p>
        </w:tc>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n</w:t>
            </w:r>
          </w:p>
        </w:tc>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share_cases</w:t>
            </w:r>
          </w:p>
        </w:tc>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share_child</w:t>
            </w:r>
          </w:p>
        </w:tc>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cum_cases</w:t>
            </w:r>
          </w:p>
        </w:tc>
        <w:tc>
          <w:tcPr>
            <w:tcBorders>
              <w:bottom w:val="single" w:sz="6" w:space="0" w:color="000000"/>
              <w:top w:val="single" w:sz="9"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true"/>
                <w:u w:val="none"/>
                <w:strike w:val="false"/>
                <w:sz w:val="18"/>
                <w:szCs w:val="18"/>
                <w:color w:val="000000"/>
              </w:rPr>
            </w:pPr>
            <w:r>
              <w:rPr>
                <w:rFonts w:ascii="Times New Roman" w:hAnsi="Arial" w:eastAsia="Arial" w:cs="Arial"/>
                <w:i w:val="false"/>
                <w:b w:val="true"/>
                <w:u w:val="none"/>
                <w:strike w:val="false"/>
                <w:sz w:val="18"/>
                <w:szCs w:val="18"/>
                <w:color w:val="000000"/>
              </w:rPr>
              <w:t xml:space="preserve">cum_child</w:t>
            </w:r>
          </w:p>
        </w:tc>
      </w:tr>
      <w:tr>
        <w:trPr>
          <w:trHeight w:val="375" w:hRule="auto"/>
        </w:trPr>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NARAYANGANJ</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228.45</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214.12</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93.73</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119</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5.24</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2.15</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5.24</w:t>
            </w:r>
          </w:p>
        </w:tc>
        <w:tc>
          <w:tcPr>
            <w:tcBorders>
              <w:bottom w:val="none" w:sz="0" w:space="0" w:color="000000"/>
              <w:top w:val="single" w:sz="6"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2.15</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DHAKA NORTH CITY CORPORATION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285.07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262.44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92.06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6.42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4.84</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DHAKA SOUTH CITY CORPORATION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181.34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163.34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90.07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81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15.65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6.54</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DHAKA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225.04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201.61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89.59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20.58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8.66</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MUNSHIGANJ</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92.92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61.03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65.68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22.07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9.54</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GAZIPUR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345.05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226.56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65.66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27.61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12.79</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NARSINGDI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172.45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110.01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63.79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30.30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14.41</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CHANDPUR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214.05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115.27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53.85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2.82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33.12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16.43</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KISHOREGANJ</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238.76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126.41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52.94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36.21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18.68</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CHATTOGRAM CITY CORPORATION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204.51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106.94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52.29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38.83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20.61</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BRAHMANBARIA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248.56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125.82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50.62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41.91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22.95</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SUNAMGANJ</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174.99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88.26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50.44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44.06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24.60</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HABIGANJ</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159.87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76.67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47.96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45.94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26.10</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MOULVIBAZAR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119.75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56.75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47.39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47.33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27.23</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MANIKGANJ</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90.98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42.48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46.69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48.37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28.09</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TANGAIL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220.50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102.61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46.53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50.88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30.16</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SHARIATPUR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90.40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41.95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46.40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51.90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31.01</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CHATTOGRAM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370.39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168.26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45.43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56.02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34.50</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CUMILLA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456.02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204.03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44.74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61.01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38.80</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SYLHET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220.85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95.86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43.41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63.35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40.88</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MADARIPUR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78.48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33.08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42.15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64.16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41.62</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KHAGRACHHARI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39.05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15.83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40.53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64.55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41.99</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BARISHAL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143.22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56.72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39.60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65.93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43.33</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MYMENSINGH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428.66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167.17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39.00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70.02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47.37</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KHULNA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154.54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58.12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37.61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71.44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48.83</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FARIDPUR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141.12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52.57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37.25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72.73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50.16</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RANGAMATI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28.08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36.59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72.98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50.42</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NOAKHALI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308.71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112.03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36.29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75.72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53.33</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LAKSHMIPUR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177.97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60.15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33.80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152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77.19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55.01</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BARGUNA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61.95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20.28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32.74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77.69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55.59</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NETRAKONA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141.42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44.50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31.47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78.78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56.92</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COX'S BAZAR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248.64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74.70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30.04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80.60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59.26</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BANDARBAN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29.60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8.79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29.69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80.82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59.54</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FENI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129.93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36.96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28.44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81.72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60.77</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BOGURA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233.35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64.99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27.85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83.31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62.96</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JOYPURHAT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55.55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15.47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27.84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83.69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63.49</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BHOLA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137.29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37.06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26.99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84.60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64.78</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GOPALGANJ</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94.75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24.92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26.30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85.20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65.67</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NILPHAMARI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149.69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37.57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25.10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86.12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67.08</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SATKHIRA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132.01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32.21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24.40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86.91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68.33</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KURIGRAM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158.28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38.54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24.35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198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87.85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69.82</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PIROJPUR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77.94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18.23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23.39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88.30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70.55</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RAJBARI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79.02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17.90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22.65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88.74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71.30</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PATUAKHALI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88.97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19.53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21.95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89.21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72.13</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RANGPUR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206.12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45.16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21.91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1.94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90.32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74.07</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BAGERHAT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92.13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19.84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21.54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90.80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74.94</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GAIBANDHA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151.78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31.50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20.75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91.58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76.37</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JHENAIDAH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132.84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26.70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20.10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182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92.23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77.62</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NARAIL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57.23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20.08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92.51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78.16</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SHERPUR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97.24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19.22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19.77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92.98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79.08</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JHALOKATI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37.92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7.05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18.58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93.15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79.44</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SIRAJGANJ</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204.29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37.57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18.39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94.07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81.36</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LALMONIRHAT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112.65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20.29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18.01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94.57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82.42</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JAMALPUR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203.49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36.39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17.88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181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95.46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84.34</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DINAJPUR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229.21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38.07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16.61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96.39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86.50</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PABNA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168.91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26.76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15.84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97.04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88.09</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THAKURGAON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100.86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15.12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14.99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97.41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89.04</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NAOGAON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132.61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18.89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14.24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97.87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90.29</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JASHORE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191.46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23.10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98.44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92.09</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PANCHAGARH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85.99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11.26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98.67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92.90</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MAGURA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70.00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7.51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0.66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98.86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93.56</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CHAPAINABABGANJ</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129.80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7.91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99.11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94.78</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RAJSHAHI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176.03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13.63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7.74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1.66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99.44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96.44</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CHUADANGA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90.79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6.45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7.11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99.60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97.30</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MEHERPUR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38.76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2.61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6.74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99.66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97.66</w:t>
            </w:r>
          </w:p>
        </w:tc>
      </w:tr>
      <w:tr>
        <w:trPr>
          <w:trHeight w:val="375"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KUSHTIA</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140.69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8.34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99.87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98.99</w:t>
            </w:r>
          </w:p>
        </w:tc>
      </w:tr>
      <w:tr>
        <w:trPr>
          <w:trHeight w:val="375" w:hRule="auto"/>
        </w:trPr>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NATORE</w:t>
            </w:r>
          </w:p>
        </w:tc>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107.72</w:t>
            </w:r>
          </w:p>
        </w:tc>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5.37</w:t>
            </w:r>
          </w:p>
        </w:tc>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4.99</w:t>
            </w:r>
          </w:p>
        </w:tc>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142</w:t>
            </w:r>
          </w:p>
        </w:tc>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0.13</w:t>
            </w:r>
          </w:p>
        </w:tc>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1.01</w:t>
            </w:r>
          </w:p>
        </w:tc>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100.00</w:t>
            </w:r>
          </w:p>
        </w:tc>
        <w:tc>
          <w:tcPr>
            <w:tcBorders>
              <w:bottom w:val="single" w:sz="9"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right"/>
              <w:pBdr>
                <w:bottom w:val="none" w:sz="0" w:space="0" w:color="000000"/>
                <w:top w:val="none" w:sz="0" w:space="0" w:color="000000"/>
                <w:left w:val="none" w:sz="0" w:space="0" w:color="000000"/>
                <w:right w:val="none" w:sz="0" w:space="0" w:color="000000"/>
              </w:pBdr>
              <w:spacing w:after="40" w:before="40" w:line="240"/>
              <w:ind w:left="40" w:right="40" w:firstLine="0" w:firstLineChars="0"/>
              <w:rPr>
                <w:rFonts w:ascii="Times New Roman" w:hAnsi="Arial" w:eastAsia="Arial" w:cs="Arial"/>
                <w:i w:val="false"/>
                <w:b w:val="false"/>
                <w:u w:val="none"/>
                <w:strike w:val="false"/>
                <w:sz w:val="18"/>
                <w:szCs w:val="18"/>
                <w:color w:val="000000"/>
              </w:rPr>
            </w:pPr>
            <w:r>
              <w:rPr>
                <w:rFonts w:ascii="Times New Roman" w:hAnsi="Arial" w:eastAsia="Arial" w:cs="Arial"/>
                <w:i w:val="false"/>
                <w:b w:val="false"/>
                <w:u w:val="none"/>
                <w:strike w:val="false"/>
                <w:sz w:val="18"/>
                <w:szCs w:val="18"/>
                <w:color w:val="000000"/>
              </w:rPr>
              <w:t xml:space="preserve">100.00</w:t>
            </w:r>
          </w:p>
        </w:tc>
      </w:tr>
    </w:tbl>
    <w:p>
      <w:pPr>
        <w:pStyle w:val="Normal"/>
        <w:jc w:val="left"/>
        <w:pBdr>
          <w:bottom w:val="none" w:sz="0" w:space="0" w:color="000000"/>
          <w:top w:val="none" w:sz="0" w:space="0" w:color="000000"/>
          <w:left w:val="none" w:sz="0" w:space="0" w:color="000000"/>
          <w:right w:val="none" w:sz="0" w:space="0" w:color="000000"/>
        </w:pBdr>
        <w:spacing w:after="240" w:before="60" w:line="240"/>
        <w:ind w:left="0" w:right="0" w:firstLine="0" w:firstLineChars="0"/>
      </w:pPr>
      <w:r>
        <w:rPr>
          <w:rFonts w:ascii="Times New Roman" w:hAnsi="Times New Roman" w:eastAsia="Times New Roman" w:cs="Times New Roman"/>
          <w:i w:val="false"/>
          <w:b w:val="false"/>
          <w:u w:val="none"/>
          <w:strike w:val="false"/>
          <w:sz w:val="17"/>
          <w:szCs w:val="17"/>
          <w:color w:val="000000"/>
        </w:rPr>
        <w:t xml:space="preserve">Districts ordered by prevalence of blood lead at or above 5 µg/dL. share_cases is the district's share of all children with elevated blood lead; share_child is its share of the child population; cum_ columns are the running totals plotted in Figure 2C.</w:t>
      </w:r>
    </w:p>
    <w:p>
      <w:pPr>
        <w:pStyle w:val="Normal"/>
        <w:jc w:val="left"/>
        <w:pBdr>
          <w:bottom w:val="none" w:sz="0" w:space="0" w:color="000000"/>
          <w:top w:val="none" w:sz="0" w:space="0" w:color="000000"/>
          <w:left w:val="none" w:sz="0" w:space="0" w:color="000000"/>
          <w:right w:val="none" w:sz="0" w:space="0" w:color="000000"/>
        </w:pBdr>
        <w:spacing w:after="100" w:before="200" w:line="240"/>
        <w:ind w:left="0" w:right="0" w:firstLine="0" w:firstLineChars="0"/>
      </w:pPr>
      <w:r>
        <w:rPr>
          <w:rFonts w:ascii="Times New Roman" w:hAnsi="Times New Roman" w:eastAsia="Times New Roman" w:cs="Times New Roman"/>
          <w:i w:val="false"/>
          <w:b w:val="true"/>
          <w:u w:val="none"/>
          <w:strike w:val="false"/>
          <w:sz w:val="23"/>
          <w:szCs w:val="23"/>
          <w:color w:val="000000"/>
        </w:rPr>
        <w:t xml:space="preserve">Supplementary Note 2. Cadmium and mercury could not be reconciled</w:t>
      </w:r>
    </w:p>
    <w:p>
      <w:pPr>
        <w:pStyle w:val="Normal"/>
        <w:jc w:val="left"/>
        <w:pBdr>
          <w:bottom w:val="none" w:sz="0" w:space="0" w:color="000000"/>
          <w:top w:val="none" w:sz="0" w:space="0" w:color="000000"/>
          <w:left w:val="none" w:sz="0" w:space="0" w:color="000000"/>
          <w:right w:val="none" w:sz="0" w:space="0" w:color="000000"/>
        </w:pBdr>
        <w:spacing w:after="160" w:before="0" w:line="276"/>
        <w:ind w:left="0" w:right="0" w:firstLine="0" w:firstLineChars="0"/>
      </w:pPr>
      <w:r>
        <w:rPr>
          <w:rFonts w:ascii="Times New Roman" w:hAnsi="Times New Roman" w:eastAsia="Times New Roman" w:cs="Times New Roman"/>
          <w:i w:val="false"/>
          <w:b w:val="false"/>
          <w:u w:val="none"/>
          <w:strike w:val="false"/>
          <w:sz w:val="22"/>
          <w:szCs w:val="22"/>
          <w:color w:val="000000"/>
        </w:rPr>
        <w:t xml:space="preserve">Blood lead is recorded in the released microdata in µg/dL, whereas arsenic, cadmium and mercury are recorded in µg/L, while the MICS7 thresholds for all four metals are quoted in µg/dL. Applying the correctly converted threshold for arsenic (1.2 µg/dL, that is 12 µg/L) reproduces the published prevalence of elevated blood arsenic almost exactly (computed 1.28%, published 1.3%). The same conversion does not reproduce the published figures for cadmium or mercury. For cadmium, the published prevalence of 3.8% implies a threshold of approximately 1.6 µg/L, which corresponds neither to 0.5 µg/dL (5 µg/L, giving 0.08%) nor to 0.5 µg/L (giving 32.7%). For mercury, the published prevalence is 0.0% whereas the converted threshold of 8 µg/L gives 0.70%. We therefore report arsenic only, and do not report cadmium or mercury prevalences.</w:t>
      </w:r>
    </w:p>
    <w:p>
      <w:pPr>
        <w:pStyle w:val="Normal"/>
        <w:jc w:val="left"/>
        <w:pBdr>
          <w:bottom w:val="none" w:sz="0" w:space="0" w:color="000000"/>
          <w:top w:val="none" w:sz="0" w:space="0" w:color="000000"/>
          <w:left w:val="none" w:sz="0" w:space="0" w:color="000000"/>
          <w:right w:val="none" w:sz="0" w:space="0" w:color="000000"/>
        </w:pBdr>
        <w:spacing w:after="100" w:before="200" w:line="240"/>
        <w:ind w:left="0" w:right="0" w:firstLine="0" w:firstLineChars="0"/>
      </w:pPr>
      <w:r>
        <w:rPr>
          <w:rFonts w:ascii="Times New Roman" w:hAnsi="Times New Roman" w:eastAsia="Times New Roman" w:cs="Times New Roman"/>
          <w:i w:val="false"/>
          <w:b w:val="true"/>
          <w:u w:val="none"/>
          <w:strike w:val="false"/>
          <w:sz w:val="23"/>
          <w:szCs w:val="23"/>
          <w:color w:val="000000"/>
        </w:rPr>
        <w:t xml:space="preserve">Supplementary Note 3. Reproducibility</w:t>
      </w:r>
    </w:p>
    <w:p>
      <w:pPr>
        <w:pStyle w:val="Normal"/>
        <w:jc w:val="left"/>
        <w:pBdr>
          <w:bottom w:val="none" w:sz="0" w:space="0" w:color="000000"/>
          <w:top w:val="none" w:sz="0" w:space="0" w:color="000000"/>
          <w:left w:val="none" w:sz="0" w:space="0" w:color="000000"/>
          <w:right w:val="none" w:sz="0" w:space="0" w:color="000000"/>
        </w:pBdr>
        <w:spacing w:after="160" w:before="0" w:line="276"/>
        <w:ind w:left="0" w:right="0" w:firstLine="0" w:firstLineChars="0"/>
      </w:pPr>
      <w:r>
        <w:rPr>
          <w:rFonts w:ascii="Times New Roman" w:hAnsi="Times New Roman" w:eastAsia="Times New Roman" w:cs="Times New Roman"/>
          <w:i w:val="false"/>
          <w:b w:val="false"/>
          <w:u w:val="none"/>
          <w:strike w:val="false"/>
          <w:sz w:val="22"/>
          <w:szCs w:val="22"/>
          <w:color w:val="000000"/>
        </w:rPr>
        <w:t xml:space="preserve">The complete analysis pipeline is provided as a set of R scripts with a single master file, run_all.R, which executes every step from the raw MICS SPSS files through to the final manuscript. Running that file regenerates all estimates, tables and figures reported here. The scripts require R version 4.4 or later and install any missing packages automatically. The MICS 2025 datasets are not redistributable and must be obtained from https://mics.unicef.org/surveys following registration and approval of a research request.</w:t>
      </w:r>
    </w:p>
    <w:sectPr>
      <w:pgMar w:header="708" w:bottom="1440" w:top="1440" w:right="1440" w:left="1440" w:footer="708" w:gutter="0"/>
      <w:pgSz w:h="16838" w:w="11906" w:orient="portrait"/>
      <w:type w:val="continuous"/>
      <w:cols/>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925FD"/>
    <w:multiLevelType w:val="multilevel"/>
    <w:tmpl w:val="88F45F0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0"/>
  </w:num>
</w:numbering>
</file>

<file path=word/settings.xml><?xml version="1.0" encoding="utf-8"?>
<w:settings xmlns:w="http://schemas.openxmlformats.org/wordprocessingml/2006/main">
  <w:zoom w:percent="180"/>
  <w:defaultTabStop w:val="708"/>
  <w:hyphenationZone w:val="425"/>
  <w:compat>
    <w:compatSetting w:name="compatibilityMode" w:uri="http://schemas.microsoft.com/office/word" w:val="15"/>
  </w:compat>
  <w:decimalSymbol w:val=","/>
  <w:listSeparator w:val=";"/>
  <w:evenAndOddHeaders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62E65"/>
    <w:pPr>
      <w:keepNext/>
      <w:keepLines/>
      <w:numPr>
        <w:numId w:val="3"/>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Titre2">
    <w:name w:val="heading 2"/>
    <w:basedOn w:val="Normal"/>
    <w:next w:val="Normal"/>
    <w:link w:val="Titre2Car"/>
    <w:uiPriority w:val="9"/>
    <w:semiHidden/>
    <w:unhideWhenUsed/>
    <w:qFormat/>
    <w:rsid w:val="00362E65"/>
    <w:pPr>
      <w:keepNext/>
      <w:keepLines/>
      <w:numPr>
        <w:ilvl w:val="1"/>
        <w:numId w:val="3"/>
      </w:numPr>
      <w:spacing w:before="200"/>
      <w:outlineLvl w:val="1"/>
    </w:pPr>
    <w:rPr>
      <w:rFonts w:asciiTheme="majorHAnsi" w:eastAsiaTheme="majorEastAsia" w:hAnsiTheme="majorHAnsi" w:cstheme="majorBidi"/>
      <w:b/>
      <w:bCs/>
      <w:sz w:val="26"/>
      <w:szCs w:val="26"/>
    </w:rPr>
  </w:style>
  <w:style w:type="paragraph" w:styleId="Titre3">
    <w:name w:val="heading 3"/>
    <w:basedOn w:val="Normal"/>
    <w:next w:val="Normal"/>
    <w:link w:val="Titre3Car"/>
    <w:uiPriority w:val="9"/>
    <w:semiHidden/>
    <w:unhideWhenUsed/>
    <w:qFormat/>
    <w:rsid w:val="00362E65"/>
    <w:pPr>
      <w:keepNext/>
      <w:keepLines/>
      <w:numPr>
        <w:ilvl w:val="2"/>
        <w:numId w:val="3"/>
      </w:numPr>
      <w:spacing w:before="200"/>
      <w:outlineLvl w:val="2"/>
    </w:pPr>
    <w:rPr>
      <w:rFonts w:asciiTheme="majorHAnsi" w:eastAsiaTheme="majorEastAsia" w:hAnsiTheme="majorHAnsi" w:cstheme="majorBidi"/>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trong">
    <w:name w:val="strong"/>
    <w:basedOn w:val="Policepardfaut"/>
    <w:uiPriority w:val="1"/>
    <w:qFormat/>
    <w:rsid w:val="007B3E96"/>
    <w:rPr>
      <w:b/>
    </w:rPr>
  </w:style>
  <w:style w:type="paragraph" w:customStyle="1" w:styleId="centered">
    <w:name w:val="centered"/>
    <w:basedOn w:val="Normal"/>
    <w:qFormat/>
    <w:rsid w:val="001D75AB"/>
    <w:pPr>
      <w:jc w:val="center"/>
    </w:pPr>
  </w:style>
  <w:style w:type="table" w:customStyle="1" w:styleId="tabletemplate">
    <w:name w:val="table_template"/>
    <w:basedOn w:val="TableauNormal"/>
    <w:uiPriority w:val="59"/>
    <w:rsid w:val="00F12158"/>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steclaire-Accent2">
    <w:name w:val="Light List Accent 2"/>
    <w:basedOn w:val="TableauNormal"/>
    <w:uiPriority w:val="61"/>
    <w:rsid w:val="00FC557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Titre1Car">
    <w:name w:val="Titre 1 Car"/>
    <w:basedOn w:val="Policepardfaut"/>
    <w:link w:val="Titre1"/>
    <w:uiPriority w:val="9"/>
    <w:rsid w:val="00362E65"/>
    <w:rPr>
      <w:rFonts w:asciiTheme="majorHAnsi" w:eastAsiaTheme="majorEastAsia" w:hAnsiTheme="majorHAnsi" w:cstheme="majorBidi"/>
      <w:b/>
      <w:bCs/>
      <w:sz w:val="32"/>
      <w:szCs w:val="32"/>
    </w:rPr>
  </w:style>
  <w:style w:type="character" w:customStyle="1" w:styleId="Titre2Car">
    <w:name w:val="Titre 2 Car"/>
    <w:basedOn w:val="Policepardfaut"/>
    <w:link w:val="Titre2"/>
    <w:uiPriority w:val="9"/>
    <w:semiHidden/>
    <w:rsid w:val="00362E65"/>
    <w:rPr>
      <w:rFonts w:asciiTheme="majorHAnsi" w:eastAsiaTheme="majorEastAsia" w:hAnsiTheme="majorHAnsi" w:cstheme="majorBidi"/>
      <w:b/>
      <w:bCs/>
      <w:sz w:val="26"/>
      <w:szCs w:val="26"/>
    </w:rPr>
  </w:style>
  <w:style w:type="character" w:customStyle="1" w:styleId="Titre3Car">
    <w:name w:val="Titre 3 Car"/>
    <w:basedOn w:val="Policepardfaut"/>
    <w:link w:val="Titre3"/>
    <w:uiPriority w:val="9"/>
    <w:semiHidden/>
    <w:rsid w:val="00362E65"/>
    <w:rPr>
      <w:rFonts w:asciiTheme="majorHAnsi" w:eastAsiaTheme="majorEastAsia" w:hAnsiTheme="majorHAnsi" w:cstheme="majorBidi"/>
      <w:b/>
      <w:bCs/>
    </w:rPr>
  </w:style>
  <w:style w:type="paragraph" w:customStyle="1" w:styleId="ImageCaption">
    <w:name w:val="Image Caption"/>
    <w:basedOn w:val="Normal"/>
    <w:qFormat/>
    <w:rsid w:val="00AE18EF"/>
    <w:pPr>
      <w:jc w:val="center"/>
    </w:pPr>
    <w:rPr>
      <w:b/>
      <w:i/>
    </w:rPr>
  </w:style>
  <w:style w:type="paragraph" w:customStyle="1" w:styleId="TableCaption">
    <w:name w:val="Table Caption"/>
    <w:basedOn w:val="ImageCaption"/>
    <w:qFormat/>
    <w:rsid w:val="00AE18EF"/>
  </w:style>
  <w:style w:type="table" w:styleId="Tableauprofessionnel">
    <w:name w:val="Table Professional"/>
    <w:basedOn w:val="TableauNormal"/>
    <w:uiPriority w:val="99"/>
    <w:semiHidden/>
    <w:unhideWhenUsed/>
    <w:rsid w:val="00C31E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M1">
    <w:name w:val="toc 1"/>
    <w:basedOn w:val="Normal"/>
    <w:next w:val="Normal"/>
    <w:autoRedefine/>
    <w:uiPriority w:val="39"/>
    <w:unhideWhenUsed/>
    <w:rsid w:val="00FB63E7"/>
    <w:pPr>
      <w:spacing w:after="100"/>
    </w:pPr>
  </w:style>
  <w:style w:type="paragraph" w:styleId="TM2">
    <w:name w:val="toc 2"/>
    <w:basedOn w:val="Normal"/>
    <w:next w:val="Normal"/>
    <w:autoRedefine/>
    <w:uiPriority w:val="39"/>
    <w:unhideWhenUsed/>
    <w:rsid w:val="00FB63E7"/>
    <w:pPr>
      <w:spacing w:after="100"/>
      <w:ind w:left="240"/>
    </w:pPr>
  </w:style>
  <w:style w:type="paragraph" w:styleId="Textedebulles">
    <w:name w:val="Balloon Text"/>
    <w:basedOn w:val="Normal"/>
    <w:link w:val="TextedebullesCar"/>
    <w:uiPriority w:val="99"/>
    <w:semiHidden/>
    <w:unhideWhenUsed/>
    <w:rsid w:val="00FB63E7"/>
    <w:rPr>
      <w:rFonts w:ascii="Lucida Grande" w:hAnsi="Lucida Grande"/>
      <w:sz w:val="18"/>
      <w:szCs w:val="18"/>
    </w:rPr>
  </w:style>
  <w:style w:type="character" w:customStyle="1" w:styleId="TextedebullesCar">
    <w:name w:val="Texte de bulles Car"/>
    <w:basedOn w:val="Policepardfaut"/>
    <w:link w:val="Textedebulles"/>
    <w:uiPriority w:val="99"/>
    <w:semiHidden/>
    <w:rsid w:val="00FB63E7"/>
    <w:rPr>
      <w:rFonts w:ascii="Lucida Grande" w:hAnsi="Lucida Grande"/>
      <w:sz w:val="18"/>
      <w:szCs w:val="18"/>
    </w:rPr>
  </w:style>
  <w:style w:type="character" w:customStyle="1" w:styleId="referenceid">
    <w:name w:val="reference_id"/>
    <w:basedOn w:val="Policepardfaut"/>
    <w:uiPriority w:val="1"/>
    <w:rsid w:val="00457CF1"/>
    <w:rPr>
      <w:vertAlign w:val="superscript"/>
    </w:rPr>
  </w:style>
  <w:style w:type="paragraph" w:customStyle="1" w:styleId="graphictitle">
    <w:name w:val="graphic title"/>
    <w:basedOn w:val="ImageCaption"/>
    <w:next w:val="Normal"/>
    <w:rsid w:val="0035500D"/>
  </w:style>
  <w:style w:type="paragraph" w:customStyle="1" w:styleId="tabletitle">
    <w:name w:val="table title"/>
    <w:basedOn w:val="TableCaption"/>
    <w:next w:val="Normal"/>
    <w:rsid w:val="00901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
<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
  <cp:keywords/>
  <dc:description/>
  <cp:lastModifiedBy/>
  <cp:revision>9</cp:revision>
  <dcterms:created xsi:type="dcterms:W3CDTF">2017-02-28T11:18:00Z</dcterms:created>
  <dcterms:modified xsi:type="dcterms:W3CDTF">2026-08-01T00:57:09Z</dcterms:modified>
  <cp:category/>
</cp:coreProperties>
</file>