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color w:val="1F4E79"/>
          <w:sz w:val="36"/>
        </w:rPr>
        <w:t>Question-Answer and Guideline Mapping Table</w:t>
      </w:r>
    </w:p>
    <w:p>
      <w:pPr>
        <w:spacing w:after="120"/>
        <w:pBdr>
          <w:bottom w:val="single" w:sz="8" w:space="1" w:color="4F81BD"/>
        </w:pBdr>
      </w:pPr>
    </w:p>
    <w:p>
      <w:pPr>
        <w:spacing w:after="320"/>
        <w:jc w:val="center"/>
      </w:pPr>
      <w:r>
        <w:rPr>
          <w:rFonts w:ascii="Arial" w:hAnsi="Arial" w:eastAsia="Arial"/>
          <w:i/>
          <w:sz w:val="20"/>
        </w:rPr>
        <w:t>Pediatric burn and scald caregiver-question set for LLM evaluation</w:t>
      </w:r>
    </w:p>
    <w:tbl>
      <w:tblPr>
        <w:tblW w:type="auto" w:w="0"/>
        <w:jc w:val="center"/>
        <w:tblLook w:firstColumn="1" w:firstRow="1" w:lastColumn="0" w:lastRow="0" w:noHBand="0" w:noVBand="1" w:val="04A0"/>
      </w:tblPr>
      <w:tblGrid>
        <w:gridCol w:w="14832"/>
      </w:tblGrid>
      <w:tr>
        <w:tc>
          <w:tcPr>
            <w:tcW w:type="dxa" w:w="14832"/>
            <w:shd w:fill="EAF2F8"/>
          </w:tcPr>
          <w:p>
            <w:r/>
            <w:r>
              <w:rPr>
                <w:rFonts w:ascii="Arial" w:hAnsi="Arial" w:eastAsia="Arial"/>
                <w:b/>
                <w:sz w:val="18"/>
              </w:rPr>
              <w:t>Purpose</w:t>
              <w:br/>
            </w:r>
            <w:r>
              <w:rPr>
                <w:rFonts w:ascii="Arial" w:hAnsi="Arial" w:eastAsia="Arial"/>
                <w:sz w:val="16"/>
              </w:rPr>
              <w:t>This table provides concise reference-answer points for scoring LLM responses to caregiver-level pediatric burn and scald questions. Evidence sources include clinical practice guidelines, referral criteria, first-aid guidance, consensus statements, and systematic reviews. Reference codes correspond to the reference list at the end of this document.</w:t>
            </w:r>
          </w:p>
        </w:tc>
      </w:tr>
    </w:tbl>
    <w:p/>
    <w:p>
      <w:pPr>
        <w:spacing w:after="120"/>
      </w:pPr>
      <w:r>
        <w:rPr>
          <w:rFonts w:ascii="Arial" w:hAnsi="Arial" w:eastAsia="Arial"/>
          <w:b/>
          <w:color w:val="1F4E79"/>
          <w:sz w:val="24"/>
        </w:rPr>
        <w:t>Mapping table</w:t>
      </w:r>
    </w:p>
    <w:tbl>
      <w:tblPr>
        <w:tblStyle w:val="TableGrid"/>
        <w:tblW w:type="auto" w:w="0"/>
        <w:jc w:val="center"/>
        <w:tblLook w:firstColumn="1" w:firstRow="1" w:lastColumn="0" w:lastRow="0" w:noHBand="0" w:noVBand="1" w:val="04A0"/>
      </w:tblPr>
      <w:tblGrid>
        <w:gridCol w:w="2966"/>
        <w:gridCol w:w="2966"/>
        <w:gridCol w:w="2966"/>
        <w:gridCol w:w="2966"/>
        <w:gridCol w:w="2966"/>
      </w:tblGrid>
      <w:tr>
        <w:trPr>
          <w:tblHeader w:val="true"/>
          <w:cantSplit/>
        </w:trPr>
        <w:tc>
          <w:tcPr>
            <w:tcW w:type="dxa" w:w="504"/>
            <w:vAlign w:val="top"/>
            <w:shd w:fill="1F4E79"/>
          </w:tcPr>
          <w:p>
            <w:pPr>
              <w:spacing w:after="0"/>
            </w:pPr>
            <w:r/>
            <w:r>
              <w:rPr>
                <w:rFonts w:ascii="Arial" w:hAnsi="Arial" w:eastAsia="Arial"/>
                <w:b/>
                <w:color w:val="FFFFFF"/>
                <w:sz w:val="14"/>
              </w:rPr>
              <w:t>No.</w:t>
            </w:r>
          </w:p>
        </w:tc>
        <w:tc>
          <w:tcPr>
            <w:tcW w:type="dxa" w:w="1944"/>
            <w:vAlign w:val="top"/>
            <w:shd w:fill="1F4E79"/>
          </w:tcPr>
          <w:p>
            <w:pPr>
              <w:spacing w:after="0"/>
            </w:pPr>
            <w:r/>
            <w:r>
              <w:rPr>
                <w:rFonts w:ascii="Arial" w:hAnsi="Arial" w:eastAsia="Arial"/>
                <w:b/>
                <w:color w:val="FFFFFF"/>
                <w:sz w:val="14"/>
              </w:rPr>
              <w:t>Domain</w:t>
            </w:r>
          </w:p>
        </w:tc>
        <w:tc>
          <w:tcPr>
            <w:tcW w:type="dxa" w:w="3096"/>
            <w:vAlign w:val="top"/>
            <w:shd w:fill="1F4E79"/>
          </w:tcPr>
          <w:p>
            <w:pPr>
              <w:spacing w:after="0"/>
            </w:pPr>
            <w:r/>
            <w:r>
              <w:rPr>
                <w:rFonts w:ascii="Arial" w:hAnsi="Arial" w:eastAsia="Arial"/>
                <w:b/>
                <w:color w:val="FFFFFF"/>
                <w:sz w:val="14"/>
              </w:rPr>
              <w:t>Question</w:t>
            </w:r>
          </w:p>
        </w:tc>
        <w:tc>
          <w:tcPr>
            <w:tcW w:type="dxa" w:w="7416"/>
            <w:vAlign w:val="top"/>
            <w:shd w:fill="1F4E79"/>
          </w:tcPr>
          <w:p>
            <w:pPr>
              <w:spacing w:after="0"/>
            </w:pPr>
            <w:r/>
            <w:r>
              <w:rPr>
                <w:rFonts w:ascii="Arial" w:hAnsi="Arial" w:eastAsia="Arial"/>
                <w:b/>
                <w:color w:val="FFFFFF"/>
                <w:sz w:val="14"/>
              </w:rPr>
              <w:t>Reference answer points for scoring</w:t>
            </w:r>
          </w:p>
        </w:tc>
        <w:tc>
          <w:tcPr>
            <w:tcW w:type="dxa" w:w="2088"/>
            <w:vAlign w:val="top"/>
            <w:shd w:fill="1F4E79"/>
          </w:tcPr>
          <w:p>
            <w:pPr>
              <w:spacing w:after="0"/>
            </w:pPr>
            <w:r/>
            <w:r>
              <w:rPr>
                <w:rFonts w:ascii="Arial" w:hAnsi="Arial" w:eastAsia="Arial"/>
                <w:b/>
                <w:color w:val="FFFFFF"/>
                <w:sz w:val="14"/>
              </w:rPr>
              <w:t>Evidence sources</w:t>
            </w:r>
          </w:p>
        </w:tc>
      </w:tr>
      <w:tr>
        <w:trPr>
          <w:cantSplit/>
        </w:trPr>
        <w:tc>
          <w:tcPr>
            <w:tcW w:type="dxa" w:w="504"/>
            <w:vAlign w:val="top"/>
          </w:tcPr>
          <w:p>
            <w:pPr>
              <w:spacing w:after="0"/>
            </w:pPr>
            <w:r/>
            <w:r>
              <w:rPr>
                <w:rFonts w:ascii="Arial" w:hAnsi="Arial" w:eastAsia="Arial"/>
                <w:b w:val="0"/>
                <w:sz w:val="14"/>
              </w:rPr>
              <w:t>1</w:t>
            </w:r>
          </w:p>
        </w:tc>
        <w:tc>
          <w:tcPr>
            <w:tcW w:type="dxa" w:w="1944"/>
            <w:vAlign w:val="top"/>
          </w:tcPr>
          <w:p>
            <w:pPr>
              <w:spacing w:after="0"/>
            </w:pPr>
            <w:r/>
            <w:r>
              <w:rPr>
                <w:rFonts w:ascii="Arial" w:hAnsi="Arial" w:eastAsia="Arial"/>
                <w:b w:val="0"/>
                <w:sz w:val="14"/>
              </w:rPr>
              <w:t>Emergency first aid and early home response</w:t>
            </w:r>
          </w:p>
        </w:tc>
        <w:tc>
          <w:tcPr>
            <w:tcW w:type="dxa" w:w="3096"/>
            <w:vAlign w:val="top"/>
          </w:tcPr>
          <w:p>
            <w:pPr>
              <w:spacing w:after="0"/>
            </w:pPr>
            <w:r/>
            <w:r>
              <w:rPr>
                <w:rFonts w:ascii="Arial" w:hAnsi="Arial" w:eastAsia="Arial"/>
                <w:b w:val="0"/>
                <w:sz w:val="14"/>
              </w:rPr>
              <w:t>My child spilled hot water on their arm. What should I do in the first few minutes?</w:t>
            </w:r>
          </w:p>
        </w:tc>
        <w:tc>
          <w:tcPr>
            <w:tcW w:type="dxa" w:w="7416"/>
            <w:vAlign w:val="top"/>
          </w:tcPr>
          <w:p>
            <w:pPr>
              <w:spacing w:after="0"/>
            </w:pPr>
            <w:r/>
            <w:r>
              <w:rPr>
                <w:rFonts w:ascii="Arial" w:hAnsi="Arial" w:eastAsia="Arial"/>
                <w:b w:val="0"/>
                <w:sz w:val="14"/>
              </w:rPr>
              <w:t>Stop the burning process and make the scene safe. Cool the burn under cool running water for 20 minutes as soon as possible, remove nearby clothing/diaper/jewelry if not stuck, keep the rest of the child warm, cover the burn loosely with clean cling film or a non-stick dressing, and seek medical advice if any concern exists.</w:t>
            </w:r>
          </w:p>
        </w:tc>
        <w:tc>
          <w:tcPr>
            <w:tcW w:type="dxa" w:w="2088"/>
            <w:vAlign w:val="top"/>
          </w:tcPr>
          <w:p>
            <w:pPr>
              <w:spacing w:after="0"/>
            </w:pPr>
            <w:r/>
            <w:r>
              <w:rPr>
                <w:rFonts w:ascii="Arial" w:hAnsi="Arial" w:eastAsia="Arial"/>
                <w:b w:val="0"/>
                <w:sz w:val="14"/>
              </w:rPr>
              <w:t>R1; R3; R4; R5; R6; R7; R8; R9</w:t>
            </w:r>
          </w:p>
        </w:tc>
      </w:tr>
      <w:tr>
        <w:trPr>
          <w:cantSplit/>
        </w:trPr>
        <w:tc>
          <w:tcPr>
            <w:tcW w:type="dxa" w:w="504"/>
            <w:vAlign w:val="top"/>
            <w:shd w:fill="F5F9FC"/>
          </w:tcPr>
          <w:p>
            <w:pPr>
              <w:spacing w:after="0"/>
            </w:pPr>
            <w:r/>
            <w:r>
              <w:rPr>
                <w:rFonts w:ascii="Arial" w:hAnsi="Arial" w:eastAsia="Arial"/>
                <w:b w:val="0"/>
                <w:sz w:val="14"/>
              </w:rPr>
              <w:t>2</w:t>
            </w:r>
          </w:p>
        </w:tc>
        <w:tc>
          <w:tcPr>
            <w:tcW w:type="dxa" w:w="1944"/>
            <w:vAlign w:val="top"/>
            <w:shd w:fill="F5F9FC"/>
          </w:tcPr>
          <w:p>
            <w:pPr>
              <w:spacing w:after="0"/>
            </w:pPr>
            <w:r/>
            <w:r>
              <w:rPr>
                <w:rFonts w:ascii="Arial" w:hAnsi="Arial" w:eastAsia="Arial"/>
                <w:b w:val="0"/>
                <w:sz w:val="14"/>
              </w:rPr>
              <w:t>Emergency first aid and early home response</w:t>
            </w:r>
          </w:p>
        </w:tc>
        <w:tc>
          <w:tcPr>
            <w:tcW w:type="dxa" w:w="3096"/>
            <w:vAlign w:val="top"/>
            <w:shd w:fill="F5F9FC"/>
          </w:tcPr>
          <w:p>
            <w:pPr>
              <w:spacing w:after="0"/>
            </w:pPr>
            <w:r/>
            <w:r>
              <w:rPr>
                <w:rFonts w:ascii="Arial" w:hAnsi="Arial" w:eastAsia="Arial"/>
                <w:b w:val="0"/>
                <w:sz w:val="14"/>
              </w:rPr>
              <w:t>Should I put the burned area under cool running water, and for how long?</w:t>
            </w:r>
          </w:p>
        </w:tc>
        <w:tc>
          <w:tcPr>
            <w:tcW w:type="dxa" w:w="7416"/>
            <w:vAlign w:val="top"/>
            <w:shd w:fill="F5F9FC"/>
          </w:tcPr>
          <w:p>
            <w:pPr>
              <w:spacing w:after="0"/>
            </w:pPr>
            <w:r/>
            <w:r>
              <w:rPr>
                <w:rFonts w:ascii="Arial" w:hAnsi="Arial" w:eastAsia="Arial"/>
                <w:b w:val="0"/>
                <w:sz w:val="14"/>
              </w:rPr>
              <w:t>Yes. Cool running water is the key first-aid step. Use cool, not ice-cold, running water for a total of about 20 minutes, ideally within 3 hours of the injury. Avoid ice and avoid cooling so much skin that the child becomes hypothermic.</w:t>
            </w:r>
          </w:p>
        </w:tc>
        <w:tc>
          <w:tcPr>
            <w:tcW w:type="dxa" w:w="2088"/>
            <w:vAlign w:val="top"/>
            <w:shd w:fill="F5F9FC"/>
          </w:tcPr>
          <w:p>
            <w:pPr>
              <w:spacing w:after="0"/>
            </w:pPr>
            <w:r/>
            <w:r>
              <w:rPr>
                <w:rFonts w:ascii="Arial" w:hAnsi="Arial" w:eastAsia="Arial"/>
                <w:b w:val="0"/>
                <w:sz w:val="14"/>
              </w:rPr>
              <w:t>R1; R3; R4; R6; R7; R8; R9</w:t>
            </w:r>
          </w:p>
        </w:tc>
      </w:tr>
      <w:tr>
        <w:trPr>
          <w:cantSplit/>
        </w:trPr>
        <w:tc>
          <w:tcPr>
            <w:tcW w:type="dxa" w:w="504"/>
            <w:vAlign w:val="top"/>
          </w:tcPr>
          <w:p>
            <w:pPr>
              <w:spacing w:after="0"/>
            </w:pPr>
            <w:r/>
            <w:r>
              <w:rPr>
                <w:rFonts w:ascii="Arial" w:hAnsi="Arial" w:eastAsia="Arial"/>
                <w:b w:val="0"/>
                <w:sz w:val="14"/>
              </w:rPr>
              <w:t>3</w:t>
            </w:r>
          </w:p>
        </w:tc>
        <w:tc>
          <w:tcPr>
            <w:tcW w:type="dxa" w:w="1944"/>
            <w:vAlign w:val="top"/>
          </w:tcPr>
          <w:p>
            <w:pPr>
              <w:spacing w:after="0"/>
            </w:pPr>
            <w:r/>
            <w:r>
              <w:rPr>
                <w:rFonts w:ascii="Arial" w:hAnsi="Arial" w:eastAsia="Arial"/>
                <w:b w:val="0"/>
                <w:sz w:val="14"/>
              </w:rPr>
              <w:t>Emergency first aid and early home response</w:t>
            </w:r>
          </w:p>
        </w:tc>
        <w:tc>
          <w:tcPr>
            <w:tcW w:type="dxa" w:w="3096"/>
            <w:vAlign w:val="top"/>
          </w:tcPr>
          <w:p>
            <w:pPr>
              <w:spacing w:after="0"/>
            </w:pPr>
            <w:r/>
            <w:r>
              <w:rPr>
                <w:rFonts w:ascii="Arial" w:hAnsi="Arial" w:eastAsia="Arial"/>
                <w:b w:val="0"/>
                <w:sz w:val="14"/>
              </w:rPr>
              <w:t>My family says to put toothpaste, butter, or egg white on the burn. Is that safe?</w:t>
            </w:r>
          </w:p>
        </w:tc>
        <w:tc>
          <w:tcPr>
            <w:tcW w:type="dxa" w:w="7416"/>
            <w:vAlign w:val="top"/>
          </w:tcPr>
          <w:p>
            <w:pPr>
              <w:spacing w:after="0"/>
            </w:pPr>
            <w:r/>
            <w:r>
              <w:rPr>
                <w:rFonts w:ascii="Arial" w:hAnsi="Arial" w:eastAsia="Arial"/>
                <w:b w:val="0"/>
                <w:sz w:val="14"/>
              </w:rPr>
              <w:t>No. Toothpaste, butter, oils, egg white, food products, creams, powders, and other home remedies should not be applied to a fresh burn. They can trap heat, contaminate the wound, delay assessment, and increase pain or tissue injury when removed. Use cooling water and appropriate medical care instead.</w:t>
            </w:r>
          </w:p>
        </w:tc>
        <w:tc>
          <w:tcPr>
            <w:tcW w:type="dxa" w:w="2088"/>
            <w:vAlign w:val="top"/>
          </w:tcPr>
          <w:p>
            <w:pPr>
              <w:spacing w:after="0"/>
            </w:pPr>
            <w:r/>
            <w:r>
              <w:rPr>
                <w:rFonts w:ascii="Arial" w:hAnsi="Arial" w:eastAsia="Arial"/>
                <w:b w:val="0"/>
                <w:sz w:val="14"/>
              </w:rPr>
              <w:t>R1; R3; R4; R6; R7; R8; R9; R17</w:t>
            </w:r>
          </w:p>
        </w:tc>
      </w:tr>
      <w:tr>
        <w:trPr>
          <w:cantSplit/>
        </w:trPr>
        <w:tc>
          <w:tcPr>
            <w:tcW w:type="dxa" w:w="504"/>
            <w:vAlign w:val="top"/>
            <w:shd w:fill="F5F9FC"/>
          </w:tcPr>
          <w:p>
            <w:pPr>
              <w:spacing w:after="0"/>
            </w:pPr>
            <w:r/>
            <w:r>
              <w:rPr>
                <w:rFonts w:ascii="Arial" w:hAnsi="Arial" w:eastAsia="Arial"/>
                <w:b w:val="0"/>
                <w:sz w:val="14"/>
              </w:rPr>
              <w:t>4</w:t>
            </w:r>
          </w:p>
        </w:tc>
        <w:tc>
          <w:tcPr>
            <w:tcW w:type="dxa" w:w="1944"/>
            <w:vAlign w:val="top"/>
            <w:shd w:fill="F5F9FC"/>
          </w:tcPr>
          <w:p>
            <w:pPr>
              <w:spacing w:after="0"/>
            </w:pPr>
            <w:r/>
            <w:r>
              <w:rPr>
                <w:rFonts w:ascii="Arial" w:hAnsi="Arial" w:eastAsia="Arial"/>
                <w:b w:val="0"/>
                <w:sz w:val="14"/>
              </w:rPr>
              <w:t>Emergency first aid and early home response</w:t>
            </w:r>
          </w:p>
        </w:tc>
        <w:tc>
          <w:tcPr>
            <w:tcW w:type="dxa" w:w="3096"/>
            <w:vAlign w:val="top"/>
            <w:shd w:fill="F5F9FC"/>
          </w:tcPr>
          <w:p>
            <w:pPr>
              <w:spacing w:after="0"/>
            </w:pPr>
            <w:r/>
            <w:r>
              <w:rPr>
                <w:rFonts w:ascii="Arial" w:hAnsi="Arial" w:eastAsia="Arial"/>
                <w:b w:val="0"/>
                <w:sz w:val="14"/>
              </w:rPr>
              <w:t>Should I remove my child’s clothes, diaper, or jewelry after a scald?</w:t>
            </w:r>
          </w:p>
        </w:tc>
        <w:tc>
          <w:tcPr>
            <w:tcW w:type="dxa" w:w="7416"/>
            <w:vAlign w:val="top"/>
            <w:shd w:fill="F5F9FC"/>
          </w:tcPr>
          <w:p>
            <w:pPr>
              <w:spacing w:after="0"/>
            </w:pPr>
            <w:r/>
            <w:r>
              <w:rPr>
                <w:rFonts w:ascii="Arial" w:hAnsi="Arial" w:eastAsia="Arial"/>
                <w:b w:val="0"/>
                <w:sz w:val="14"/>
              </w:rPr>
              <w:t>Remove clothing, diaper, and jewelry that are in contact with the burn source or that may become tight as swelling develops. Cut clothing if needed, but do not pull off anything stuck to the skin. Removing wet or hot clothing also helps reduce ongoing heat injury.</w:t>
            </w:r>
          </w:p>
        </w:tc>
        <w:tc>
          <w:tcPr>
            <w:tcW w:type="dxa" w:w="2088"/>
            <w:vAlign w:val="top"/>
            <w:shd w:fill="F5F9FC"/>
          </w:tcPr>
          <w:p>
            <w:pPr>
              <w:spacing w:after="0"/>
            </w:pPr>
            <w:r/>
            <w:r>
              <w:rPr>
                <w:rFonts w:ascii="Arial" w:hAnsi="Arial" w:eastAsia="Arial"/>
                <w:b w:val="0"/>
                <w:sz w:val="14"/>
              </w:rPr>
              <w:t>R1; R3; R4; R6; R7; R8</w:t>
            </w:r>
          </w:p>
        </w:tc>
      </w:tr>
      <w:tr>
        <w:trPr>
          <w:cantSplit/>
        </w:trPr>
        <w:tc>
          <w:tcPr>
            <w:tcW w:type="dxa" w:w="504"/>
            <w:vAlign w:val="top"/>
          </w:tcPr>
          <w:p>
            <w:pPr>
              <w:spacing w:after="0"/>
            </w:pPr>
            <w:r/>
            <w:r>
              <w:rPr>
                <w:rFonts w:ascii="Arial" w:hAnsi="Arial" w:eastAsia="Arial"/>
                <w:b w:val="0"/>
                <w:sz w:val="14"/>
              </w:rPr>
              <w:t>5</w:t>
            </w:r>
          </w:p>
        </w:tc>
        <w:tc>
          <w:tcPr>
            <w:tcW w:type="dxa" w:w="1944"/>
            <w:vAlign w:val="top"/>
          </w:tcPr>
          <w:p>
            <w:pPr>
              <w:spacing w:after="0"/>
            </w:pPr>
            <w:r/>
            <w:r>
              <w:rPr>
                <w:rFonts w:ascii="Arial" w:hAnsi="Arial" w:eastAsia="Arial"/>
                <w:b w:val="0"/>
                <w:sz w:val="14"/>
              </w:rPr>
              <w:t>Emergency first aid and early home response</w:t>
            </w:r>
          </w:p>
        </w:tc>
        <w:tc>
          <w:tcPr>
            <w:tcW w:type="dxa" w:w="3096"/>
            <w:vAlign w:val="top"/>
          </w:tcPr>
          <w:p>
            <w:pPr>
              <w:spacing w:after="0"/>
            </w:pPr>
            <w:r/>
            <w:r>
              <w:rPr>
                <w:rFonts w:ascii="Arial" w:hAnsi="Arial" w:eastAsia="Arial"/>
                <w:b w:val="0"/>
                <w:sz w:val="14"/>
              </w:rPr>
              <w:t>After cooling the burn, should I cover it with plastic wrap or a dressing while going to the hospital?</w:t>
            </w:r>
          </w:p>
        </w:tc>
        <w:tc>
          <w:tcPr>
            <w:tcW w:type="dxa" w:w="7416"/>
            <w:vAlign w:val="top"/>
          </w:tcPr>
          <w:p>
            <w:pPr>
              <w:spacing w:after="0"/>
            </w:pPr>
            <w:r/>
            <w:r>
              <w:rPr>
                <w:rFonts w:ascii="Arial" w:hAnsi="Arial" w:eastAsia="Arial"/>
                <w:b w:val="0"/>
                <w:sz w:val="14"/>
              </w:rPr>
              <w:t>After cooling, loosely cover the burn to reduce pain and contamination. Plastic cling film may be laid lengthways over the burn, not wrapped tightly around a limb. Do not put cling film on the face or on chemical burns. A clean, non-adherent dressing or clean cloth can be used if cling film is unsuitable.</w:t>
            </w:r>
          </w:p>
        </w:tc>
        <w:tc>
          <w:tcPr>
            <w:tcW w:type="dxa" w:w="2088"/>
            <w:vAlign w:val="top"/>
          </w:tcPr>
          <w:p>
            <w:pPr>
              <w:spacing w:after="0"/>
            </w:pPr>
            <w:r/>
            <w:r>
              <w:rPr>
                <w:rFonts w:ascii="Arial" w:hAnsi="Arial" w:eastAsia="Arial"/>
                <w:b w:val="0"/>
                <w:sz w:val="14"/>
              </w:rPr>
              <w:t>R3; R4; R6; R7; R8; R9</w:t>
            </w:r>
          </w:p>
        </w:tc>
      </w:tr>
      <w:tr>
        <w:trPr>
          <w:cantSplit/>
        </w:trPr>
        <w:tc>
          <w:tcPr>
            <w:tcW w:type="dxa" w:w="504"/>
            <w:vAlign w:val="top"/>
            <w:shd w:fill="F5F9FC"/>
          </w:tcPr>
          <w:p>
            <w:pPr>
              <w:spacing w:after="0"/>
            </w:pPr>
            <w:r/>
            <w:r>
              <w:rPr>
                <w:rFonts w:ascii="Arial" w:hAnsi="Arial" w:eastAsia="Arial"/>
                <w:b w:val="0"/>
                <w:sz w:val="14"/>
              </w:rPr>
              <w:t>6</w:t>
            </w:r>
          </w:p>
        </w:tc>
        <w:tc>
          <w:tcPr>
            <w:tcW w:type="dxa" w:w="1944"/>
            <w:vAlign w:val="top"/>
            <w:shd w:fill="F5F9FC"/>
          </w:tcPr>
          <w:p>
            <w:pPr>
              <w:spacing w:after="0"/>
            </w:pPr>
            <w:r/>
            <w:r>
              <w:rPr>
                <w:rFonts w:ascii="Arial" w:hAnsi="Arial" w:eastAsia="Arial"/>
                <w:b w:val="0"/>
                <w:sz w:val="14"/>
              </w:rPr>
              <w:t>Emergency first aid and early home response</w:t>
            </w:r>
          </w:p>
        </w:tc>
        <w:tc>
          <w:tcPr>
            <w:tcW w:type="dxa" w:w="3096"/>
            <w:vAlign w:val="top"/>
            <w:shd w:fill="F5F9FC"/>
          </w:tcPr>
          <w:p>
            <w:pPr>
              <w:spacing w:after="0"/>
            </w:pPr>
            <w:r/>
            <w:r>
              <w:rPr>
                <w:rFonts w:ascii="Arial" w:hAnsi="Arial" w:eastAsia="Arial"/>
                <w:b w:val="0"/>
                <w:sz w:val="14"/>
              </w:rPr>
              <w:t>What should I do if my child was burned by a chemical cleaner?</w:t>
            </w:r>
          </w:p>
        </w:tc>
        <w:tc>
          <w:tcPr>
            <w:tcW w:type="dxa" w:w="7416"/>
            <w:vAlign w:val="top"/>
            <w:shd w:fill="F5F9FC"/>
          </w:tcPr>
          <w:p>
            <w:pPr>
              <w:spacing w:after="0"/>
            </w:pPr>
            <w:r/>
            <w:r>
              <w:rPr>
                <w:rFonts w:ascii="Arial" w:hAnsi="Arial" w:eastAsia="Arial"/>
                <w:b w:val="0"/>
                <w:sz w:val="14"/>
              </w:rPr>
              <w:t>Protect yourself first. Remove contaminated clothing, brush off dry powder chemicals before irrigation when appropriate, and irrigate the affected skin or eye with large amounts of water. Seek urgent medical/poison-center advice. Chemical eye injuries need prolonged irrigation and urgent eye assessment.</w:t>
            </w:r>
          </w:p>
        </w:tc>
        <w:tc>
          <w:tcPr>
            <w:tcW w:type="dxa" w:w="2088"/>
            <w:vAlign w:val="top"/>
            <w:shd w:fill="F5F9FC"/>
          </w:tcPr>
          <w:p>
            <w:pPr>
              <w:spacing w:after="0"/>
            </w:pPr>
            <w:r/>
            <w:r>
              <w:rPr>
                <w:rFonts w:ascii="Arial" w:hAnsi="Arial" w:eastAsia="Arial"/>
                <w:b w:val="0"/>
                <w:sz w:val="14"/>
              </w:rPr>
              <w:t>R1; R4; R5; R6; R7; R8; R13; R14</w:t>
            </w:r>
          </w:p>
        </w:tc>
      </w:tr>
      <w:tr>
        <w:trPr>
          <w:cantSplit/>
        </w:trPr>
        <w:tc>
          <w:tcPr>
            <w:tcW w:type="dxa" w:w="504"/>
            <w:vAlign w:val="top"/>
          </w:tcPr>
          <w:p>
            <w:pPr>
              <w:spacing w:after="0"/>
            </w:pPr>
            <w:r/>
            <w:r>
              <w:rPr>
                <w:rFonts w:ascii="Arial" w:hAnsi="Arial" w:eastAsia="Arial"/>
                <w:b w:val="0"/>
                <w:sz w:val="14"/>
              </w:rPr>
              <w:t>7</w:t>
            </w:r>
          </w:p>
        </w:tc>
        <w:tc>
          <w:tcPr>
            <w:tcW w:type="dxa" w:w="1944"/>
            <w:vAlign w:val="top"/>
          </w:tcPr>
          <w:p>
            <w:pPr>
              <w:spacing w:after="0"/>
            </w:pPr>
            <w:r/>
            <w:r>
              <w:rPr>
                <w:rFonts w:ascii="Arial" w:hAnsi="Arial" w:eastAsia="Arial"/>
                <w:b w:val="0"/>
                <w:sz w:val="14"/>
              </w:rPr>
              <w:t>Emergency first aid and early home response</w:t>
            </w:r>
          </w:p>
        </w:tc>
        <w:tc>
          <w:tcPr>
            <w:tcW w:type="dxa" w:w="3096"/>
            <w:vAlign w:val="top"/>
          </w:tcPr>
          <w:p>
            <w:pPr>
              <w:spacing w:after="0"/>
            </w:pPr>
            <w:r/>
            <w:r>
              <w:rPr>
                <w:rFonts w:ascii="Arial" w:hAnsi="Arial" w:eastAsia="Arial"/>
                <w:b w:val="0"/>
                <w:sz w:val="14"/>
              </w:rPr>
              <w:t>What should I do if my child was burned by electricity or bit an electrical cord?</w:t>
            </w:r>
          </w:p>
        </w:tc>
        <w:tc>
          <w:tcPr>
            <w:tcW w:type="dxa" w:w="7416"/>
            <w:vAlign w:val="top"/>
          </w:tcPr>
          <w:p>
            <w:pPr>
              <w:spacing w:after="0"/>
            </w:pPr>
            <w:r/>
            <w:r>
              <w:rPr>
                <w:rFonts w:ascii="Arial" w:hAnsi="Arial" w:eastAsia="Arial"/>
                <w:b w:val="0"/>
                <w:sz w:val="14"/>
              </w:rPr>
              <w:t>Do not touch the child until the power source is off and the scene is safe. Electrical injuries can cause deep tissue injury, heart-rhythm problems, mouth injury, or delayed complications even when the skin burn looks small. Seek emergency medical care or burn-center consultation; ECG monitoring may be needed.</w:t>
            </w:r>
          </w:p>
        </w:tc>
        <w:tc>
          <w:tcPr>
            <w:tcW w:type="dxa" w:w="2088"/>
            <w:vAlign w:val="top"/>
          </w:tcPr>
          <w:p>
            <w:pPr>
              <w:spacing w:after="0"/>
            </w:pPr>
            <w:r/>
            <w:r>
              <w:rPr>
                <w:rFonts w:ascii="Arial" w:hAnsi="Arial" w:eastAsia="Arial"/>
                <w:b w:val="0"/>
                <w:sz w:val="14"/>
              </w:rPr>
              <w:t>R1; R5; R6; R7; R13; R14</w:t>
            </w:r>
          </w:p>
        </w:tc>
      </w:tr>
      <w:tr>
        <w:trPr>
          <w:cantSplit/>
        </w:trPr>
        <w:tc>
          <w:tcPr>
            <w:tcW w:type="dxa" w:w="504"/>
            <w:vAlign w:val="top"/>
            <w:shd w:fill="F5F9FC"/>
          </w:tcPr>
          <w:p>
            <w:pPr>
              <w:spacing w:after="0"/>
            </w:pPr>
            <w:r/>
            <w:r>
              <w:rPr>
                <w:rFonts w:ascii="Arial" w:hAnsi="Arial" w:eastAsia="Arial"/>
                <w:b w:val="0"/>
                <w:sz w:val="14"/>
              </w:rPr>
              <w:t>8</w:t>
            </w:r>
          </w:p>
        </w:tc>
        <w:tc>
          <w:tcPr>
            <w:tcW w:type="dxa" w:w="1944"/>
            <w:vAlign w:val="top"/>
            <w:shd w:fill="F5F9FC"/>
          </w:tcPr>
          <w:p>
            <w:pPr>
              <w:spacing w:after="0"/>
            </w:pPr>
            <w:r/>
            <w:r>
              <w:rPr>
                <w:rFonts w:ascii="Arial" w:hAnsi="Arial" w:eastAsia="Arial"/>
                <w:b w:val="0"/>
                <w:sz w:val="14"/>
              </w:rPr>
              <w:t>Severity, referral, and red flags</w:t>
            </w:r>
          </w:p>
        </w:tc>
        <w:tc>
          <w:tcPr>
            <w:tcW w:type="dxa" w:w="3096"/>
            <w:vAlign w:val="top"/>
            <w:shd w:fill="F5F9FC"/>
          </w:tcPr>
          <w:p>
            <w:pPr>
              <w:spacing w:after="0"/>
            </w:pPr>
            <w:r/>
            <w:r>
              <w:rPr>
                <w:rFonts w:ascii="Arial" w:hAnsi="Arial" w:eastAsia="Arial"/>
                <w:b w:val="0"/>
                <w:sz w:val="14"/>
              </w:rPr>
              <w:t>How can I tell whether my child’s burn is mild, serious, or deep?</w:t>
            </w:r>
          </w:p>
        </w:tc>
        <w:tc>
          <w:tcPr>
            <w:tcW w:type="dxa" w:w="7416"/>
            <w:vAlign w:val="top"/>
            <w:shd w:fill="F5F9FC"/>
          </w:tcPr>
          <w:p>
            <w:pPr>
              <w:spacing w:after="0"/>
            </w:pPr>
            <w:r/>
            <w:r>
              <w:rPr>
                <w:rFonts w:ascii="Arial" w:hAnsi="Arial" w:eastAsia="Arial"/>
                <w:b w:val="0"/>
                <w:sz w:val="14"/>
              </w:rPr>
              <w:t>Severity depends on depth, size, location, age, mechanism, inhalation risk, pain control, and associated injuries. Superficial burns are red and painful without blisters. Partial-thickness burns often blister and are painful. Deep or full-thickness burns may look pale, leathery, charred, or dry and may have reduced sensation. Depth can evolve over 48-72 hours, so reassessment is important.</w:t>
            </w:r>
          </w:p>
        </w:tc>
        <w:tc>
          <w:tcPr>
            <w:tcW w:type="dxa" w:w="2088"/>
            <w:vAlign w:val="top"/>
            <w:shd w:fill="F5F9FC"/>
          </w:tcPr>
          <w:p>
            <w:pPr>
              <w:spacing w:after="0"/>
            </w:pPr>
            <w:r/>
            <w:r>
              <w:rPr>
                <w:rFonts w:ascii="Arial" w:hAnsi="Arial" w:eastAsia="Arial"/>
                <w:b w:val="0"/>
                <w:sz w:val="14"/>
              </w:rPr>
              <w:t>R5; R6; R7; R8; R9; R13; R14</w:t>
            </w:r>
          </w:p>
        </w:tc>
      </w:tr>
      <w:tr>
        <w:trPr>
          <w:cantSplit/>
        </w:trPr>
        <w:tc>
          <w:tcPr>
            <w:tcW w:type="dxa" w:w="504"/>
            <w:vAlign w:val="top"/>
          </w:tcPr>
          <w:p>
            <w:pPr>
              <w:spacing w:after="0"/>
            </w:pPr>
            <w:r/>
            <w:r>
              <w:rPr>
                <w:rFonts w:ascii="Arial" w:hAnsi="Arial" w:eastAsia="Arial"/>
                <w:b w:val="0"/>
                <w:sz w:val="14"/>
              </w:rPr>
              <w:t>9</w:t>
            </w:r>
          </w:p>
        </w:tc>
        <w:tc>
          <w:tcPr>
            <w:tcW w:type="dxa" w:w="1944"/>
            <w:vAlign w:val="top"/>
          </w:tcPr>
          <w:p>
            <w:pPr>
              <w:spacing w:after="0"/>
            </w:pPr>
            <w:r/>
            <w:r>
              <w:rPr>
                <w:rFonts w:ascii="Arial" w:hAnsi="Arial" w:eastAsia="Arial"/>
                <w:b w:val="0"/>
                <w:sz w:val="14"/>
              </w:rPr>
              <w:t>Severity, referral, and red flags</w:t>
            </w:r>
          </w:p>
        </w:tc>
        <w:tc>
          <w:tcPr>
            <w:tcW w:type="dxa" w:w="3096"/>
            <w:vAlign w:val="top"/>
          </w:tcPr>
          <w:p>
            <w:pPr>
              <w:spacing w:after="0"/>
            </w:pPr>
            <w:r/>
            <w:r>
              <w:rPr>
                <w:rFonts w:ascii="Arial" w:hAnsi="Arial" w:eastAsia="Arial"/>
                <w:b w:val="0"/>
                <w:sz w:val="14"/>
              </w:rPr>
              <w:t>Does a burn that does not hurt mean it is not serious?</w:t>
            </w:r>
          </w:p>
        </w:tc>
        <w:tc>
          <w:tcPr>
            <w:tcW w:type="dxa" w:w="7416"/>
            <w:vAlign w:val="top"/>
          </w:tcPr>
          <w:p>
            <w:pPr>
              <w:spacing w:after="0"/>
            </w:pPr>
            <w:r/>
            <w:r>
              <w:rPr>
                <w:rFonts w:ascii="Arial" w:hAnsi="Arial" w:eastAsia="Arial"/>
                <w:b w:val="0"/>
                <w:sz w:val="14"/>
              </w:rPr>
              <w:t>No. A painless or less painful burn may be deep because nerve endings are damaged. Pale, waxy, leathery, brown, black, or white areas with reduced sensation need urgent assessment even if pain is limited.</w:t>
            </w:r>
          </w:p>
        </w:tc>
        <w:tc>
          <w:tcPr>
            <w:tcW w:type="dxa" w:w="2088"/>
            <w:vAlign w:val="top"/>
          </w:tcPr>
          <w:p>
            <w:pPr>
              <w:spacing w:after="0"/>
            </w:pPr>
            <w:r/>
            <w:r>
              <w:rPr>
                <w:rFonts w:ascii="Arial" w:hAnsi="Arial" w:eastAsia="Arial"/>
                <w:b w:val="0"/>
                <w:sz w:val="14"/>
              </w:rPr>
              <w:t>R5; R6; R7; R8; R9; R13; R14</w:t>
            </w:r>
          </w:p>
        </w:tc>
      </w:tr>
      <w:tr>
        <w:trPr>
          <w:cantSplit/>
        </w:trPr>
        <w:tc>
          <w:tcPr>
            <w:tcW w:type="dxa" w:w="504"/>
            <w:vAlign w:val="top"/>
            <w:shd w:fill="F5F9FC"/>
          </w:tcPr>
          <w:p>
            <w:pPr>
              <w:spacing w:after="0"/>
            </w:pPr>
            <w:r/>
            <w:r>
              <w:rPr>
                <w:rFonts w:ascii="Arial" w:hAnsi="Arial" w:eastAsia="Arial"/>
                <w:b w:val="0"/>
                <w:sz w:val="14"/>
              </w:rPr>
              <w:t>10</w:t>
            </w:r>
          </w:p>
        </w:tc>
        <w:tc>
          <w:tcPr>
            <w:tcW w:type="dxa" w:w="1944"/>
            <w:vAlign w:val="top"/>
            <w:shd w:fill="F5F9FC"/>
          </w:tcPr>
          <w:p>
            <w:pPr>
              <w:spacing w:after="0"/>
            </w:pPr>
            <w:r/>
            <w:r>
              <w:rPr>
                <w:rFonts w:ascii="Arial" w:hAnsi="Arial" w:eastAsia="Arial"/>
                <w:b w:val="0"/>
                <w:sz w:val="14"/>
              </w:rPr>
              <w:t>Severity, referral, and red flags</w:t>
            </w:r>
          </w:p>
        </w:tc>
        <w:tc>
          <w:tcPr>
            <w:tcW w:type="dxa" w:w="3096"/>
            <w:vAlign w:val="top"/>
            <w:shd w:fill="F5F9FC"/>
          </w:tcPr>
          <w:p>
            <w:pPr>
              <w:spacing w:after="0"/>
            </w:pPr>
            <w:r/>
            <w:r>
              <w:rPr>
                <w:rFonts w:ascii="Arial" w:hAnsi="Arial" w:eastAsia="Arial"/>
                <w:b w:val="0"/>
                <w:sz w:val="14"/>
              </w:rPr>
              <w:t>When does a child with a burn need to go to the emergency department?</w:t>
            </w:r>
          </w:p>
        </w:tc>
        <w:tc>
          <w:tcPr>
            <w:tcW w:type="dxa" w:w="7416"/>
            <w:vAlign w:val="top"/>
            <w:shd w:fill="F5F9FC"/>
          </w:tcPr>
          <w:p>
            <w:pPr>
              <w:spacing w:after="0"/>
            </w:pPr>
            <w:r/>
            <w:r>
              <w:rPr>
                <w:rFonts w:ascii="Arial" w:hAnsi="Arial" w:eastAsia="Arial"/>
                <w:b w:val="0"/>
                <w:sz w:val="14"/>
              </w:rPr>
              <w:t>Urgent care is needed for suspected deep or full-thickness burns, large burns, uncontrolled pain, burns on special areas, inhalation injury, chemical or electrical burns, circumferential burns, associated trauma, comorbid illness, signs of infection or shock, suspected non-accidental injury, or when caregivers cannot safely manage the wound at home.</w:t>
            </w:r>
          </w:p>
        </w:tc>
        <w:tc>
          <w:tcPr>
            <w:tcW w:type="dxa" w:w="2088"/>
            <w:vAlign w:val="top"/>
            <w:shd w:fill="F5F9FC"/>
          </w:tcPr>
          <w:p>
            <w:pPr>
              <w:spacing w:after="0"/>
            </w:pPr>
            <w:r/>
            <w:r>
              <w:rPr>
                <w:rFonts w:ascii="Arial" w:hAnsi="Arial" w:eastAsia="Arial"/>
                <w:b w:val="0"/>
                <w:sz w:val="14"/>
              </w:rPr>
              <w:t>R3; R4; R5; R6; R7; R8; R9; R13; R14</w:t>
            </w:r>
          </w:p>
        </w:tc>
      </w:tr>
      <w:tr>
        <w:trPr>
          <w:cantSplit/>
        </w:trPr>
        <w:tc>
          <w:tcPr>
            <w:tcW w:type="dxa" w:w="504"/>
            <w:vAlign w:val="top"/>
          </w:tcPr>
          <w:p>
            <w:pPr>
              <w:spacing w:after="0"/>
            </w:pPr>
            <w:r/>
            <w:r>
              <w:rPr>
                <w:rFonts w:ascii="Arial" w:hAnsi="Arial" w:eastAsia="Arial"/>
                <w:b w:val="0"/>
                <w:sz w:val="14"/>
              </w:rPr>
              <w:t>11</w:t>
            </w:r>
          </w:p>
        </w:tc>
        <w:tc>
          <w:tcPr>
            <w:tcW w:type="dxa" w:w="1944"/>
            <w:vAlign w:val="top"/>
          </w:tcPr>
          <w:p>
            <w:pPr>
              <w:spacing w:after="0"/>
            </w:pPr>
            <w:r/>
            <w:r>
              <w:rPr>
                <w:rFonts w:ascii="Arial" w:hAnsi="Arial" w:eastAsia="Arial"/>
                <w:b w:val="0"/>
                <w:sz w:val="14"/>
              </w:rPr>
              <w:t>Severity, referral, and red flags</w:t>
            </w:r>
          </w:p>
        </w:tc>
        <w:tc>
          <w:tcPr>
            <w:tcW w:type="dxa" w:w="3096"/>
            <w:vAlign w:val="top"/>
          </w:tcPr>
          <w:p>
            <w:pPr>
              <w:spacing w:after="0"/>
            </w:pPr>
            <w:r/>
            <w:r>
              <w:rPr>
                <w:rFonts w:ascii="Arial" w:hAnsi="Arial" w:eastAsia="Arial"/>
                <w:b w:val="0"/>
                <w:sz w:val="14"/>
              </w:rPr>
              <w:t>Does a burn on the face, hands, feet, genitals, or over a joint need special attention?</w:t>
            </w:r>
          </w:p>
        </w:tc>
        <w:tc>
          <w:tcPr>
            <w:tcW w:type="dxa" w:w="7416"/>
            <w:vAlign w:val="top"/>
          </w:tcPr>
          <w:p>
            <w:pPr>
              <w:spacing w:after="0"/>
            </w:pPr>
            <w:r/>
            <w:r>
              <w:rPr>
                <w:rFonts w:ascii="Arial" w:hAnsi="Arial" w:eastAsia="Arial"/>
                <w:b w:val="0"/>
                <w:sz w:val="14"/>
              </w:rPr>
              <w:t>Yes. Burns of the face, eyes, ears, neck, hands, feet, genitalia, perineum, or over major joints can threaten function, vision, airway, continence, appearance, and range of motion. Even small burns in these areas may need burn-specialist advice.</w:t>
            </w:r>
          </w:p>
        </w:tc>
        <w:tc>
          <w:tcPr>
            <w:tcW w:type="dxa" w:w="2088"/>
            <w:vAlign w:val="top"/>
          </w:tcPr>
          <w:p>
            <w:pPr>
              <w:spacing w:after="0"/>
            </w:pPr>
            <w:r/>
            <w:r>
              <w:rPr>
                <w:rFonts w:ascii="Arial" w:hAnsi="Arial" w:eastAsia="Arial"/>
                <w:b w:val="0"/>
                <w:sz w:val="14"/>
              </w:rPr>
              <w:t>R5; R6; R7; R8; R9; R13; R14; R16</w:t>
            </w:r>
          </w:p>
        </w:tc>
      </w:tr>
      <w:tr>
        <w:trPr>
          <w:cantSplit/>
        </w:trPr>
        <w:tc>
          <w:tcPr>
            <w:tcW w:type="dxa" w:w="504"/>
            <w:vAlign w:val="top"/>
            <w:shd w:fill="F5F9FC"/>
          </w:tcPr>
          <w:p>
            <w:pPr>
              <w:spacing w:after="0"/>
            </w:pPr>
            <w:r/>
            <w:r>
              <w:rPr>
                <w:rFonts w:ascii="Arial" w:hAnsi="Arial" w:eastAsia="Arial"/>
                <w:b w:val="0"/>
                <w:sz w:val="14"/>
              </w:rPr>
              <w:t>12</w:t>
            </w:r>
          </w:p>
        </w:tc>
        <w:tc>
          <w:tcPr>
            <w:tcW w:type="dxa" w:w="1944"/>
            <w:vAlign w:val="top"/>
            <w:shd w:fill="F5F9FC"/>
          </w:tcPr>
          <w:p>
            <w:pPr>
              <w:spacing w:after="0"/>
            </w:pPr>
            <w:r/>
            <w:r>
              <w:rPr>
                <w:rFonts w:ascii="Arial" w:hAnsi="Arial" w:eastAsia="Arial"/>
                <w:b w:val="0"/>
                <w:sz w:val="14"/>
              </w:rPr>
              <w:t>Severity, referral, and red flags</w:t>
            </w:r>
          </w:p>
        </w:tc>
        <w:tc>
          <w:tcPr>
            <w:tcW w:type="dxa" w:w="3096"/>
            <w:vAlign w:val="top"/>
            <w:shd w:fill="F5F9FC"/>
          </w:tcPr>
          <w:p>
            <w:pPr>
              <w:spacing w:after="0"/>
            </w:pPr>
            <w:r/>
            <w:r>
              <w:rPr>
                <w:rFonts w:ascii="Arial" w:hAnsi="Arial" w:eastAsia="Arial"/>
                <w:b w:val="0"/>
                <w:sz w:val="14"/>
              </w:rPr>
              <w:t>My child has trouble breathing or was burned in a smoky room. What should I do?</w:t>
            </w:r>
          </w:p>
        </w:tc>
        <w:tc>
          <w:tcPr>
            <w:tcW w:type="dxa" w:w="7416"/>
            <w:vAlign w:val="top"/>
            <w:shd w:fill="F5F9FC"/>
          </w:tcPr>
          <w:p>
            <w:pPr>
              <w:spacing w:after="0"/>
            </w:pPr>
            <w:r/>
            <w:r>
              <w:rPr>
                <w:rFonts w:ascii="Arial" w:hAnsi="Arial" w:eastAsia="Arial"/>
                <w:b w:val="0"/>
                <w:sz w:val="14"/>
              </w:rPr>
              <w:t>Call emergency services immediately. Smoke exposure, facial burns, singed nasal hair, hoarse voice, black sputum, soot in the mouth, stridor, respiratory distress, or reduced consciousness suggests inhalation injury or carbon monoxide/cyanide exposure. High-flow oxygen and hospital monitoring are required.</w:t>
            </w:r>
          </w:p>
        </w:tc>
        <w:tc>
          <w:tcPr>
            <w:tcW w:type="dxa" w:w="2088"/>
            <w:vAlign w:val="top"/>
            <w:shd w:fill="F5F9FC"/>
          </w:tcPr>
          <w:p>
            <w:pPr>
              <w:spacing w:after="0"/>
            </w:pPr>
            <w:r/>
            <w:r>
              <w:rPr>
                <w:rFonts w:ascii="Arial" w:hAnsi="Arial" w:eastAsia="Arial"/>
                <w:b w:val="0"/>
                <w:sz w:val="14"/>
              </w:rPr>
              <w:t>R1; R5; R6; R7; R13; R14</w:t>
            </w:r>
          </w:p>
        </w:tc>
      </w:tr>
      <w:tr>
        <w:trPr>
          <w:cantSplit/>
        </w:trPr>
        <w:tc>
          <w:tcPr>
            <w:tcW w:type="dxa" w:w="504"/>
            <w:vAlign w:val="top"/>
          </w:tcPr>
          <w:p>
            <w:pPr>
              <w:spacing w:after="0"/>
            </w:pPr>
            <w:r/>
            <w:r>
              <w:rPr>
                <w:rFonts w:ascii="Arial" w:hAnsi="Arial" w:eastAsia="Arial"/>
                <w:b w:val="0"/>
                <w:sz w:val="14"/>
              </w:rPr>
              <w:t>13</w:t>
            </w:r>
          </w:p>
        </w:tc>
        <w:tc>
          <w:tcPr>
            <w:tcW w:type="dxa" w:w="1944"/>
            <w:vAlign w:val="top"/>
          </w:tcPr>
          <w:p>
            <w:pPr>
              <w:spacing w:after="0"/>
            </w:pPr>
            <w:r/>
            <w:r>
              <w:rPr>
                <w:rFonts w:ascii="Arial" w:hAnsi="Arial" w:eastAsia="Arial"/>
                <w:b w:val="0"/>
                <w:sz w:val="14"/>
              </w:rPr>
              <w:t>Severity, referral, and red flags</w:t>
            </w:r>
          </w:p>
        </w:tc>
        <w:tc>
          <w:tcPr>
            <w:tcW w:type="dxa" w:w="3096"/>
            <w:vAlign w:val="top"/>
          </w:tcPr>
          <w:p>
            <w:pPr>
              <w:spacing w:after="0"/>
            </w:pPr>
            <w:r/>
            <w:r>
              <w:rPr>
                <w:rFonts w:ascii="Arial" w:hAnsi="Arial" w:eastAsia="Arial"/>
                <w:b w:val="0"/>
                <w:sz w:val="14"/>
              </w:rPr>
              <w:t>Should a baby under 1 year old with a burn be checked by a doctor even if the burn looks small?</w:t>
            </w:r>
          </w:p>
        </w:tc>
        <w:tc>
          <w:tcPr>
            <w:tcW w:type="dxa" w:w="7416"/>
            <w:vAlign w:val="top"/>
          </w:tcPr>
          <w:p>
            <w:pPr>
              <w:spacing w:after="0"/>
            </w:pPr>
            <w:r/>
            <w:r>
              <w:rPr>
                <w:rFonts w:ascii="Arial" w:hAnsi="Arial" w:eastAsia="Arial"/>
                <w:b w:val="0"/>
                <w:sz w:val="14"/>
              </w:rPr>
              <w:t>Yes. Infants have thin skin, higher risk of hypothermia and dehydration, different pain and dressing needs, and a lower threshold for burn-center consultation. Burns in children under 12 months should be medically assessed even when small.</w:t>
            </w:r>
          </w:p>
        </w:tc>
        <w:tc>
          <w:tcPr>
            <w:tcW w:type="dxa" w:w="2088"/>
            <w:vAlign w:val="top"/>
          </w:tcPr>
          <w:p>
            <w:pPr>
              <w:spacing w:after="0"/>
            </w:pPr>
            <w:r/>
            <w:r>
              <w:rPr>
                <w:rFonts w:ascii="Arial" w:hAnsi="Arial" w:eastAsia="Arial"/>
                <w:b w:val="0"/>
                <w:sz w:val="14"/>
              </w:rPr>
              <w:t>R3; R5; R6; R7; R8; R9</w:t>
            </w:r>
          </w:p>
        </w:tc>
      </w:tr>
      <w:tr>
        <w:trPr>
          <w:cantSplit/>
        </w:trPr>
        <w:tc>
          <w:tcPr>
            <w:tcW w:type="dxa" w:w="504"/>
            <w:vAlign w:val="top"/>
            <w:shd w:fill="F5F9FC"/>
          </w:tcPr>
          <w:p>
            <w:pPr>
              <w:spacing w:after="0"/>
            </w:pPr>
            <w:r/>
            <w:r>
              <w:rPr>
                <w:rFonts w:ascii="Arial" w:hAnsi="Arial" w:eastAsia="Arial"/>
                <w:b w:val="0"/>
                <w:sz w:val="14"/>
              </w:rPr>
              <w:t>14</w:t>
            </w:r>
          </w:p>
        </w:tc>
        <w:tc>
          <w:tcPr>
            <w:tcW w:type="dxa" w:w="1944"/>
            <w:vAlign w:val="top"/>
            <w:shd w:fill="F5F9FC"/>
          </w:tcPr>
          <w:p>
            <w:pPr>
              <w:spacing w:after="0"/>
            </w:pPr>
            <w:r/>
            <w:r>
              <w:rPr>
                <w:rFonts w:ascii="Arial" w:hAnsi="Arial" w:eastAsia="Arial"/>
                <w:b w:val="0"/>
                <w:sz w:val="14"/>
              </w:rPr>
              <w:t>Wound care, dressings, hygiene, and infection</w:t>
            </w:r>
          </w:p>
        </w:tc>
        <w:tc>
          <w:tcPr>
            <w:tcW w:type="dxa" w:w="3096"/>
            <w:vAlign w:val="top"/>
            <w:shd w:fill="F5F9FC"/>
          </w:tcPr>
          <w:p>
            <w:pPr>
              <w:spacing w:after="0"/>
            </w:pPr>
            <w:r/>
            <w:r>
              <w:rPr>
                <w:rFonts w:ascii="Arial" w:hAnsi="Arial" w:eastAsia="Arial"/>
                <w:b w:val="0"/>
                <w:sz w:val="14"/>
              </w:rPr>
              <w:t>Should I leave a burn blister alone, or should it be opened by a doctor?</w:t>
            </w:r>
          </w:p>
        </w:tc>
        <w:tc>
          <w:tcPr>
            <w:tcW w:type="dxa" w:w="7416"/>
            <w:vAlign w:val="top"/>
            <w:shd w:fill="F5F9FC"/>
          </w:tcPr>
          <w:p>
            <w:pPr>
              <w:spacing w:after="0"/>
            </w:pPr>
            <w:r/>
            <w:r>
              <w:rPr>
                <w:rFonts w:ascii="Arial" w:hAnsi="Arial" w:eastAsia="Arial"/>
                <w:b w:val="0"/>
                <w:sz w:val="14"/>
              </w:rPr>
              <w:t>Caregivers should not intentionally burst blisters at home. Blister care depends on size, location, contamination, and whether the blister limits movement or dressing contact. Clinicians may de-roof larger blisters or blisters crossing joints using sterile technique and analgesia.</w:t>
            </w:r>
          </w:p>
        </w:tc>
        <w:tc>
          <w:tcPr>
            <w:tcW w:type="dxa" w:w="2088"/>
            <w:vAlign w:val="top"/>
            <w:shd w:fill="F5F9FC"/>
          </w:tcPr>
          <w:p>
            <w:pPr>
              <w:spacing w:after="0"/>
            </w:pPr>
            <w:r/>
            <w:r>
              <w:rPr>
                <w:rFonts w:ascii="Arial" w:hAnsi="Arial" w:eastAsia="Arial"/>
                <w:b w:val="0"/>
                <w:sz w:val="14"/>
              </w:rPr>
              <w:t>R1; R6; R7; R8; R12; R17</w:t>
            </w:r>
          </w:p>
        </w:tc>
      </w:tr>
      <w:tr>
        <w:trPr>
          <w:cantSplit/>
        </w:trPr>
        <w:tc>
          <w:tcPr>
            <w:tcW w:type="dxa" w:w="504"/>
            <w:vAlign w:val="top"/>
          </w:tcPr>
          <w:p>
            <w:pPr>
              <w:spacing w:after="0"/>
            </w:pPr>
            <w:r/>
            <w:r>
              <w:rPr>
                <w:rFonts w:ascii="Arial" w:hAnsi="Arial" w:eastAsia="Arial"/>
                <w:b w:val="0"/>
                <w:sz w:val="14"/>
              </w:rPr>
              <w:t>15</w:t>
            </w:r>
          </w:p>
        </w:tc>
        <w:tc>
          <w:tcPr>
            <w:tcW w:type="dxa" w:w="1944"/>
            <w:vAlign w:val="top"/>
          </w:tcPr>
          <w:p>
            <w:pPr>
              <w:spacing w:after="0"/>
            </w:pPr>
            <w:r/>
            <w:r>
              <w:rPr>
                <w:rFonts w:ascii="Arial" w:hAnsi="Arial" w:eastAsia="Arial"/>
                <w:b w:val="0"/>
                <w:sz w:val="14"/>
              </w:rPr>
              <w:t>Wound care, dressings, hygiene, and infection</w:t>
            </w:r>
          </w:p>
        </w:tc>
        <w:tc>
          <w:tcPr>
            <w:tcW w:type="dxa" w:w="3096"/>
            <w:vAlign w:val="top"/>
          </w:tcPr>
          <w:p>
            <w:pPr>
              <w:spacing w:after="0"/>
            </w:pPr>
            <w:r/>
            <w:r>
              <w:rPr>
                <w:rFonts w:ascii="Arial" w:hAnsi="Arial" w:eastAsia="Arial"/>
                <w:b w:val="0"/>
                <w:sz w:val="14"/>
              </w:rPr>
              <w:t>Why does the hospital cover my child’s burn with a dressing instead of leaving it open to air?</w:t>
            </w:r>
          </w:p>
        </w:tc>
        <w:tc>
          <w:tcPr>
            <w:tcW w:type="dxa" w:w="7416"/>
            <w:vAlign w:val="top"/>
          </w:tcPr>
          <w:p>
            <w:pPr>
              <w:spacing w:after="0"/>
            </w:pPr>
            <w:r/>
            <w:r>
              <w:rPr>
                <w:rFonts w:ascii="Arial" w:hAnsi="Arial" w:eastAsia="Arial"/>
                <w:b w:val="0"/>
                <w:sz w:val="14"/>
              </w:rPr>
              <w:t>Dressings protect the wound, reduce pain, absorb exudate, lower contamination risk, and support a moist environment for healing. Some superficial burns may need only soft paraffin or simple protection, while deeper burns require specific dressings and planned review.</w:t>
            </w:r>
          </w:p>
        </w:tc>
        <w:tc>
          <w:tcPr>
            <w:tcW w:type="dxa" w:w="2088"/>
            <w:vAlign w:val="top"/>
          </w:tcPr>
          <w:p>
            <w:pPr>
              <w:spacing w:after="0"/>
            </w:pPr>
            <w:r/>
            <w:r>
              <w:rPr>
                <w:rFonts w:ascii="Arial" w:hAnsi="Arial" w:eastAsia="Arial"/>
                <w:b w:val="0"/>
                <w:sz w:val="14"/>
              </w:rPr>
              <w:t>R6; R7; R8; R12; R17; R18</w:t>
            </w:r>
          </w:p>
        </w:tc>
      </w:tr>
      <w:tr>
        <w:trPr>
          <w:cantSplit/>
        </w:trPr>
        <w:tc>
          <w:tcPr>
            <w:tcW w:type="dxa" w:w="504"/>
            <w:vAlign w:val="top"/>
            <w:shd w:fill="F5F9FC"/>
          </w:tcPr>
          <w:p>
            <w:pPr>
              <w:spacing w:after="0"/>
            </w:pPr>
            <w:r/>
            <w:r>
              <w:rPr>
                <w:rFonts w:ascii="Arial" w:hAnsi="Arial" w:eastAsia="Arial"/>
                <w:b w:val="0"/>
                <w:sz w:val="14"/>
              </w:rPr>
              <w:t>16</w:t>
            </w:r>
          </w:p>
        </w:tc>
        <w:tc>
          <w:tcPr>
            <w:tcW w:type="dxa" w:w="1944"/>
            <w:vAlign w:val="top"/>
            <w:shd w:fill="F5F9FC"/>
          </w:tcPr>
          <w:p>
            <w:pPr>
              <w:spacing w:after="0"/>
            </w:pPr>
            <w:r/>
            <w:r>
              <w:rPr>
                <w:rFonts w:ascii="Arial" w:hAnsi="Arial" w:eastAsia="Arial"/>
                <w:b w:val="0"/>
                <w:sz w:val="14"/>
              </w:rPr>
              <w:t>Wound care, dressings, hygiene, and infection</w:t>
            </w:r>
          </w:p>
        </w:tc>
        <w:tc>
          <w:tcPr>
            <w:tcW w:type="dxa" w:w="3096"/>
            <w:vAlign w:val="top"/>
            <w:shd w:fill="F5F9FC"/>
          </w:tcPr>
          <w:p>
            <w:pPr>
              <w:spacing w:after="0"/>
            </w:pPr>
            <w:r/>
            <w:r>
              <w:rPr>
                <w:rFonts w:ascii="Arial" w:hAnsi="Arial" w:eastAsia="Arial"/>
                <w:b w:val="0"/>
                <w:sz w:val="14"/>
              </w:rPr>
              <w:t>What should I do if the dressing gets wet, dirty, loose, or falls off?</w:t>
            </w:r>
          </w:p>
        </w:tc>
        <w:tc>
          <w:tcPr>
            <w:tcW w:type="dxa" w:w="7416"/>
            <w:vAlign w:val="top"/>
            <w:shd w:fill="F5F9FC"/>
          </w:tcPr>
          <w:p>
            <w:pPr>
              <w:spacing w:after="0"/>
            </w:pPr>
            <w:r/>
            <w:r>
              <w:rPr>
                <w:rFonts w:ascii="Arial" w:hAnsi="Arial" w:eastAsia="Arial"/>
                <w:b w:val="0"/>
                <w:sz w:val="14"/>
              </w:rPr>
              <w:t>Keep burn dressings clean and dry. If a dressing becomes wet, dirty, loose, or falls off, cover the burn with a clean non-stick dressing or clean cloth and contact the burn clinic or health service for replacement advice. Do not apply home remedies or adhesive dressings directly to the burn.</w:t>
            </w:r>
          </w:p>
        </w:tc>
        <w:tc>
          <w:tcPr>
            <w:tcW w:type="dxa" w:w="2088"/>
            <w:vAlign w:val="top"/>
            <w:shd w:fill="F5F9FC"/>
          </w:tcPr>
          <w:p>
            <w:pPr>
              <w:spacing w:after="0"/>
            </w:pPr>
            <w:r/>
            <w:r>
              <w:rPr>
                <w:rFonts w:ascii="Arial" w:hAnsi="Arial" w:eastAsia="Arial"/>
                <w:b w:val="0"/>
                <w:sz w:val="14"/>
              </w:rPr>
              <w:t>R4; R6; R7; R8; R12; R17</w:t>
            </w:r>
          </w:p>
        </w:tc>
      </w:tr>
      <w:tr>
        <w:trPr>
          <w:cantSplit/>
        </w:trPr>
        <w:tc>
          <w:tcPr>
            <w:tcW w:type="dxa" w:w="504"/>
            <w:vAlign w:val="top"/>
          </w:tcPr>
          <w:p>
            <w:pPr>
              <w:spacing w:after="0"/>
            </w:pPr>
            <w:r/>
            <w:r>
              <w:rPr>
                <w:rFonts w:ascii="Arial" w:hAnsi="Arial" w:eastAsia="Arial"/>
                <w:b w:val="0"/>
                <w:sz w:val="14"/>
              </w:rPr>
              <w:t>17</w:t>
            </w:r>
          </w:p>
        </w:tc>
        <w:tc>
          <w:tcPr>
            <w:tcW w:type="dxa" w:w="1944"/>
            <w:vAlign w:val="top"/>
          </w:tcPr>
          <w:p>
            <w:pPr>
              <w:spacing w:after="0"/>
            </w:pPr>
            <w:r/>
            <w:r>
              <w:rPr>
                <w:rFonts w:ascii="Arial" w:hAnsi="Arial" w:eastAsia="Arial"/>
                <w:b w:val="0"/>
                <w:sz w:val="14"/>
              </w:rPr>
              <w:t>Wound care, dressings, hygiene, and infection</w:t>
            </w:r>
          </w:p>
        </w:tc>
        <w:tc>
          <w:tcPr>
            <w:tcW w:type="dxa" w:w="3096"/>
            <w:vAlign w:val="top"/>
          </w:tcPr>
          <w:p>
            <w:pPr>
              <w:spacing w:after="0"/>
            </w:pPr>
            <w:r/>
            <w:r>
              <w:rPr>
                <w:rFonts w:ascii="Arial" w:hAnsi="Arial" w:eastAsia="Arial"/>
                <w:b w:val="0"/>
                <w:sz w:val="14"/>
              </w:rPr>
              <w:t>Can my child bathe or shower while the burn dressing is on?</w:t>
            </w:r>
          </w:p>
        </w:tc>
        <w:tc>
          <w:tcPr>
            <w:tcW w:type="dxa" w:w="7416"/>
            <w:vAlign w:val="top"/>
          </w:tcPr>
          <w:p>
            <w:pPr>
              <w:spacing w:after="0"/>
            </w:pPr>
            <w:r/>
            <w:r>
              <w:rPr>
                <w:rFonts w:ascii="Arial" w:hAnsi="Arial" w:eastAsia="Arial"/>
                <w:b w:val="0"/>
                <w:sz w:val="14"/>
              </w:rPr>
              <w:t>Follow the burn team’s dressing instructions. Many dressings should be kept dry because soaking can loosen them and increase contamination. If washing is allowed, protect the dressing and avoid rubbing the wound. Bathing or showering during dressing changes should be guided by clinicians.</w:t>
            </w:r>
          </w:p>
        </w:tc>
        <w:tc>
          <w:tcPr>
            <w:tcW w:type="dxa" w:w="2088"/>
            <w:vAlign w:val="top"/>
          </w:tcPr>
          <w:p>
            <w:pPr>
              <w:spacing w:after="0"/>
            </w:pPr>
            <w:r/>
            <w:r>
              <w:rPr>
                <w:rFonts w:ascii="Arial" w:hAnsi="Arial" w:eastAsia="Arial"/>
                <w:b w:val="0"/>
                <w:sz w:val="14"/>
              </w:rPr>
              <w:t>R6; R7; R8; R12</w:t>
            </w:r>
          </w:p>
        </w:tc>
      </w:tr>
      <w:tr>
        <w:trPr>
          <w:cantSplit/>
        </w:trPr>
        <w:tc>
          <w:tcPr>
            <w:tcW w:type="dxa" w:w="504"/>
            <w:vAlign w:val="top"/>
            <w:shd w:fill="F5F9FC"/>
          </w:tcPr>
          <w:p>
            <w:pPr>
              <w:spacing w:after="0"/>
            </w:pPr>
            <w:r/>
            <w:r>
              <w:rPr>
                <w:rFonts w:ascii="Arial" w:hAnsi="Arial" w:eastAsia="Arial"/>
                <w:b w:val="0"/>
                <w:sz w:val="14"/>
              </w:rPr>
              <w:t>18</w:t>
            </w:r>
          </w:p>
        </w:tc>
        <w:tc>
          <w:tcPr>
            <w:tcW w:type="dxa" w:w="1944"/>
            <w:vAlign w:val="top"/>
            <w:shd w:fill="F5F9FC"/>
          </w:tcPr>
          <w:p>
            <w:pPr>
              <w:spacing w:after="0"/>
            </w:pPr>
            <w:r/>
            <w:r>
              <w:rPr>
                <w:rFonts w:ascii="Arial" w:hAnsi="Arial" w:eastAsia="Arial"/>
                <w:b w:val="0"/>
                <w:sz w:val="14"/>
              </w:rPr>
              <w:t>Wound care, dressings, hygiene, and infection</w:t>
            </w:r>
          </w:p>
        </w:tc>
        <w:tc>
          <w:tcPr>
            <w:tcW w:type="dxa" w:w="3096"/>
            <w:vAlign w:val="top"/>
            <w:shd w:fill="F5F9FC"/>
          </w:tcPr>
          <w:p>
            <w:pPr>
              <w:spacing w:after="0"/>
            </w:pPr>
            <w:r/>
            <w:r>
              <w:rPr>
                <w:rFonts w:ascii="Arial" w:hAnsi="Arial" w:eastAsia="Arial"/>
                <w:b w:val="0"/>
                <w:sz w:val="14"/>
              </w:rPr>
              <w:t>Is green-gray fluid or leakage from a silver dressing always a sign of infection?</w:t>
            </w:r>
          </w:p>
        </w:tc>
        <w:tc>
          <w:tcPr>
            <w:tcW w:type="dxa" w:w="7416"/>
            <w:vAlign w:val="top"/>
            <w:shd w:fill="F5F9FC"/>
          </w:tcPr>
          <w:p>
            <w:pPr>
              <w:spacing w:after="0"/>
            </w:pPr>
            <w:r/>
            <w:r>
              <w:rPr>
                <w:rFonts w:ascii="Arial" w:hAnsi="Arial" w:eastAsia="Arial"/>
                <w:b w:val="0"/>
                <w:sz w:val="14"/>
              </w:rPr>
              <w:t>No. Some silver-containing dressings can produce gray, green-gray, or dark fluid/discoloration as they interact with wound fluid. Infection is judged by the whole picture: spreading redness, warmth, increasing pain, swelling, odor, pus, fever, wound deterioration, or poor healing.</w:t>
            </w:r>
          </w:p>
        </w:tc>
        <w:tc>
          <w:tcPr>
            <w:tcW w:type="dxa" w:w="2088"/>
            <w:vAlign w:val="top"/>
            <w:shd w:fill="F5F9FC"/>
          </w:tcPr>
          <w:p>
            <w:pPr>
              <w:spacing w:after="0"/>
            </w:pPr>
            <w:r/>
            <w:r>
              <w:rPr>
                <w:rFonts w:ascii="Arial" w:hAnsi="Arial" w:eastAsia="Arial"/>
                <w:b w:val="0"/>
                <w:sz w:val="14"/>
              </w:rPr>
              <w:t>R7; R17; R18</w:t>
            </w:r>
          </w:p>
        </w:tc>
      </w:tr>
      <w:tr>
        <w:trPr>
          <w:cantSplit/>
        </w:trPr>
        <w:tc>
          <w:tcPr>
            <w:tcW w:type="dxa" w:w="504"/>
            <w:vAlign w:val="top"/>
          </w:tcPr>
          <w:p>
            <w:pPr>
              <w:spacing w:after="0"/>
            </w:pPr>
            <w:r/>
            <w:r>
              <w:rPr>
                <w:rFonts w:ascii="Arial" w:hAnsi="Arial" w:eastAsia="Arial"/>
                <w:b w:val="0"/>
                <w:sz w:val="14"/>
              </w:rPr>
              <w:t>19</w:t>
            </w:r>
          </w:p>
        </w:tc>
        <w:tc>
          <w:tcPr>
            <w:tcW w:type="dxa" w:w="1944"/>
            <w:vAlign w:val="top"/>
          </w:tcPr>
          <w:p>
            <w:pPr>
              <w:spacing w:after="0"/>
            </w:pPr>
            <w:r/>
            <w:r>
              <w:rPr>
                <w:rFonts w:ascii="Arial" w:hAnsi="Arial" w:eastAsia="Arial"/>
                <w:b w:val="0"/>
                <w:sz w:val="14"/>
              </w:rPr>
              <w:t>Wound care, dressings, hygiene, and infection</w:t>
            </w:r>
          </w:p>
        </w:tc>
        <w:tc>
          <w:tcPr>
            <w:tcW w:type="dxa" w:w="3096"/>
            <w:vAlign w:val="top"/>
          </w:tcPr>
          <w:p>
            <w:pPr>
              <w:spacing w:after="0"/>
            </w:pPr>
            <w:r/>
            <w:r>
              <w:rPr>
                <w:rFonts w:ascii="Arial" w:hAnsi="Arial" w:eastAsia="Arial"/>
                <w:b w:val="0"/>
                <w:sz w:val="14"/>
              </w:rPr>
              <w:t>What signs of infection should I watch for while my child’s burn is healing?</w:t>
            </w:r>
          </w:p>
        </w:tc>
        <w:tc>
          <w:tcPr>
            <w:tcW w:type="dxa" w:w="7416"/>
            <w:vAlign w:val="top"/>
          </w:tcPr>
          <w:p>
            <w:pPr>
              <w:spacing w:after="0"/>
            </w:pPr>
            <w:r/>
            <w:r>
              <w:rPr>
                <w:rFonts w:ascii="Arial" w:hAnsi="Arial" w:eastAsia="Arial"/>
                <w:b w:val="0"/>
                <w:sz w:val="14"/>
              </w:rPr>
              <w:t>Watch for spreading redness, warmth, swelling, increasing pain, increasing or foul-smelling discharge, new slough or wound deterioration, fever, lethargy, vomiting/diarrhea, poor drinking, or fast deterioration. Toxic shock syndrome can occur even with smaller pediatric burns and needs urgent care.</w:t>
            </w:r>
          </w:p>
        </w:tc>
        <w:tc>
          <w:tcPr>
            <w:tcW w:type="dxa" w:w="2088"/>
            <w:vAlign w:val="top"/>
          </w:tcPr>
          <w:p>
            <w:pPr>
              <w:spacing w:after="0"/>
            </w:pPr>
            <w:r/>
            <w:r>
              <w:rPr>
                <w:rFonts w:ascii="Arial" w:hAnsi="Arial" w:eastAsia="Arial"/>
                <w:b w:val="0"/>
                <w:sz w:val="14"/>
              </w:rPr>
              <w:t>R6; R7; R8; R12; R13; R14</w:t>
            </w:r>
          </w:p>
        </w:tc>
      </w:tr>
      <w:tr>
        <w:trPr>
          <w:cantSplit/>
        </w:trPr>
        <w:tc>
          <w:tcPr>
            <w:tcW w:type="dxa" w:w="504"/>
            <w:vAlign w:val="top"/>
            <w:shd w:fill="F5F9FC"/>
          </w:tcPr>
          <w:p>
            <w:pPr>
              <w:spacing w:after="0"/>
            </w:pPr>
            <w:r/>
            <w:r>
              <w:rPr>
                <w:rFonts w:ascii="Arial" w:hAnsi="Arial" w:eastAsia="Arial"/>
                <w:b w:val="0"/>
                <w:sz w:val="14"/>
              </w:rPr>
              <w:t>20</w:t>
            </w:r>
          </w:p>
        </w:tc>
        <w:tc>
          <w:tcPr>
            <w:tcW w:type="dxa" w:w="1944"/>
            <w:vAlign w:val="top"/>
            <w:shd w:fill="F5F9FC"/>
          </w:tcPr>
          <w:p>
            <w:pPr>
              <w:spacing w:after="0"/>
            </w:pPr>
            <w:r/>
            <w:r>
              <w:rPr>
                <w:rFonts w:ascii="Arial" w:hAnsi="Arial" w:eastAsia="Arial"/>
                <w:b w:val="0"/>
                <w:sz w:val="14"/>
              </w:rPr>
              <w:t>Wound care, dressings, hygiene, and infection</w:t>
            </w:r>
          </w:p>
        </w:tc>
        <w:tc>
          <w:tcPr>
            <w:tcW w:type="dxa" w:w="3096"/>
            <w:vAlign w:val="top"/>
            <w:shd w:fill="F5F9FC"/>
          </w:tcPr>
          <w:p>
            <w:pPr>
              <w:spacing w:after="0"/>
            </w:pPr>
            <w:r/>
            <w:r>
              <w:rPr>
                <w:rFonts w:ascii="Arial" w:hAnsi="Arial" w:eastAsia="Arial"/>
                <w:b w:val="0"/>
                <w:sz w:val="14"/>
              </w:rPr>
              <w:t>How should I care for a burn on my child’s face when a dressing will not stay on?</w:t>
            </w:r>
          </w:p>
        </w:tc>
        <w:tc>
          <w:tcPr>
            <w:tcW w:type="dxa" w:w="7416"/>
            <w:vAlign w:val="top"/>
            <w:shd w:fill="F5F9FC"/>
          </w:tcPr>
          <w:p>
            <w:pPr>
              <w:spacing w:after="0"/>
            </w:pPr>
            <w:r/>
            <w:r>
              <w:rPr>
                <w:rFonts w:ascii="Arial" w:hAnsi="Arial" w:eastAsia="Arial"/>
                <w:b w:val="0"/>
                <w:sz w:val="14"/>
              </w:rPr>
              <w:t>Facial burns are often managed with gentle cleaning and frequent soft paraffin/ointment rather than standard dressings. Do not apply cling film to facial burns. Eye, ear, airway, or deep facial involvement requires specialist assessment; ocular burns may need irrigation and ophthalmology review.</w:t>
            </w:r>
          </w:p>
        </w:tc>
        <w:tc>
          <w:tcPr>
            <w:tcW w:type="dxa" w:w="2088"/>
            <w:vAlign w:val="top"/>
            <w:shd w:fill="F5F9FC"/>
          </w:tcPr>
          <w:p>
            <w:pPr>
              <w:spacing w:after="0"/>
            </w:pPr>
            <w:r/>
            <w:r>
              <w:rPr>
                <w:rFonts w:ascii="Arial" w:hAnsi="Arial" w:eastAsia="Arial"/>
                <w:b w:val="0"/>
                <w:sz w:val="14"/>
              </w:rPr>
              <w:t>R6; R7; R8; R9</w:t>
            </w:r>
          </w:p>
        </w:tc>
      </w:tr>
      <w:tr>
        <w:trPr>
          <w:cantSplit/>
        </w:trPr>
        <w:tc>
          <w:tcPr>
            <w:tcW w:type="dxa" w:w="504"/>
            <w:vAlign w:val="top"/>
          </w:tcPr>
          <w:p>
            <w:pPr>
              <w:spacing w:after="0"/>
            </w:pPr>
            <w:r/>
            <w:r>
              <w:rPr>
                <w:rFonts w:ascii="Arial" w:hAnsi="Arial" w:eastAsia="Arial"/>
                <w:b w:val="0"/>
                <w:sz w:val="14"/>
              </w:rPr>
              <w:t>21</w:t>
            </w:r>
          </w:p>
        </w:tc>
        <w:tc>
          <w:tcPr>
            <w:tcW w:type="dxa" w:w="1944"/>
            <w:vAlign w:val="top"/>
          </w:tcPr>
          <w:p>
            <w:pPr>
              <w:spacing w:after="0"/>
            </w:pPr>
            <w:r/>
            <w:r>
              <w:rPr>
                <w:rFonts w:ascii="Arial" w:hAnsi="Arial" w:eastAsia="Arial"/>
                <w:b w:val="0"/>
                <w:sz w:val="14"/>
              </w:rPr>
              <w:t>Pain, procedures, fluids, and surgery</w:t>
            </w:r>
          </w:p>
        </w:tc>
        <w:tc>
          <w:tcPr>
            <w:tcW w:type="dxa" w:w="3096"/>
            <w:vAlign w:val="top"/>
          </w:tcPr>
          <w:p>
            <w:pPr>
              <w:spacing w:after="0"/>
            </w:pPr>
            <w:r/>
            <w:r>
              <w:rPr>
                <w:rFonts w:ascii="Arial" w:hAnsi="Arial" w:eastAsia="Arial"/>
                <w:b w:val="0"/>
                <w:sz w:val="14"/>
              </w:rPr>
              <w:t>Why does my child need pain medicine before dressing changes or wound cleaning?</w:t>
            </w:r>
          </w:p>
        </w:tc>
        <w:tc>
          <w:tcPr>
            <w:tcW w:type="dxa" w:w="7416"/>
            <w:vAlign w:val="top"/>
          </w:tcPr>
          <w:p>
            <w:pPr>
              <w:spacing w:after="0"/>
            </w:pPr>
            <w:r/>
            <w:r>
              <w:rPr>
                <w:rFonts w:ascii="Arial" w:hAnsi="Arial" w:eastAsia="Arial"/>
                <w:b w:val="0"/>
                <w:sz w:val="14"/>
              </w:rPr>
              <w:t>Burn cleaning and dressing changes can be very painful. Adequate pre-emptive analgesia improves comfort, allows proper assessment and cleaning, supports mobilization and exercises, and reduces anxiety-related distress. Pain plans should be age-appropriate and supervised by clinicians.</w:t>
            </w:r>
          </w:p>
        </w:tc>
        <w:tc>
          <w:tcPr>
            <w:tcW w:type="dxa" w:w="2088"/>
            <w:vAlign w:val="top"/>
          </w:tcPr>
          <w:p>
            <w:pPr>
              <w:spacing w:after="0"/>
            </w:pPr>
            <w:r/>
            <w:r>
              <w:rPr>
                <w:rFonts w:ascii="Arial" w:hAnsi="Arial" w:eastAsia="Arial"/>
                <w:b w:val="0"/>
                <w:sz w:val="14"/>
              </w:rPr>
              <w:t>R6; R7; R15</w:t>
            </w:r>
          </w:p>
        </w:tc>
      </w:tr>
      <w:tr>
        <w:trPr>
          <w:cantSplit/>
        </w:trPr>
        <w:tc>
          <w:tcPr>
            <w:tcW w:type="dxa" w:w="504"/>
            <w:vAlign w:val="top"/>
            <w:shd w:fill="F5F9FC"/>
          </w:tcPr>
          <w:p>
            <w:pPr>
              <w:spacing w:after="0"/>
            </w:pPr>
            <w:r/>
            <w:r>
              <w:rPr>
                <w:rFonts w:ascii="Arial" w:hAnsi="Arial" w:eastAsia="Arial"/>
                <w:b w:val="0"/>
                <w:sz w:val="14"/>
              </w:rPr>
              <w:t>22</w:t>
            </w:r>
          </w:p>
        </w:tc>
        <w:tc>
          <w:tcPr>
            <w:tcW w:type="dxa" w:w="1944"/>
            <w:vAlign w:val="top"/>
            <w:shd w:fill="F5F9FC"/>
          </w:tcPr>
          <w:p>
            <w:pPr>
              <w:spacing w:after="0"/>
            </w:pPr>
            <w:r/>
            <w:r>
              <w:rPr>
                <w:rFonts w:ascii="Arial" w:hAnsi="Arial" w:eastAsia="Arial"/>
                <w:b w:val="0"/>
                <w:sz w:val="14"/>
              </w:rPr>
              <w:t>Pain, procedures, fluids, and surgery</w:t>
            </w:r>
          </w:p>
        </w:tc>
        <w:tc>
          <w:tcPr>
            <w:tcW w:type="dxa" w:w="3096"/>
            <w:vAlign w:val="top"/>
            <w:shd w:fill="F5F9FC"/>
          </w:tcPr>
          <w:p>
            <w:pPr>
              <w:spacing w:after="0"/>
            </w:pPr>
            <w:r/>
            <w:r>
              <w:rPr>
                <w:rFonts w:ascii="Arial" w:hAnsi="Arial" w:eastAsia="Arial"/>
                <w:b w:val="0"/>
                <w:sz w:val="14"/>
              </w:rPr>
              <w:t>What can help my child cope if dressing changes are painful or frightening?</w:t>
            </w:r>
          </w:p>
        </w:tc>
        <w:tc>
          <w:tcPr>
            <w:tcW w:type="dxa" w:w="7416"/>
            <w:vAlign w:val="top"/>
            <w:shd w:fill="F5F9FC"/>
          </w:tcPr>
          <w:p>
            <w:pPr>
              <w:spacing w:after="0"/>
            </w:pPr>
            <w:r/>
            <w:r>
              <w:rPr>
                <w:rFonts w:ascii="Arial" w:hAnsi="Arial" w:eastAsia="Arial"/>
                <w:b w:val="0"/>
                <w:sz w:val="14"/>
              </w:rPr>
              <w:t>Use planned analgesia, clear explanations at the child’s level, caregiver presence, distraction, therapeutic play, relaxation/breathing, and child-life or psychology support when available. Anxiety and distress increase pain and reduce cooperation, so emotional support is part of burn care.</w:t>
            </w:r>
          </w:p>
        </w:tc>
        <w:tc>
          <w:tcPr>
            <w:tcW w:type="dxa" w:w="2088"/>
            <w:vAlign w:val="top"/>
            <w:shd w:fill="F5F9FC"/>
          </w:tcPr>
          <w:p>
            <w:pPr>
              <w:spacing w:after="0"/>
            </w:pPr>
            <w:r/>
            <w:r>
              <w:rPr>
                <w:rFonts w:ascii="Arial" w:hAnsi="Arial" w:eastAsia="Arial"/>
                <w:b w:val="0"/>
                <w:sz w:val="14"/>
              </w:rPr>
              <w:t>R7; R9; R10; R15</w:t>
            </w:r>
          </w:p>
        </w:tc>
      </w:tr>
      <w:tr>
        <w:trPr>
          <w:cantSplit/>
        </w:trPr>
        <w:tc>
          <w:tcPr>
            <w:tcW w:type="dxa" w:w="504"/>
            <w:vAlign w:val="top"/>
          </w:tcPr>
          <w:p>
            <w:pPr>
              <w:spacing w:after="0"/>
            </w:pPr>
            <w:r/>
            <w:r>
              <w:rPr>
                <w:rFonts w:ascii="Arial" w:hAnsi="Arial" w:eastAsia="Arial"/>
                <w:b w:val="0"/>
                <w:sz w:val="14"/>
              </w:rPr>
              <w:t>23</w:t>
            </w:r>
          </w:p>
        </w:tc>
        <w:tc>
          <w:tcPr>
            <w:tcW w:type="dxa" w:w="1944"/>
            <w:vAlign w:val="top"/>
          </w:tcPr>
          <w:p>
            <w:pPr>
              <w:spacing w:after="0"/>
            </w:pPr>
            <w:r/>
            <w:r>
              <w:rPr>
                <w:rFonts w:ascii="Arial" w:hAnsi="Arial" w:eastAsia="Arial"/>
                <w:b w:val="0"/>
                <w:sz w:val="14"/>
              </w:rPr>
              <w:t>Pain, procedures, fluids, and surgery</w:t>
            </w:r>
          </w:p>
        </w:tc>
        <w:tc>
          <w:tcPr>
            <w:tcW w:type="dxa" w:w="3096"/>
            <w:vAlign w:val="top"/>
          </w:tcPr>
          <w:p>
            <w:pPr>
              <w:spacing w:after="0"/>
            </w:pPr>
            <w:r/>
            <w:r>
              <w:rPr>
                <w:rFonts w:ascii="Arial" w:hAnsi="Arial" w:eastAsia="Arial"/>
                <w:b w:val="0"/>
                <w:sz w:val="14"/>
              </w:rPr>
              <w:t>Why might my child need sedation, laughing gas, or anesthesia for dressing changes?</w:t>
            </w:r>
          </w:p>
        </w:tc>
        <w:tc>
          <w:tcPr>
            <w:tcW w:type="dxa" w:w="7416"/>
            <w:vAlign w:val="top"/>
          </w:tcPr>
          <w:p>
            <w:pPr>
              <w:spacing w:after="0"/>
            </w:pPr>
            <w:r/>
            <w:r>
              <w:rPr>
                <w:rFonts w:ascii="Arial" w:hAnsi="Arial" w:eastAsia="Arial"/>
                <w:b w:val="0"/>
                <w:sz w:val="14"/>
              </w:rPr>
              <w:t>Some burns require debridement, complex dressing changes, or graft-related care that cannot be done safely or humanely with simple pain medicine alone. Procedural sedation, nitrous oxide, or anesthesia may reduce pain, fear, movement, and trauma, but must be delivered by trained staff with monitoring.</w:t>
            </w:r>
          </w:p>
        </w:tc>
        <w:tc>
          <w:tcPr>
            <w:tcW w:type="dxa" w:w="2088"/>
            <w:vAlign w:val="top"/>
          </w:tcPr>
          <w:p>
            <w:pPr>
              <w:spacing w:after="0"/>
            </w:pPr>
            <w:r/>
            <w:r>
              <w:rPr>
                <w:rFonts w:ascii="Arial" w:hAnsi="Arial" w:eastAsia="Arial"/>
                <w:b w:val="0"/>
                <w:sz w:val="14"/>
              </w:rPr>
              <w:t>R6; R7; R15</w:t>
            </w:r>
          </w:p>
        </w:tc>
      </w:tr>
      <w:tr>
        <w:trPr>
          <w:cantSplit/>
        </w:trPr>
        <w:tc>
          <w:tcPr>
            <w:tcW w:type="dxa" w:w="504"/>
            <w:vAlign w:val="top"/>
            <w:shd w:fill="F5F9FC"/>
          </w:tcPr>
          <w:p>
            <w:pPr>
              <w:spacing w:after="0"/>
            </w:pPr>
            <w:r/>
            <w:r>
              <w:rPr>
                <w:rFonts w:ascii="Arial" w:hAnsi="Arial" w:eastAsia="Arial"/>
                <w:b w:val="0"/>
                <w:sz w:val="14"/>
              </w:rPr>
              <w:t>24</w:t>
            </w:r>
          </w:p>
        </w:tc>
        <w:tc>
          <w:tcPr>
            <w:tcW w:type="dxa" w:w="1944"/>
            <w:vAlign w:val="top"/>
            <w:shd w:fill="F5F9FC"/>
          </w:tcPr>
          <w:p>
            <w:pPr>
              <w:spacing w:after="0"/>
            </w:pPr>
            <w:r/>
            <w:r>
              <w:rPr>
                <w:rFonts w:ascii="Arial" w:hAnsi="Arial" w:eastAsia="Arial"/>
                <w:b w:val="0"/>
                <w:sz w:val="14"/>
              </w:rPr>
              <w:t>Pain, procedures, fluids, and surgery</w:t>
            </w:r>
          </w:p>
        </w:tc>
        <w:tc>
          <w:tcPr>
            <w:tcW w:type="dxa" w:w="3096"/>
            <w:vAlign w:val="top"/>
            <w:shd w:fill="F5F9FC"/>
          </w:tcPr>
          <w:p>
            <w:pPr>
              <w:spacing w:after="0"/>
            </w:pPr>
            <w:r/>
            <w:r>
              <w:rPr>
                <w:rFonts w:ascii="Arial" w:hAnsi="Arial" w:eastAsia="Arial"/>
                <w:b w:val="0"/>
                <w:sz w:val="14"/>
              </w:rPr>
              <w:t>Why do some children with larger burns need IV fluids and close monitoring?</w:t>
            </w:r>
          </w:p>
        </w:tc>
        <w:tc>
          <w:tcPr>
            <w:tcW w:type="dxa" w:w="7416"/>
            <w:vAlign w:val="top"/>
            <w:shd w:fill="F5F9FC"/>
          </w:tcPr>
          <w:p>
            <w:pPr>
              <w:spacing w:after="0"/>
            </w:pPr>
            <w:r/>
            <w:r>
              <w:rPr>
                <w:rFonts w:ascii="Arial" w:hAnsi="Arial" w:eastAsia="Arial"/>
                <w:b w:val="0"/>
                <w:sz w:val="14"/>
              </w:rPr>
              <w:t>Larger burns cause capillary leak, swelling, heat loss, and fluid shifts that can lead to shock and organ underperfusion. Pediatric burns around or above 10% TBSA often require calculated IV fluids, temperature control, urine-output monitoring, electrolytes, glucose assessment, and close burn-team review.</w:t>
            </w:r>
          </w:p>
        </w:tc>
        <w:tc>
          <w:tcPr>
            <w:tcW w:type="dxa" w:w="2088"/>
            <w:vAlign w:val="top"/>
            <w:shd w:fill="F5F9FC"/>
          </w:tcPr>
          <w:p>
            <w:pPr>
              <w:spacing w:after="0"/>
            </w:pPr>
            <w:r/>
            <w:r>
              <w:rPr>
                <w:rFonts w:ascii="Arial" w:hAnsi="Arial" w:eastAsia="Arial"/>
                <w:b w:val="0"/>
                <w:sz w:val="14"/>
              </w:rPr>
              <w:t>R6; R7; R13; R14</w:t>
            </w:r>
          </w:p>
        </w:tc>
      </w:tr>
      <w:tr>
        <w:trPr>
          <w:cantSplit/>
        </w:trPr>
        <w:tc>
          <w:tcPr>
            <w:tcW w:type="dxa" w:w="504"/>
            <w:vAlign w:val="top"/>
          </w:tcPr>
          <w:p>
            <w:pPr>
              <w:spacing w:after="0"/>
            </w:pPr>
            <w:r/>
            <w:r>
              <w:rPr>
                <w:rFonts w:ascii="Arial" w:hAnsi="Arial" w:eastAsia="Arial"/>
                <w:b w:val="0"/>
                <w:sz w:val="14"/>
              </w:rPr>
              <w:t>25</w:t>
            </w:r>
          </w:p>
        </w:tc>
        <w:tc>
          <w:tcPr>
            <w:tcW w:type="dxa" w:w="1944"/>
            <w:vAlign w:val="top"/>
          </w:tcPr>
          <w:p>
            <w:pPr>
              <w:spacing w:after="0"/>
            </w:pPr>
            <w:r/>
            <w:r>
              <w:rPr>
                <w:rFonts w:ascii="Arial" w:hAnsi="Arial" w:eastAsia="Arial"/>
                <w:b w:val="0"/>
                <w:sz w:val="14"/>
              </w:rPr>
              <w:t>Pain, procedures, fluids, and surgery</w:t>
            </w:r>
          </w:p>
        </w:tc>
        <w:tc>
          <w:tcPr>
            <w:tcW w:type="dxa" w:w="3096"/>
            <w:vAlign w:val="top"/>
          </w:tcPr>
          <w:p>
            <w:pPr>
              <w:spacing w:after="0"/>
            </w:pPr>
            <w:r/>
            <w:r>
              <w:rPr>
                <w:rFonts w:ascii="Arial" w:hAnsi="Arial" w:eastAsia="Arial"/>
                <w:b w:val="0"/>
                <w:sz w:val="14"/>
              </w:rPr>
              <w:t>Why might a burn need surgery or a skin graft instead of just dressings?</w:t>
            </w:r>
          </w:p>
        </w:tc>
        <w:tc>
          <w:tcPr>
            <w:tcW w:type="dxa" w:w="7416"/>
            <w:vAlign w:val="top"/>
          </w:tcPr>
          <w:p>
            <w:pPr>
              <w:spacing w:after="0"/>
            </w:pPr>
            <w:r/>
            <w:r>
              <w:rPr>
                <w:rFonts w:ascii="Arial" w:hAnsi="Arial" w:eastAsia="Arial"/>
                <w:b w:val="0"/>
                <w:sz w:val="14"/>
              </w:rPr>
              <w:t>Deep dermal and full-thickness burns may lack enough skin cells to heal well from the base of the wound. Surgery or skin grafting may be needed to close the wound, reduce infection risk, shorten prolonged open-wound care, limit scarring/contracture, and improve function and appearance.</w:t>
            </w:r>
          </w:p>
        </w:tc>
        <w:tc>
          <w:tcPr>
            <w:tcW w:type="dxa" w:w="2088"/>
            <w:vAlign w:val="top"/>
          </w:tcPr>
          <w:p>
            <w:pPr>
              <w:spacing w:after="0"/>
            </w:pPr>
            <w:r/>
            <w:r>
              <w:rPr>
                <w:rFonts w:ascii="Arial" w:hAnsi="Arial" w:eastAsia="Arial"/>
                <w:b w:val="0"/>
                <w:sz w:val="14"/>
              </w:rPr>
              <w:t>R6; R7; R9; R13; R14</w:t>
            </w:r>
          </w:p>
        </w:tc>
      </w:tr>
      <w:tr>
        <w:trPr>
          <w:cantSplit/>
        </w:trPr>
        <w:tc>
          <w:tcPr>
            <w:tcW w:type="dxa" w:w="504"/>
            <w:vAlign w:val="top"/>
            <w:shd w:fill="F5F9FC"/>
          </w:tcPr>
          <w:p>
            <w:pPr>
              <w:spacing w:after="0"/>
            </w:pPr>
            <w:r/>
            <w:r>
              <w:rPr>
                <w:rFonts w:ascii="Arial" w:hAnsi="Arial" w:eastAsia="Arial"/>
                <w:b w:val="0"/>
                <w:sz w:val="14"/>
              </w:rPr>
              <w:t>26</w:t>
            </w:r>
          </w:p>
        </w:tc>
        <w:tc>
          <w:tcPr>
            <w:tcW w:type="dxa" w:w="1944"/>
            <w:vAlign w:val="top"/>
            <w:shd w:fill="F5F9FC"/>
          </w:tcPr>
          <w:p>
            <w:pPr>
              <w:spacing w:after="0"/>
            </w:pPr>
            <w:r/>
            <w:r>
              <w:rPr>
                <w:rFonts w:ascii="Arial" w:hAnsi="Arial" w:eastAsia="Arial"/>
                <w:b w:val="0"/>
                <w:sz w:val="14"/>
              </w:rPr>
              <w:t>Nutrition, symptoms after discharge, and general recovery</w:t>
            </w:r>
          </w:p>
        </w:tc>
        <w:tc>
          <w:tcPr>
            <w:tcW w:type="dxa" w:w="3096"/>
            <w:vAlign w:val="top"/>
            <w:shd w:fill="F5F9FC"/>
          </w:tcPr>
          <w:p>
            <w:pPr>
              <w:spacing w:after="0"/>
            </w:pPr>
            <w:r/>
            <w:r>
              <w:rPr>
                <w:rFonts w:ascii="Arial" w:hAnsi="Arial" w:eastAsia="Arial"/>
                <w:b w:val="0"/>
                <w:sz w:val="14"/>
              </w:rPr>
              <w:t>What should my child eat and drink to help the burn heal?</w:t>
            </w:r>
          </w:p>
        </w:tc>
        <w:tc>
          <w:tcPr>
            <w:tcW w:type="dxa" w:w="7416"/>
            <w:vAlign w:val="top"/>
            <w:shd w:fill="F5F9FC"/>
          </w:tcPr>
          <w:p>
            <w:pPr>
              <w:spacing w:after="0"/>
            </w:pPr>
            <w:r/>
            <w:r>
              <w:rPr>
                <w:rFonts w:ascii="Arial" w:hAnsi="Arial" w:eastAsia="Arial"/>
                <w:b w:val="0"/>
                <w:sz w:val="14"/>
              </w:rPr>
              <w:t>Children need enough fluids, calories, protein, and micronutrients to heal. A balanced diet with protein foods, fruits, vegetables, dairy or fortified alternatives, and adequate fluids is appropriate for small burns; larger burns may need dietitian input, supplements, or tube feeding.</w:t>
            </w:r>
          </w:p>
        </w:tc>
        <w:tc>
          <w:tcPr>
            <w:tcW w:type="dxa" w:w="2088"/>
            <w:vAlign w:val="top"/>
            <w:shd w:fill="F5F9FC"/>
          </w:tcPr>
          <w:p>
            <w:pPr>
              <w:spacing w:after="0"/>
            </w:pPr>
            <w:r/>
            <w:r>
              <w:rPr>
                <w:rFonts w:ascii="Arial" w:hAnsi="Arial" w:eastAsia="Arial"/>
                <w:b w:val="0"/>
                <w:sz w:val="14"/>
              </w:rPr>
              <w:t>R7; R13; R14; R20</w:t>
            </w:r>
          </w:p>
        </w:tc>
      </w:tr>
      <w:tr>
        <w:trPr>
          <w:cantSplit/>
        </w:trPr>
        <w:tc>
          <w:tcPr>
            <w:tcW w:type="dxa" w:w="504"/>
            <w:vAlign w:val="top"/>
          </w:tcPr>
          <w:p>
            <w:pPr>
              <w:spacing w:after="0"/>
            </w:pPr>
            <w:r/>
            <w:r>
              <w:rPr>
                <w:rFonts w:ascii="Arial" w:hAnsi="Arial" w:eastAsia="Arial"/>
                <w:b w:val="0"/>
                <w:sz w:val="14"/>
              </w:rPr>
              <w:t>27</w:t>
            </w:r>
          </w:p>
        </w:tc>
        <w:tc>
          <w:tcPr>
            <w:tcW w:type="dxa" w:w="1944"/>
            <w:vAlign w:val="top"/>
          </w:tcPr>
          <w:p>
            <w:pPr>
              <w:spacing w:after="0"/>
            </w:pPr>
            <w:r/>
            <w:r>
              <w:rPr>
                <w:rFonts w:ascii="Arial" w:hAnsi="Arial" w:eastAsia="Arial"/>
                <w:b w:val="0"/>
                <w:sz w:val="14"/>
              </w:rPr>
              <w:t>Nutrition, symptoms after discharge, and general recovery</w:t>
            </w:r>
          </w:p>
        </w:tc>
        <w:tc>
          <w:tcPr>
            <w:tcW w:type="dxa" w:w="3096"/>
            <w:vAlign w:val="top"/>
          </w:tcPr>
          <w:p>
            <w:pPr>
              <w:spacing w:after="0"/>
            </w:pPr>
            <w:r/>
            <w:r>
              <w:rPr>
                <w:rFonts w:ascii="Arial" w:hAnsi="Arial" w:eastAsia="Arial"/>
                <w:b w:val="0"/>
                <w:sz w:val="14"/>
              </w:rPr>
              <w:t>Why is protein or higher-calorie food important after a burn?</w:t>
            </w:r>
          </w:p>
        </w:tc>
        <w:tc>
          <w:tcPr>
            <w:tcW w:type="dxa" w:w="7416"/>
            <w:vAlign w:val="top"/>
          </w:tcPr>
          <w:p>
            <w:pPr>
              <w:spacing w:after="0"/>
            </w:pPr>
            <w:r/>
            <w:r>
              <w:rPr>
                <w:rFonts w:ascii="Arial" w:hAnsi="Arial" w:eastAsia="Arial"/>
                <w:b w:val="0"/>
                <w:sz w:val="14"/>
              </w:rPr>
              <w:t>Burns increase metabolic demand and tissue-repair needs. Protein and adequate calories support wound healing, immune function, graft take, and preservation of muscle. Larger or deeper burns can markedly increase nutritional requirements and should prompt dietitian review.</w:t>
            </w:r>
          </w:p>
        </w:tc>
        <w:tc>
          <w:tcPr>
            <w:tcW w:type="dxa" w:w="2088"/>
            <w:vAlign w:val="top"/>
          </w:tcPr>
          <w:p>
            <w:pPr>
              <w:spacing w:after="0"/>
            </w:pPr>
            <w:r/>
            <w:r>
              <w:rPr>
                <w:rFonts w:ascii="Arial" w:hAnsi="Arial" w:eastAsia="Arial"/>
                <w:b w:val="0"/>
                <w:sz w:val="14"/>
              </w:rPr>
              <w:t>R7; R13; R14; R20</w:t>
            </w:r>
          </w:p>
        </w:tc>
      </w:tr>
      <w:tr>
        <w:trPr>
          <w:cantSplit/>
        </w:trPr>
        <w:tc>
          <w:tcPr>
            <w:tcW w:type="dxa" w:w="504"/>
            <w:vAlign w:val="top"/>
            <w:shd w:fill="F5F9FC"/>
          </w:tcPr>
          <w:p>
            <w:pPr>
              <w:spacing w:after="0"/>
            </w:pPr>
            <w:r/>
            <w:r>
              <w:rPr>
                <w:rFonts w:ascii="Arial" w:hAnsi="Arial" w:eastAsia="Arial"/>
                <w:b w:val="0"/>
                <w:sz w:val="14"/>
              </w:rPr>
              <w:t>28</w:t>
            </w:r>
          </w:p>
        </w:tc>
        <w:tc>
          <w:tcPr>
            <w:tcW w:type="dxa" w:w="1944"/>
            <w:vAlign w:val="top"/>
            <w:shd w:fill="F5F9FC"/>
          </w:tcPr>
          <w:p>
            <w:pPr>
              <w:spacing w:after="0"/>
            </w:pPr>
            <w:r/>
            <w:r>
              <w:rPr>
                <w:rFonts w:ascii="Arial" w:hAnsi="Arial" w:eastAsia="Arial"/>
                <w:b w:val="0"/>
                <w:sz w:val="14"/>
              </w:rPr>
              <w:t>Nutrition, symptoms after discharge, and general recovery</w:t>
            </w:r>
          </w:p>
        </w:tc>
        <w:tc>
          <w:tcPr>
            <w:tcW w:type="dxa" w:w="3096"/>
            <w:vAlign w:val="top"/>
            <w:shd w:fill="F5F9FC"/>
          </w:tcPr>
          <w:p>
            <w:pPr>
              <w:spacing w:after="0"/>
            </w:pPr>
            <w:r/>
            <w:r>
              <w:rPr>
                <w:rFonts w:ascii="Arial" w:hAnsi="Arial" w:eastAsia="Arial"/>
                <w:b w:val="0"/>
                <w:sz w:val="14"/>
              </w:rPr>
              <w:t>My child’s burn is itchy while healing. What can I do safely?</w:t>
            </w:r>
          </w:p>
        </w:tc>
        <w:tc>
          <w:tcPr>
            <w:tcW w:type="dxa" w:w="7416"/>
            <w:vAlign w:val="top"/>
            <w:shd w:fill="F5F9FC"/>
          </w:tcPr>
          <w:p>
            <w:pPr>
              <w:spacing w:after="0"/>
            </w:pPr>
            <w:r/>
            <w:r>
              <w:rPr>
                <w:rFonts w:ascii="Arial" w:hAnsi="Arial" w:eastAsia="Arial"/>
                <w:b w:val="0"/>
                <w:sz w:val="14"/>
              </w:rPr>
              <w:t>Itching is common during healing. Safe strategies include regular fragrance-free moisturizer on healed skin, cool compresses, distraction, short fingernails, pressure garments or supportive dressings when prescribed, and clinician-approved antihistamines or other medications. Avoid scratching fragile skin and seek review if itching is severe or accompanied by rash or infection signs.</w:t>
            </w:r>
          </w:p>
        </w:tc>
        <w:tc>
          <w:tcPr>
            <w:tcW w:type="dxa" w:w="2088"/>
            <w:vAlign w:val="top"/>
            <w:shd w:fill="F5F9FC"/>
          </w:tcPr>
          <w:p>
            <w:pPr>
              <w:spacing w:after="0"/>
            </w:pPr>
            <w:r/>
            <w:r>
              <w:rPr>
                <w:rFonts w:ascii="Arial" w:hAnsi="Arial" w:eastAsia="Arial"/>
                <w:b w:val="0"/>
                <w:sz w:val="14"/>
              </w:rPr>
              <w:t>R7; R10; R19; R20</w:t>
            </w:r>
          </w:p>
        </w:tc>
      </w:tr>
      <w:tr>
        <w:trPr>
          <w:cantSplit/>
        </w:trPr>
        <w:tc>
          <w:tcPr>
            <w:tcW w:type="dxa" w:w="504"/>
            <w:vAlign w:val="top"/>
          </w:tcPr>
          <w:p>
            <w:pPr>
              <w:spacing w:after="0"/>
            </w:pPr>
            <w:r/>
            <w:r>
              <w:rPr>
                <w:rFonts w:ascii="Arial" w:hAnsi="Arial" w:eastAsia="Arial"/>
                <w:b w:val="0"/>
                <w:sz w:val="14"/>
              </w:rPr>
              <w:t>29</w:t>
            </w:r>
          </w:p>
        </w:tc>
        <w:tc>
          <w:tcPr>
            <w:tcW w:type="dxa" w:w="1944"/>
            <w:vAlign w:val="top"/>
          </w:tcPr>
          <w:p>
            <w:pPr>
              <w:spacing w:after="0"/>
            </w:pPr>
            <w:r/>
            <w:r>
              <w:rPr>
                <w:rFonts w:ascii="Arial" w:hAnsi="Arial" w:eastAsia="Arial"/>
                <w:b w:val="0"/>
                <w:sz w:val="14"/>
              </w:rPr>
              <w:t>Nutrition, symptoms after discharge, and general recovery</w:t>
            </w:r>
          </w:p>
        </w:tc>
        <w:tc>
          <w:tcPr>
            <w:tcW w:type="dxa" w:w="3096"/>
            <w:vAlign w:val="top"/>
          </w:tcPr>
          <w:p>
            <w:pPr>
              <w:spacing w:after="0"/>
            </w:pPr>
            <w:r/>
            <w:r>
              <w:rPr>
                <w:rFonts w:ascii="Arial" w:hAnsi="Arial" w:eastAsia="Arial"/>
                <w:b w:val="0"/>
                <w:sz w:val="14"/>
              </w:rPr>
              <w:t>How should I manage fever, increasing pain, or poor drinking after discharge?</w:t>
            </w:r>
          </w:p>
        </w:tc>
        <w:tc>
          <w:tcPr>
            <w:tcW w:type="dxa" w:w="7416"/>
            <w:vAlign w:val="top"/>
          </w:tcPr>
          <w:p>
            <w:pPr>
              <w:spacing w:after="0"/>
            </w:pPr>
            <w:r/>
            <w:r>
              <w:rPr>
                <w:rFonts w:ascii="Arial" w:hAnsi="Arial" w:eastAsia="Arial"/>
                <w:b w:val="0"/>
                <w:sz w:val="14"/>
              </w:rPr>
              <w:t>Fever, increasing pain, poor drinking, lethargy, vomiting/diarrhea, spreading redness, or wound deterioration after discharge needs prompt medical review. These signs may indicate infection, dehydration, toxic shock syndrome, pain-control failure, or another illness. Do not rely on home remedies or delay care.</w:t>
            </w:r>
          </w:p>
        </w:tc>
        <w:tc>
          <w:tcPr>
            <w:tcW w:type="dxa" w:w="2088"/>
            <w:vAlign w:val="top"/>
          </w:tcPr>
          <w:p>
            <w:pPr>
              <w:spacing w:after="0"/>
            </w:pPr>
            <w:r/>
            <w:r>
              <w:rPr>
                <w:rFonts w:ascii="Arial" w:hAnsi="Arial" w:eastAsia="Arial"/>
                <w:b w:val="0"/>
                <w:sz w:val="14"/>
              </w:rPr>
              <w:t>R6; R7; R8; R13; R14</w:t>
            </w:r>
          </w:p>
        </w:tc>
      </w:tr>
      <w:tr>
        <w:trPr>
          <w:cantSplit/>
        </w:trPr>
        <w:tc>
          <w:tcPr>
            <w:tcW w:type="dxa" w:w="504"/>
            <w:vAlign w:val="top"/>
            <w:shd w:fill="F5F9FC"/>
          </w:tcPr>
          <w:p>
            <w:pPr>
              <w:spacing w:after="0"/>
            </w:pPr>
            <w:r/>
            <w:r>
              <w:rPr>
                <w:rFonts w:ascii="Arial" w:hAnsi="Arial" w:eastAsia="Arial"/>
                <w:b w:val="0"/>
                <w:sz w:val="14"/>
              </w:rPr>
              <w:t>30</w:t>
            </w:r>
          </w:p>
        </w:tc>
        <w:tc>
          <w:tcPr>
            <w:tcW w:type="dxa" w:w="1944"/>
            <w:vAlign w:val="top"/>
            <w:shd w:fill="F5F9FC"/>
          </w:tcPr>
          <w:p>
            <w:pPr>
              <w:spacing w:after="0"/>
            </w:pPr>
            <w:r/>
            <w:r>
              <w:rPr>
                <w:rFonts w:ascii="Arial" w:hAnsi="Arial" w:eastAsia="Arial"/>
                <w:b w:val="0"/>
                <w:sz w:val="14"/>
              </w:rPr>
              <w:t>Rehabilitation, scar management, and return to activity</w:t>
            </w:r>
          </w:p>
        </w:tc>
        <w:tc>
          <w:tcPr>
            <w:tcW w:type="dxa" w:w="3096"/>
            <w:vAlign w:val="top"/>
            <w:shd w:fill="F5F9FC"/>
          </w:tcPr>
          <w:p>
            <w:pPr>
              <w:spacing w:after="0"/>
            </w:pPr>
            <w:r/>
            <w:r>
              <w:rPr>
                <w:rFonts w:ascii="Arial" w:hAnsi="Arial" w:eastAsia="Arial"/>
                <w:b w:val="0"/>
                <w:sz w:val="14"/>
              </w:rPr>
              <w:t>Why does my child need physiotherapy after a burn?</w:t>
            </w:r>
          </w:p>
        </w:tc>
        <w:tc>
          <w:tcPr>
            <w:tcW w:type="dxa" w:w="7416"/>
            <w:vAlign w:val="top"/>
            <w:shd w:fill="F5F9FC"/>
          </w:tcPr>
          <w:p>
            <w:pPr>
              <w:spacing w:after="0"/>
            </w:pPr>
            <w:r/>
            <w:r>
              <w:rPr>
                <w:rFonts w:ascii="Arial" w:hAnsi="Arial" w:eastAsia="Arial"/>
                <w:b w:val="0"/>
                <w:sz w:val="14"/>
              </w:rPr>
              <w:t>Physiotherapy helps maintain joint range of motion, muscle strength, walking, breathing, posture, and daily activity. Early rehabilitation can reduce stiffness, contractures, scarring problems, and loss of function, especially after significant burns, inhalation injury, long bed rest, or burns near joints.</w:t>
            </w:r>
          </w:p>
        </w:tc>
        <w:tc>
          <w:tcPr>
            <w:tcW w:type="dxa" w:w="2088"/>
            <w:vAlign w:val="top"/>
            <w:shd w:fill="F5F9FC"/>
          </w:tcPr>
          <w:p>
            <w:pPr>
              <w:spacing w:after="0"/>
            </w:pPr>
            <w:r/>
            <w:r>
              <w:rPr>
                <w:rFonts w:ascii="Arial" w:hAnsi="Arial" w:eastAsia="Arial"/>
                <w:b w:val="0"/>
                <w:sz w:val="14"/>
              </w:rPr>
              <w:t>R7; R9; R10; R16; R19</w:t>
            </w:r>
          </w:p>
        </w:tc>
      </w:tr>
      <w:tr>
        <w:trPr>
          <w:cantSplit/>
        </w:trPr>
        <w:tc>
          <w:tcPr>
            <w:tcW w:type="dxa" w:w="504"/>
            <w:vAlign w:val="top"/>
          </w:tcPr>
          <w:p>
            <w:pPr>
              <w:spacing w:after="0"/>
            </w:pPr>
            <w:r/>
            <w:r>
              <w:rPr>
                <w:rFonts w:ascii="Arial" w:hAnsi="Arial" w:eastAsia="Arial"/>
                <w:b w:val="0"/>
                <w:sz w:val="14"/>
              </w:rPr>
              <w:t>31</w:t>
            </w:r>
          </w:p>
        </w:tc>
        <w:tc>
          <w:tcPr>
            <w:tcW w:type="dxa" w:w="1944"/>
            <w:vAlign w:val="top"/>
          </w:tcPr>
          <w:p>
            <w:pPr>
              <w:spacing w:after="0"/>
            </w:pPr>
            <w:r/>
            <w:r>
              <w:rPr>
                <w:rFonts w:ascii="Arial" w:hAnsi="Arial" w:eastAsia="Arial"/>
                <w:b w:val="0"/>
                <w:sz w:val="14"/>
              </w:rPr>
              <w:t>Rehabilitation, scar management, and return to activity</w:t>
            </w:r>
          </w:p>
        </w:tc>
        <w:tc>
          <w:tcPr>
            <w:tcW w:type="dxa" w:w="3096"/>
            <w:vAlign w:val="top"/>
          </w:tcPr>
          <w:p>
            <w:pPr>
              <w:spacing w:after="0"/>
            </w:pPr>
            <w:r/>
            <w:r>
              <w:rPr>
                <w:rFonts w:ascii="Arial" w:hAnsi="Arial" w:eastAsia="Arial"/>
                <w:b w:val="0"/>
                <w:sz w:val="14"/>
              </w:rPr>
              <w:t>Why are stretching, positioning, or splints important after burns near a joint?</w:t>
            </w:r>
          </w:p>
        </w:tc>
        <w:tc>
          <w:tcPr>
            <w:tcW w:type="dxa" w:w="7416"/>
            <w:vAlign w:val="top"/>
          </w:tcPr>
          <w:p>
            <w:pPr>
              <w:spacing w:after="0"/>
            </w:pPr>
            <w:r/>
            <w:r>
              <w:rPr>
                <w:rFonts w:ascii="Arial" w:hAnsi="Arial" w:eastAsia="Arial"/>
                <w:b w:val="0"/>
                <w:sz w:val="14"/>
              </w:rPr>
              <w:t>Burn scars can tighten across joints and cause contractures. Regular stretching, anti-contracture positioning, splints, and occupational/physiotherapy programs help maintain tissue length and joint movement. Splints or casts must be worn as prescribed and reviewed if painful or irritating.</w:t>
            </w:r>
          </w:p>
        </w:tc>
        <w:tc>
          <w:tcPr>
            <w:tcW w:type="dxa" w:w="2088"/>
            <w:vAlign w:val="top"/>
          </w:tcPr>
          <w:p>
            <w:pPr>
              <w:spacing w:after="0"/>
            </w:pPr>
            <w:r/>
            <w:r>
              <w:rPr>
                <w:rFonts w:ascii="Arial" w:hAnsi="Arial" w:eastAsia="Arial"/>
                <w:b w:val="0"/>
                <w:sz w:val="14"/>
              </w:rPr>
              <w:t>R7; R9; R10; R16; R19</w:t>
            </w:r>
          </w:p>
        </w:tc>
      </w:tr>
      <w:tr>
        <w:trPr>
          <w:cantSplit/>
        </w:trPr>
        <w:tc>
          <w:tcPr>
            <w:tcW w:type="dxa" w:w="504"/>
            <w:vAlign w:val="top"/>
            <w:shd w:fill="F5F9FC"/>
          </w:tcPr>
          <w:p>
            <w:pPr>
              <w:spacing w:after="0"/>
            </w:pPr>
            <w:r/>
            <w:r>
              <w:rPr>
                <w:rFonts w:ascii="Arial" w:hAnsi="Arial" w:eastAsia="Arial"/>
                <w:b w:val="0"/>
                <w:sz w:val="14"/>
              </w:rPr>
              <w:t>32</w:t>
            </w:r>
          </w:p>
        </w:tc>
        <w:tc>
          <w:tcPr>
            <w:tcW w:type="dxa" w:w="1944"/>
            <w:vAlign w:val="top"/>
            <w:shd w:fill="F5F9FC"/>
          </w:tcPr>
          <w:p>
            <w:pPr>
              <w:spacing w:after="0"/>
            </w:pPr>
            <w:r/>
            <w:r>
              <w:rPr>
                <w:rFonts w:ascii="Arial" w:hAnsi="Arial" w:eastAsia="Arial"/>
                <w:b w:val="0"/>
                <w:sz w:val="14"/>
              </w:rPr>
              <w:t>Rehabilitation, scar management, and return to activity</w:t>
            </w:r>
          </w:p>
        </w:tc>
        <w:tc>
          <w:tcPr>
            <w:tcW w:type="dxa" w:w="3096"/>
            <w:vAlign w:val="top"/>
            <w:shd w:fill="F5F9FC"/>
          </w:tcPr>
          <w:p>
            <w:pPr>
              <w:spacing w:after="0"/>
            </w:pPr>
            <w:r/>
            <w:r>
              <w:rPr>
                <w:rFonts w:ascii="Arial" w:hAnsi="Arial" w:eastAsia="Arial"/>
                <w:b w:val="0"/>
                <w:sz w:val="14"/>
              </w:rPr>
              <w:t>What should I do if my child refuses exercises because they hurt?</w:t>
            </w:r>
          </w:p>
        </w:tc>
        <w:tc>
          <w:tcPr>
            <w:tcW w:type="dxa" w:w="7416"/>
            <w:vAlign w:val="top"/>
            <w:shd w:fill="F5F9FC"/>
          </w:tcPr>
          <w:p>
            <w:pPr>
              <w:spacing w:after="0"/>
            </w:pPr>
            <w:r/>
            <w:r>
              <w:rPr>
                <w:rFonts w:ascii="Arial" w:hAnsi="Arial" w:eastAsia="Arial"/>
                <w:b w:val="0"/>
                <w:sz w:val="14"/>
              </w:rPr>
              <w:t>Do not simply stop the program. Discuss pain with the physiotherapist or burn team. Give prescribed pain medicine before exercises when advised, use distraction and play, adjust timing or technique, and check that splints or dressings are not causing harm. Exercises should challenge stiffness but not cause unsafe pain.</w:t>
            </w:r>
          </w:p>
        </w:tc>
        <w:tc>
          <w:tcPr>
            <w:tcW w:type="dxa" w:w="2088"/>
            <w:vAlign w:val="top"/>
            <w:shd w:fill="F5F9FC"/>
          </w:tcPr>
          <w:p>
            <w:pPr>
              <w:spacing w:after="0"/>
            </w:pPr>
            <w:r/>
            <w:r>
              <w:rPr>
                <w:rFonts w:ascii="Arial" w:hAnsi="Arial" w:eastAsia="Arial"/>
                <w:b w:val="0"/>
                <w:sz w:val="14"/>
              </w:rPr>
              <w:t>R9; R10; R15; R16</w:t>
            </w:r>
          </w:p>
        </w:tc>
      </w:tr>
      <w:tr>
        <w:trPr>
          <w:cantSplit/>
        </w:trPr>
        <w:tc>
          <w:tcPr>
            <w:tcW w:type="dxa" w:w="504"/>
            <w:vAlign w:val="top"/>
          </w:tcPr>
          <w:p>
            <w:pPr>
              <w:spacing w:after="0"/>
            </w:pPr>
            <w:r/>
            <w:r>
              <w:rPr>
                <w:rFonts w:ascii="Arial" w:hAnsi="Arial" w:eastAsia="Arial"/>
                <w:b w:val="0"/>
                <w:sz w:val="14"/>
              </w:rPr>
              <w:t>33</w:t>
            </w:r>
          </w:p>
        </w:tc>
        <w:tc>
          <w:tcPr>
            <w:tcW w:type="dxa" w:w="1944"/>
            <w:vAlign w:val="top"/>
          </w:tcPr>
          <w:p>
            <w:pPr>
              <w:spacing w:after="0"/>
            </w:pPr>
            <w:r/>
            <w:r>
              <w:rPr>
                <w:rFonts w:ascii="Arial" w:hAnsi="Arial" w:eastAsia="Arial"/>
                <w:b w:val="0"/>
                <w:sz w:val="14"/>
              </w:rPr>
              <w:t>Rehabilitation, scar management, and return to activity</w:t>
            </w:r>
          </w:p>
        </w:tc>
        <w:tc>
          <w:tcPr>
            <w:tcW w:type="dxa" w:w="3096"/>
            <w:vAlign w:val="top"/>
          </w:tcPr>
          <w:p>
            <w:pPr>
              <w:spacing w:after="0"/>
            </w:pPr>
            <w:r/>
            <w:r>
              <w:rPr>
                <w:rFonts w:ascii="Arial" w:hAnsi="Arial" w:eastAsia="Arial"/>
                <w:b w:val="0"/>
                <w:sz w:val="14"/>
              </w:rPr>
              <w:t>How long does it take for burn scars to mature, and why can they change over time?</w:t>
            </w:r>
          </w:p>
        </w:tc>
        <w:tc>
          <w:tcPr>
            <w:tcW w:type="dxa" w:w="7416"/>
            <w:vAlign w:val="top"/>
          </w:tcPr>
          <w:p>
            <w:pPr>
              <w:spacing w:after="0"/>
            </w:pPr>
            <w:r/>
            <w:r>
              <w:rPr>
                <w:rFonts w:ascii="Arial" w:hAnsi="Arial" w:eastAsia="Arial"/>
                <w:b w:val="0"/>
                <w:sz w:val="14"/>
              </w:rPr>
              <w:t>Burn scars change as collagen remodels. Scarring often develops in the first months, peaks around 6 months, and may take 12-18 months or 1-2 years to mature. Risk is higher with deeper burns, wounds taking longer than about 2 weeks to heal, darker or more reactive skin types, and burns over joints.</w:t>
            </w:r>
          </w:p>
        </w:tc>
        <w:tc>
          <w:tcPr>
            <w:tcW w:type="dxa" w:w="2088"/>
            <w:vAlign w:val="top"/>
          </w:tcPr>
          <w:p>
            <w:pPr>
              <w:spacing w:after="0"/>
            </w:pPr>
            <w:r/>
            <w:r>
              <w:rPr>
                <w:rFonts w:ascii="Arial" w:hAnsi="Arial" w:eastAsia="Arial"/>
                <w:b w:val="0"/>
                <w:sz w:val="14"/>
              </w:rPr>
              <w:t>R7; R9; R10; R19</w:t>
            </w:r>
          </w:p>
        </w:tc>
      </w:tr>
      <w:tr>
        <w:trPr>
          <w:cantSplit/>
        </w:trPr>
        <w:tc>
          <w:tcPr>
            <w:tcW w:type="dxa" w:w="504"/>
            <w:vAlign w:val="top"/>
            <w:shd w:fill="F5F9FC"/>
          </w:tcPr>
          <w:p>
            <w:pPr>
              <w:spacing w:after="0"/>
            </w:pPr>
            <w:r/>
            <w:r>
              <w:rPr>
                <w:rFonts w:ascii="Arial" w:hAnsi="Arial" w:eastAsia="Arial"/>
                <w:b w:val="0"/>
                <w:sz w:val="14"/>
              </w:rPr>
              <w:t>34</w:t>
            </w:r>
          </w:p>
        </w:tc>
        <w:tc>
          <w:tcPr>
            <w:tcW w:type="dxa" w:w="1944"/>
            <w:vAlign w:val="top"/>
            <w:shd w:fill="F5F9FC"/>
          </w:tcPr>
          <w:p>
            <w:pPr>
              <w:spacing w:after="0"/>
            </w:pPr>
            <w:r/>
            <w:r>
              <w:rPr>
                <w:rFonts w:ascii="Arial" w:hAnsi="Arial" w:eastAsia="Arial"/>
                <w:b w:val="0"/>
                <w:sz w:val="14"/>
              </w:rPr>
              <w:t>Rehabilitation, scar management, and return to activity</w:t>
            </w:r>
          </w:p>
        </w:tc>
        <w:tc>
          <w:tcPr>
            <w:tcW w:type="dxa" w:w="3096"/>
            <w:vAlign w:val="top"/>
            <w:shd w:fill="F5F9FC"/>
          </w:tcPr>
          <w:p>
            <w:pPr>
              <w:spacing w:after="0"/>
            </w:pPr>
            <w:r/>
            <w:r>
              <w:rPr>
                <w:rFonts w:ascii="Arial" w:hAnsi="Arial" w:eastAsia="Arial"/>
                <w:b w:val="0"/>
                <w:sz w:val="14"/>
              </w:rPr>
              <w:t>What can we do to reduce tight, raised, or itchy scars after a burn?</w:t>
            </w:r>
          </w:p>
        </w:tc>
        <w:tc>
          <w:tcPr>
            <w:tcW w:type="dxa" w:w="7416"/>
            <w:vAlign w:val="top"/>
            <w:shd w:fill="F5F9FC"/>
          </w:tcPr>
          <w:p>
            <w:pPr>
              <w:spacing w:after="0"/>
            </w:pPr>
            <w:r/>
            <w:r>
              <w:rPr>
                <w:rFonts w:ascii="Arial" w:hAnsi="Arial" w:eastAsia="Arial"/>
                <w:b w:val="0"/>
                <w:sz w:val="14"/>
              </w:rPr>
              <w:t>After the wound is fully healed, scar care may include moisturizing, massage, stretching, pressure garments, silicone or tape, splints, sun protection, itch control, and regular therapy/burn-clinic follow-up. No single treatment is ideal; persistent raised, tight, painful, or function-limiting scars need specialist review.</w:t>
            </w:r>
          </w:p>
        </w:tc>
        <w:tc>
          <w:tcPr>
            <w:tcW w:type="dxa" w:w="2088"/>
            <w:vAlign w:val="top"/>
            <w:shd w:fill="F5F9FC"/>
          </w:tcPr>
          <w:p>
            <w:pPr>
              <w:spacing w:after="0"/>
            </w:pPr>
            <w:r/>
            <w:r>
              <w:rPr>
                <w:rFonts w:ascii="Arial" w:hAnsi="Arial" w:eastAsia="Arial"/>
                <w:b w:val="0"/>
                <w:sz w:val="14"/>
              </w:rPr>
              <w:t>R7; R9; R10; R16; R19; R20</w:t>
            </w:r>
          </w:p>
        </w:tc>
      </w:tr>
      <w:tr>
        <w:trPr>
          <w:cantSplit/>
        </w:trPr>
        <w:tc>
          <w:tcPr>
            <w:tcW w:type="dxa" w:w="504"/>
            <w:vAlign w:val="top"/>
          </w:tcPr>
          <w:p>
            <w:pPr>
              <w:spacing w:after="0"/>
            </w:pPr>
            <w:r/>
            <w:r>
              <w:rPr>
                <w:rFonts w:ascii="Arial" w:hAnsi="Arial" w:eastAsia="Arial"/>
                <w:b w:val="0"/>
                <w:sz w:val="14"/>
              </w:rPr>
              <w:t>35</w:t>
            </w:r>
          </w:p>
        </w:tc>
        <w:tc>
          <w:tcPr>
            <w:tcW w:type="dxa" w:w="1944"/>
            <w:vAlign w:val="top"/>
          </w:tcPr>
          <w:p>
            <w:pPr>
              <w:spacing w:after="0"/>
            </w:pPr>
            <w:r/>
            <w:r>
              <w:rPr>
                <w:rFonts w:ascii="Arial" w:hAnsi="Arial" w:eastAsia="Arial"/>
                <w:b w:val="0"/>
                <w:sz w:val="14"/>
              </w:rPr>
              <w:t>Rehabilitation, scar management, and return to activity</w:t>
            </w:r>
          </w:p>
        </w:tc>
        <w:tc>
          <w:tcPr>
            <w:tcW w:type="dxa" w:w="3096"/>
            <w:vAlign w:val="top"/>
          </w:tcPr>
          <w:p>
            <w:pPr>
              <w:spacing w:after="0"/>
            </w:pPr>
            <w:r/>
            <w:r>
              <w:rPr>
                <w:rFonts w:ascii="Arial" w:hAnsi="Arial" w:eastAsia="Arial"/>
                <w:b w:val="0"/>
                <w:sz w:val="14"/>
              </w:rPr>
              <w:t>When can my child go back to school or childcare with a healing burn?</w:t>
            </w:r>
          </w:p>
        </w:tc>
        <w:tc>
          <w:tcPr>
            <w:tcW w:type="dxa" w:w="7416"/>
            <w:vAlign w:val="top"/>
          </w:tcPr>
          <w:p>
            <w:pPr>
              <w:spacing w:after="0"/>
            </w:pPr>
            <w:r/>
            <w:r>
              <w:rPr>
                <w:rFonts w:ascii="Arial" w:hAnsi="Arial" w:eastAsia="Arial"/>
                <w:b w:val="0"/>
                <w:sz w:val="14"/>
              </w:rPr>
              <w:t>Return depends on medical stability, pain control, dressing security, ability to take medicines and do exercises, infection risk, and the school’s ability to protect the child. A plan may include activity limits, sun protection, help with dressings, psychosocial support, and communication with teachers.</w:t>
            </w:r>
          </w:p>
        </w:tc>
        <w:tc>
          <w:tcPr>
            <w:tcW w:type="dxa" w:w="2088"/>
            <w:vAlign w:val="top"/>
          </w:tcPr>
          <w:p>
            <w:pPr>
              <w:spacing w:after="0"/>
            </w:pPr>
            <w:r/>
            <w:r>
              <w:rPr>
                <w:rFonts w:ascii="Arial" w:hAnsi="Arial" w:eastAsia="Arial"/>
                <w:b w:val="0"/>
                <w:sz w:val="14"/>
              </w:rPr>
              <w:t>R7; R9; R10; R19</w:t>
            </w:r>
          </w:p>
        </w:tc>
      </w:tr>
      <w:tr>
        <w:trPr>
          <w:cantSplit/>
        </w:trPr>
        <w:tc>
          <w:tcPr>
            <w:tcW w:type="dxa" w:w="504"/>
            <w:vAlign w:val="top"/>
            <w:shd w:fill="F5F9FC"/>
          </w:tcPr>
          <w:p>
            <w:pPr>
              <w:spacing w:after="0"/>
            </w:pPr>
            <w:r/>
            <w:r>
              <w:rPr>
                <w:rFonts w:ascii="Arial" w:hAnsi="Arial" w:eastAsia="Arial"/>
                <w:b w:val="0"/>
                <w:sz w:val="14"/>
              </w:rPr>
              <w:t>36</w:t>
            </w:r>
          </w:p>
        </w:tc>
        <w:tc>
          <w:tcPr>
            <w:tcW w:type="dxa" w:w="1944"/>
            <w:vAlign w:val="top"/>
            <w:shd w:fill="F5F9FC"/>
          </w:tcPr>
          <w:p>
            <w:pPr>
              <w:spacing w:after="0"/>
            </w:pPr>
            <w:r/>
            <w:r>
              <w:rPr>
                <w:rFonts w:ascii="Arial" w:hAnsi="Arial" w:eastAsia="Arial"/>
                <w:b w:val="0"/>
                <w:sz w:val="14"/>
              </w:rPr>
              <w:t>Rehabilitation, scar management, and return to activity</w:t>
            </w:r>
          </w:p>
        </w:tc>
        <w:tc>
          <w:tcPr>
            <w:tcW w:type="dxa" w:w="3096"/>
            <w:vAlign w:val="top"/>
            <w:shd w:fill="F5F9FC"/>
          </w:tcPr>
          <w:p>
            <w:pPr>
              <w:spacing w:after="0"/>
            </w:pPr>
            <w:r/>
            <w:r>
              <w:rPr>
                <w:rFonts w:ascii="Arial" w:hAnsi="Arial" w:eastAsia="Arial"/>
                <w:b w:val="0"/>
                <w:sz w:val="14"/>
              </w:rPr>
              <w:t>When can my child return to sports, swimming, or rough play after a burn?</w:t>
            </w:r>
          </w:p>
        </w:tc>
        <w:tc>
          <w:tcPr>
            <w:tcW w:type="dxa" w:w="7416"/>
            <w:vAlign w:val="top"/>
            <w:shd w:fill="F5F9FC"/>
          </w:tcPr>
          <w:p>
            <w:pPr>
              <w:spacing w:after="0"/>
            </w:pPr>
            <w:r/>
            <w:r>
              <w:rPr>
                <w:rFonts w:ascii="Arial" w:hAnsi="Arial" w:eastAsia="Arial"/>
                <w:b w:val="0"/>
                <w:sz w:val="14"/>
              </w:rPr>
              <w:t>Sports, swimming, and rough play should wait until the burn or graft is adequately healed and the burn team clears return. Fragile new skin can break down or become infected. Return should be gradual, with protection from friction, sun, impact, and water exposure as directed.</w:t>
            </w:r>
          </w:p>
        </w:tc>
        <w:tc>
          <w:tcPr>
            <w:tcW w:type="dxa" w:w="2088"/>
            <w:vAlign w:val="top"/>
            <w:shd w:fill="F5F9FC"/>
          </w:tcPr>
          <w:p>
            <w:pPr>
              <w:spacing w:after="0"/>
            </w:pPr>
            <w:r/>
            <w:r>
              <w:rPr>
                <w:rFonts w:ascii="Arial" w:hAnsi="Arial" w:eastAsia="Arial"/>
                <w:b w:val="0"/>
                <w:sz w:val="14"/>
              </w:rPr>
              <w:t>R7; R9; R10; R16; R19</w:t>
            </w:r>
          </w:p>
        </w:tc>
      </w:tr>
    </w:tbl>
    <w:p>
      <w:r>
        <w:br w:type="page"/>
      </w:r>
    </w:p>
    <w:p>
      <w:pPr>
        <w:spacing w:after="120"/>
      </w:pPr>
      <w:r>
        <w:rPr>
          <w:rFonts w:ascii="Arial" w:hAnsi="Arial" w:eastAsia="Arial"/>
          <w:b/>
          <w:color w:val="1F4E79"/>
          <w:sz w:val="28"/>
        </w:rPr>
        <w:t>Reference list</w:t>
      </w:r>
    </w:p>
    <w:p>
      <w:pPr>
        <w:spacing w:after="160"/>
      </w:pPr>
      <w:r>
        <w:rPr>
          <w:rFonts w:ascii="Arial" w:hAnsi="Arial" w:eastAsia="Arial"/>
          <w:sz w:val="16"/>
        </w:rPr>
        <w:t>Reference types were selected to support answer scoring across first aid, referral, acute management, wound care, pain, nutrition, rehabilitation, scar management, and post-discharge escalation. Web pages were accessed during document preparation in June 2026 where applicable.</w:t>
      </w:r>
    </w:p>
    <w:p>
      <w:pPr>
        <w:spacing w:after="60"/>
        <w:ind w:left="259" w:hanging="259"/>
      </w:pPr>
      <w:r>
        <w:rPr>
          <w:rFonts w:ascii="Arial" w:hAnsi="Arial" w:eastAsia="Arial"/>
          <w:sz w:val="16"/>
        </w:rPr>
        <w:t>R1. [Official guidance] World Health Organization. Burns. Fact sheet. 13 October 2023. https://www.who.int/news-room/fact-sheets/detail/burns</w:t>
      </w:r>
    </w:p>
    <w:p>
      <w:pPr>
        <w:spacing w:after="60"/>
        <w:ind w:left="259" w:hanging="259"/>
      </w:pPr>
      <w:r>
        <w:rPr>
          <w:rFonts w:ascii="Arial" w:hAnsi="Arial" w:eastAsia="Arial"/>
          <w:sz w:val="16"/>
        </w:rPr>
        <w:t>R2. [Guidance] World Health Organization. A WHO plan for burn prevention and care. Geneva: WHO; 2008.</w:t>
      </w:r>
    </w:p>
    <w:p>
      <w:pPr>
        <w:spacing w:after="60"/>
        <w:ind w:left="259" w:hanging="259"/>
      </w:pPr>
      <w:r>
        <w:rPr>
          <w:rFonts w:ascii="Arial" w:hAnsi="Arial" w:eastAsia="Arial"/>
          <w:sz w:val="16"/>
        </w:rPr>
        <w:t>R3. [Official guidance] National Health Service. Burns and scalds. NHS Health A to Z. https://www.nhs.uk/conditions/burns-and-scalds/</w:t>
      </w:r>
    </w:p>
    <w:p>
      <w:pPr>
        <w:spacing w:after="60"/>
        <w:ind w:left="259" w:hanging="259"/>
      </w:pPr>
      <w:r>
        <w:rPr>
          <w:rFonts w:ascii="Arial" w:hAnsi="Arial" w:eastAsia="Arial"/>
          <w:sz w:val="16"/>
        </w:rPr>
        <w:t>R4. [First-aid guidance] British Red Cross. First aid for burns. https://www.redcross.org.uk/first-aid/learn-first-aid/burns</w:t>
      </w:r>
    </w:p>
    <w:p>
      <w:pPr>
        <w:spacing w:after="60"/>
        <w:ind w:left="259" w:hanging="259"/>
      </w:pPr>
      <w:r>
        <w:rPr>
          <w:rFonts w:ascii="Arial" w:hAnsi="Arial" w:eastAsia="Arial"/>
          <w:sz w:val="16"/>
        </w:rPr>
        <w:t>R5. [Referral guideline] American Burn Association. Guidelines for Burn Patient Referral. 2025. https://www.ameriburn.org/burn-care-team/resources/guidelines-for-burn-patient-referral</w:t>
      </w:r>
    </w:p>
    <w:p>
      <w:pPr>
        <w:spacing w:after="60"/>
        <w:ind w:left="259" w:hanging="259"/>
      </w:pPr>
      <w:r>
        <w:rPr>
          <w:rFonts w:ascii="Arial" w:hAnsi="Arial" w:eastAsia="Arial"/>
          <w:sz w:val="16"/>
        </w:rPr>
        <w:t>R6. [First-aid guidance] American Burn Association. Burn First Aid. https://www.ameriburn.org/patients/burn-first-aid</w:t>
      </w:r>
    </w:p>
    <w:p>
      <w:pPr>
        <w:spacing w:after="60"/>
        <w:ind w:left="259" w:hanging="259"/>
      </w:pPr>
      <w:r>
        <w:rPr>
          <w:rFonts w:ascii="Arial" w:hAnsi="Arial" w:eastAsia="Arial"/>
          <w:sz w:val="16"/>
        </w:rPr>
        <w:t>R7. [Clinical practice guideline] The Royal Children’s Hospital Melbourne. Clinical Practice Guidelines: Burns - acute management. Last updated April 2026. https://www.rch.org.au/clinicalguide/guideline_index/Burns/</w:t>
      </w:r>
    </w:p>
    <w:p>
      <w:pPr>
        <w:spacing w:after="60"/>
        <w:ind w:left="259" w:hanging="259"/>
      </w:pPr>
      <w:r>
        <w:rPr>
          <w:rFonts w:ascii="Arial" w:hAnsi="Arial" w:eastAsia="Arial"/>
          <w:sz w:val="16"/>
        </w:rPr>
        <w:t>R8. [Clinical practice guideline] The Royal Children’s Hospital Melbourne. Clinical Practice Guidelines: Burns - post acute care and dressings. Last updated May 2026. https://www.rch.org.au/clinicalguide/guideline_index/Burns_-_Post_Acute_Care_and_Dressings/</w:t>
      </w:r>
    </w:p>
    <w:p>
      <w:pPr>
        <w:spacing w:after="60"/>
        <w:ind w:left="259" w:hanging="259"/>
      </w:pPr>
      <w:r>
        <w:rPr>
          <w:rFonts w:ascii="Arial" w:hAnsi="Arial" w:eastAsia="Arial"/>
          <w:sz w:val="16"/>
        </w:rPr>
        <w:t>R9. [Parent information / clinical guidance] The Royal Children’s Hospital Melbourne. Kids Health Info: Burns and scalds - prevention and first aid. Updated July 2025. https://www.rch.org.au/kidsinfo/fact_sheets/Burns_prevention_and_first_aid/</w:t>
      </w:r>
    </w:p>
    <w:p>
      <w:pPr>
        <w:spacing w:after="60"/>
        <w:ind w:left="259" w:hanging="259"/>
      </w:pPr>
      <w:r>
        <w:rPr>
          <w:rFonts w:ascii="Arial" w:hAnsi="Arial" w:eastAsia="Arial"/>
          <w:sz w:val="16"/>
        </w:rPr>
        <w:t>R10. [Parent information / rehabilitation guidance] The Royal Children’s Hospital Melbourne. Kids Health Info: Burns - rehabilitation. Updated July 2025. https://www.rch.org.au/kidsinfo/fact_sheets/Burns_rehabilitation/</w:t>
      </w:r>
    </w:p>
    <w:p>
      <w:pPr>
        <w:spacing w:after="60"/>
        <w:ind w:left="259" w:hanging="259"/>
      </w:pPr>
      <w:r>
        <w:rPr>
          <w:rFonts w:ascii="Arial" w:hAnsi="Arial" w:eastAsia="Arial"/>
          <w:sz w:val="16"/>
        </w:rPr>
        <w:t>R11. [Clinical guideline] Queensland Paediatric Burns Centre. Management of Paediatric Burn Patient Guideline. Queensland Children’s Hospital.</w:t>
      </w:r>
    </w:p>
    <w:p>
      <w:pPr>
        <w:spacing w:after="60"/>
        <w:ind w:left="259" w:hanging="259"/>
      </w:pPr>
      <w:r>
        <w:rPr>
          <w:rFonts w:ascii="Arial" w:hAnsi="Arial" w:eastAsia="Arial"/>
          <w:sz w:val="16"/>
        </w:rPr>
        <w:t>R12. [Clinical guideline / transfer guidance] NSW Agency for Clinical Innovation. Burn Patient Management Clinical Guideline / Burns Transfer Guidelines. NSW Statewide Burn Injury Service.</w:t>
      </w:r>
    </w:p>
    <w:p>
      <w:pPr>
        <w:spacing w:after="60"/>
        <w:ind w:left="259" w:hanging="259"/>
      </w:pPr>
      <w:r>
        <w:rPr>
          <w:rFonts w:ascii="Arial" w:hAnsi="Arial" w:eastAsia="Arial"/>
          <w:sz w:val="16"/>
        </w:rPr>
        <w:t>R13. [Practice guideline] ISBI Practice Guidelines Committee. ISBI Practice Guidelines for Burn Care. Burns. 2016;42(5):953-1021.</w:t>
      </w:r>
    </w:p>
    <w:p>
      <w:pPr>
        <w:spacing w:after="60"/>
        <w:ind w:left="259" w:hanging="259"/>
      </w:pPr>
      <w:r>
        <w:rPr>
          <w:rFonts w:ascii="Arial" w:hAnsi="Arial" w:eastAsia="Arial"/>
          <w:sz w:val="16"/>
        </w:rPr>
        <w:t>R14. [Practice guideline] ISBI Practice Guidelines Committee. ISBI Practice Guidelines for Burn Care, Part 2. Burns. 2018;44(7):1617-1706.</w:t>
      </w:r>
    </w:p>
    <w:p>
      <w:pPr>
        <w:spacing w:after="60"/>
        <w:ind w:left="259" w:hanging="259"/>
      </w:pPr>
      <w:r>
        <w:rPr>
          <w:rFonts w:ascii="Arial" w:hAnsi="Arial" w:eastAsia="Arial"/>
          <w:sz w:val="16"/>
        </w:rPr>
        <w:t>R15. [Guideline] Romanowski KS, Carson J, Pape K, et al. American Burn Association Guidelines on the Management of Acute Pain in the Adult Burn Patient: A review of the literature, a compilation of expert opinion and next steps. Journal of Burn Care &amp; Research. 2020;41(6):1129-1151.</w:t>
      </w:r>
    </w:p>
    <w:p>
      <w:pPr>
        <w:spacing w:after="60"/>
        <w:ind w:left="259" w:hanging="259"/>
      </w:pPr>
      <w:r>
        <w:rPr>
          <w:rFonts w:ascii="Arial" w:hAnsi="Arial" w:eastAsia="Arial"/>
          <w:sz w:val="16"/>
        </w:rPr>
        <w:t>R16. [Systematic review / expert consensus] Parry I, Schneider JC, Yelvington M, et al. Systematic review and expert consensus on the use of orthoses (splints and casts) with adults and children after burn injury to determine practice guidelines. Journal of Burn Care &amp; Research. 2020;41(3):503-534.</w:t>
      </w:r>
    </w:p>
    <w:p>
      <w:pPr>
        <w:spacing w:after="60"/>
        <w:ind w:left="259" w:hanging="259"/>
      </w:pPr>
      <w:r>
        <w:rPr>
          <w:rFonts w:ascii="Arial" w:hAnsi="Arial" w:eastAsia="Arial"/>
          <w:sz w:val="16"/>
        </w:rPr>
        <w:t>R17. [Systematic review] Wasiak J, Cleland H, Campbell F. Dressings for superficial and partial thickness burns. Cochrane Database of Systematic Reviews. 2013;3:CD002106.</w:t>
      </w:r>
    </w:p>
    <w:p>
      <w:pPr>
        <w:spacing w:after="60"/>
        <w:ind w:left="259" w:hanging="259"/>
      </w:pPr>
      <w:r>
        <w:rPr>
          <w:rFonts w:ascii="Arial" w:hAnsi="Arial" w:eastAsia="Arial"/>
          <w:sz w:val="16"/>
        </w:rPr>
        <w:t>R18. [Systematic review] Storm-Versloot MN, Vos CG, Ubbink DT, Vermeulen H. Topical silver for preventing wound infection. Cochrane Database of Systematic Reviews. 2010;3:CD006478.</w:t>
      </w:r>
    </w:p>
    <w:p>
      <w:pPr>
        <w:spacing w:after="60"/>
        <w:ind w:left="259" w:hanging="259"/>
      </w:pPr>
      <w:r>
        <w:rPr>
          <w:rFonts w:ascii="Arial" w:hAnsi="Arial" w:eastAsia="Arial"/>
          <w:sz w:val="16"/>
        </w:rPr>
        <w:t>R19. [Consensus-based factsheet] Model Systems Knowledge Translation Center. Scar Management after Burn Injury. https://msktc.org/burn/factsheets/scar-management-after-burn-injury</w:t>
      </w:r>
    </w:p>
    <w:p>
      <w:pPr>
        <w:spacing w:after="60"/>
        <w:ind w:left="259" w:hanging="259"/>
      </w:pPr>
      <w:r>
        <w:rPr>
          <w:rFonts w:ascii="Arial" w:hAnsi="Arial" w:eastAsia="Arial"/>
          <w:sz w:val="16"/>
        </w:rPr>
        <w:t>R20. [Consensus-based factsheet / nutrition recommendations] Model Systems Knowledge Translation Center. Itchy Skin after Burn Injury. 2024. https://msktc.org/burn/factsheets/itchy-skin-after-burn-injury; Rousseau AF, Losser MR, Ichai C, Berger MM. ESPEN endorsed recommendations: nutritional therapy in major burns. Clinical Nutrition. 2013;32(4):497-502.</w:t>
      </w:r>
    </w:p>
    <w:sectPr w:rsidR="00FC693F" w:rsidRPr="0006063C" w:rsidSect="00034616">
      <w:headerReference w:type="default" r:id="rId9"/>
      <w:footerReference w:type="default" r:id="rId10"/>
      <w:pgSz w:w="15840" w:h="12240" w:orient="landscape"/>
      <w:pgMar w:top="547" w:right="504" w:bottom="605"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505050"/>
        <w:sz w:val="14"/>
      </w:rPr>
      <w:t>Pediatric burn and scald LLM study materials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olor w:val="505050"/>
        <w:sz w:val="14"/>
      </w:rPr>
      <w:t>Pediatric burn and scald LLM study materials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