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92E2F" w14:textId="5351BB32" w:rsidR="00E76A7F" w:rsidRPr="00E76A7F" w:rsidRDefault="00E76A7F" w:rsidP="00E76A7F">
      <w:pPr>
        <w:pStyle w:val="Title"/>
        <w:jc w:val="center"/>
        <w:rPr>
          <w:lang w:val="en-DE"/>
        </w:rPr>
      </w:pPr>
      <w:r>
        <w:rPr>
          <w:lang w:val="en-DE"/>
        </w:rPr>
        <w:t>Supplementary Information</w:t>
      </w:r>
    </w:p>
    <w:p w14:paraId="7FEBDBEB" w14:textId="62CCAFFF" w:rsidR="00E76A7F" w:rsidRPr="00E76A7F" w:rsidRDefault="00E76A7F" w:rsidP="00E76A7F">
      <w:pPr>
        <w:pStyle w:val="Title"/>
        <w:jc w:val="center"/>
        <w:rPr>
          <w:lang w:val="en-DE"/>
        </w:rPr>
      </w:pPr>
      <w:r>
        <w:rPr>
          <w:lang w:val="en-DE"/>
        </w:rPr>
        <w:t>for</w:t>
      </w:r>
    </w:p>
    <w:p w14:paraId="565337AB" w14:textId="6DCDCF1E" w:rsidR="00E76A7F" w:rsidRDefault="00E76A7F" w:rsidP="00E76A7F">
      <w:pPr>
        <w:pStyle w:val="Heading1"/>
        <w:rPr>
          <w:lang w:val="en-US"/>
        </w:rPr>
      </w:pPr>
      <w:r w:rsidRPr="00E76A7F">
        <w:rPr>
          <w:lang w:val="en-US"/>
        </w:rPr>
        <w:t>Limited contribution of novel Carbon Dioxide Removal and Geological Carbon Storage to reducing peak warming</w:t>
      </w:r>
    </w:p>
    <w:p w14:paraId="0B8F9DA6" w14:textId="77777777" w:rsidR="00E76A7F" w:rsidRPr="00E76A7F" w:rsidRDefault="00E76A7F" w:rsidP="00E76A7F">
      <w:pPr>
        <w:rPr>
          <w:lang w:val="en-US"/>
        </w:rPr>
      </w:pPr>
    </w:p>
    <w:p w14:paraId="518B910F" w14:textId="77777777" w:rsidR="00E76A7F" w:rsidRPr="00E76A7F" w:rsidRDefault="00E76A7F" w:rsidP="00E76A7F">
      <w:pPr>
        <w:spacing w:after="0"/>
        <w:jc w:val="center"/>
        <w:rPr>
          <w:color w:val="000000"/>
          <w:sz w:val="20"/>
          <w:szCs w:val="20"/>
          <w:lang w:val="en-DE"/>
        </w:rPr>
      </w:pPr>
      <w:r w:rsidRPr="00E76A7F">
        <w:rPr>
          <w:b/>
          <w:bCs/>
          <w:color w:val="000000" w:themeColor="text1"/>
          <w:sz w:val="20"/>
          <w:szCs w:val="20"/>
          <w:lang w:val="en-DE"/>
        </w:rPr>
        <w:t>Anne Merfort</w:t>
      </w:r>
      <w:r w:rsidRPr="00E76A7F">
        <w:rPr>
          <w:color w:val="000000" w:themeColor="text1"/>
          <w:sz w:val="20"/>
          <w:szCs w:val="20"/>
          <w:vertAlign w:val="superscript"/>
          <w:lang w:val="en-DE"/>
        </w:rPr>
        <w:t xml:space="preserve"> * 1,2</w:t>
      </w:r>
      <w:r w:rsidRPr="00E76A7F">
        <w:rPr>
          <w:b/>
          <w:bCs/>
          <w:color w:val="000000" w:themeColor="text1"/>
          <w:sz w:val="20"/>
          <w:szCs w:val="20"/>
          <w:lang w:val="en-DE"/>
        </w:rPr>
        <w:t>, Iain de Jonge-Anderson</w:t>
      </w:r>
      <w:r w:rsidRPr="00E76A7F">
        <w:rPr>
          <w:color w:val="000000" w:themeColor="text1"/>
          <w:sz w:val="20"/>
          <w:szCs w:val="20"/>
          <w:vertAlign w:val="superscript"/>
          <w:lang w:val="en-DE"/>
        </w:rPr>
        <w:t>3</w:t>
      </w:r>
      <w:r w:rsidRPr="00E76A7F">
        <w:rPr>
          <w:b/>
          <w:bCs/>
          <w:color w:val="000000" w:themeColor="text1"/>
          <w:sz w:val="20"/>
          <w:szCs w:val="20"/>
          <w:lang w:val="en-DE"/>
        </w:rPr>
        <w:t>, Tabea Dorndorf</w:t>
      </w:r>
      <w:r w:rsidRPr="00E76A7F">
        <w:rPr>
          <w:color w:val="000000" w:themeColor="text1"/>
          <w:sz w:val="20"/>
          <w:szCs w:val="20"/>
          <w:vertAlign w:val="superscript"/>
          <w:lang w:val="en-DE"/>
        </w:rPr>
        <w:t>1</w:t>
      </w:r>
      <w:r w:rsidRPr="00E76A7F">
        <w:rPr>
          <w:color w:val="000000" w:themeColor="text1"/>
          <w:sz w:val="20"/>
          <w:szCs w:val="20"/>
          <w:lang w:val="en-DE"/>
        </w:rPr>
        <w:t>,</w:t>
      </w:r>
      <w:r w:rsidRPr="00E76A7F">
        <w:rPr>
          <w:b/>
          <w:bCs/>
          <w:color w:val="000000" w:themeColor="text1"/>
          <w:sz w:val="20"/>
          <w:szCs w:val="20"/>
          <w:lang w:val="en-DE"/>
        </w:rPr>
        <w:t xml:space="preserve"> Chen Chris Gong</w:t>
      </w:r>
      <w:r w:rsidRPr="00E76A7F">
        <w:rPr>
          <w:color w:val="000000" w:themeColor="text1"/>
          <w:sz w:val="20"/>
          <w:szCs w:val="20"/>
          <w:vertAlign w:val="superscript"/>
          <w:lang w:val="en-DE"/>
        </w:rPr>
        <w:t>1</w:t>
      </w:r>
      <w:r w:rsidRPr="00E76A7F">
        <w:rPr>
          <w:b/>
          <w:bCs/>
          <w:color w:val="000000" w:themeColor="text1"/>
          <w:sz w:val="20"/>
          <w:szCs w:val="20"/>
          <w:lang w:val="en-DE"/>
        </w:rPr>
        <w:t>, Fabrice Lécuyer</w:t>
      </w:r>
      <w:r w:rsidRPr="00E76A7F">
        <w:rPr>
          <w:color w:val="000000" w:themeColor="text1"/>
          <w:sz w:val="20"/>
          <w:szCs w:val="20"/>
          <w:vertAlign w:val="superscript"/>
          <w:lang w:val="en-DE"/>
        </w:rPr>
        <w:t>1</w:t>
      </w:r>
      <w:r w:rsidRPr="00E76A7F">
        <w:rPr>
          <w:b/>
          <w:bCs/>
          <w:color w:val="000000" w:themeColor="text1"/>
          <w:sz w:val="20"/>
          <w:szCs w:val="20"/>
          <w:lang w:val="en-DE"/>
        </w:rPr>
        <w:t>, Gunnar Luderer</w:t>
      </w:r>
      <w:r w:rsidRPr="00E76A7F">
        <w:rPr>
          <w:color w:val="000000" w:themeColor="text1"/>
          <w:sz w:val="20"/>
          <w:szCs w:val="20"/>
          <w:vertAlign w:val="superscript"/>
          <w:lang w:val="en-DE"/>
        </w:rPr>
        <w:t>1,2</w:t>
      </w:r>
      <w:r w:rsidRPr="00E76A7F">
        <w:rPr>
          <w:b/>
          <w:bCs/>
          <w:color w:val="000000" w:themeColor="text1"/>
          <w:sz w:val="20"/>
          <w:szCs w:val="20"/>
          <w:lang w:val="en-DE"/>
        </w:rPr>
        <w:t>, David Klein</w:t>
      </w:r>
      <w:r w:rsidRPr="00E76A7F">
        <w:rPr>
          <w:color w:val="000000" w:themeColor="text1"/>
          <w:sz w:val="20"/>
          <w:szCs w:val="20"/>
          <w:vertAlign w:val="superscript"/>
          <w:lang w:val="en-DE"/>
        </w:rPr>
        <w:t>1</w:t>
      </w:r>
      <w:r w:rsidRPr="00E76A7F">
        <w:rPr>
          <w:b/>
          <w:bCs/>
          <w:color w:val="000000" w:themeColor="text1"/>
          <w:sz w:val="20"/>
          <w:szCs w:val="20"/>
          <w:lang w:val="en-DE"/>
        </w:rPr>
        <w:t>, Elmar Kriegler</w:t>
      </w:r>
      <w:r w:rsidRPr="00E76A7F">
        <w:rPr>
          <w:color w:val="000000" w:themeColor="text1"/>
          <w:sz w:val="20"/>
          <w:szCs w:val="20"/>
          <w:vertAlign w:val="superscript"/>
          <w:lang w:val="en-DE"/>
        </w:rPr>
        <w:t>1,4</w:t>
      </w:r>
      <w:r w:rsidRPr="00E76A7F">
        <w:rPr>
          <w:b/>
          <w:bCs/>
          <w:color w:val="000000" w:themeColor="text1"/>
          <w:sz w:val="20"/>
          <w:szCs w:val="20"/>
          <w:lang w:val="en-DE"/>
        </w:rPr>
        <w:t>, Adrian Odenweller</w:t>
      </w:r>
      <w:r w:rsidRPr="00E76A7F">
        <w:rPr>
          <w:color w:val="000000" w:themeColor="text1"/>
          <w:sz w:val="20"/>
          <w:szCs w:val="20"/>
          <w:vertAlign w:val="superscript"/>
          <w:lang w:val="en-DE"/>
        </w:rPr>
        <w:t>1</w:t>
      </w:r>
      <w:r w:rsidRPr="00E76A7F">
        <w:rPr>
          <w:b/>
          <w:bCs/>
          <w:color w:val="000000" w:themeColor="text1"/>
          <w:sz w:val="20"/>
          <w:szCs w:val="20"/>
          <w:lang w:val="en-DE"/>
        </w:rPr>
        <w:t>, Jessica Strefler</w:t>
      </w:r>
      <w:r w:rsidRPr="00E76A7F">
        <w:rPr>
          <w:color w:val="000000" w:themeColor="text1"/>
          <w:sz w:val="20"/>
          <w:szCs w:val="20"/>
          <w:vertAlign w:val="superscript"/>
          <w:lang w:val="en-DE"/>
        </w:rPr>
        <w:t>1,5,6</w:t>
      </w:r>
    </w:p>
    <w:p w14:paraId="7248C28A" w14:textId="77777777" w:rsidR="00E76A7F" w:rsidRPr="00E76A7F" w:rsidRDefault="00E76A7F" w:rsidP="00E76A7F">
      <w:pPr>
        <w:spacing w:after="0"/>
        <w:jc w:val="center"/>
        <w:rPr>
          <w:color w:val="000000"/>
          <w:sz w:val="20"/>
          <w:szCs w:val="20"/>
          <w:lang w:val="en-DE"/>
        </w:rPr>
      </w:pPr>
    </w:p>
    <w:p w14:paraId="6C5C1D05" w14:textId="77777777" w:rsidR="00E76A7F" w:rsidRPr="00E76A7F" w:rsidRDefault="00E76A7F" w:rsidP="00E76A7F">
      <w:pPr>
        <w:spacing w:after="0"/>
        <w:jc w:val="center"/>
        <w:rPr>
          <w:color w:val="000000"/>
          <w:sz w:val="20"/>
          <w:szCs w:val="20"/>
          <w:lang w:val="en-DE"/>
        </w:rPr>
      </w:pPr>
    </w:p>
    <w:p w14:paraId="24D23072" w14:textId="77777777" w:rsidR="00E76A7F" w:rsidRPr="00E76A7F" w:rsidRDefault="00E76A7F" w:rsidP="00E76A7F">
      <w:pPr>
        <w:spacing w:after="0"/>
        <w:jc w:val="center"/>
        <w:rPr>
          <w:color w:val="000000"/>
          <w:sz w:val="20"/>
          <w:szCs w:val="20"/>
          <w:lang w:val="en-DE"/>
        </w:rPr>
      </w:pPr>
    </w:p>
    <w:p w14:paraId="2E9940FC" w14:textId="77777777" w:rsidR="00E76A7F" w:rsidRPr="00E76A7F" w:rsidRDefault="00E76A7F" w:rsidP="00E76A7F">
      <w:pPr>
        <w:spacing w:after="0"/>
        <w:rPr>
          <w:color w:val="000000"/>
          <w:sz w:val="20"/>
          <w:szCs w:val="20"/>
          <w:lang w:val="en-US"/>
        </w:rPr>
      </w:pPr>
      <w:bookmarkStart w:id="0" w:name="_heading=h.mvbt1qd10yev"/>
      <w:bookmarkEnd w:id="0"/>
      <w:r w:rsidRPr="00E76A7F">
        <w:rPr>
          <w:color w:val="000000"/>
          <w:sz w:val="20"/>
          <w:szCs w:val="20"/>
          <w:vertAlign w:val="superscript"/>
          <w:lang w:val="en-US"/>
        </w:rPr>
        <w:t xml:space="preserve">* </w:t>
      </w:r>
      <w:r w:rsidRPr="00E76A7F">
        <w:rPr>
          <w:color w:val="000000"/>
          <w:sz w:val="20"/>
          <w:szCs w:val="20"/>
          <w:lang w:val="en-US"/>
        </w:rPr>
        <w:t>Corresponding author: anne.merfort@pik-potsdam.de</w:t>
      </w:r>
    </w:p>
    <w:p w14:paraId="485EC688" w14:textId="77777777" w:rsidR="00E76A7F" w:rsidRDefault="00E76A7F" w:rsidP="00E76A7F">
      <w:pPr>
        <w:spacing w:after="0"/>
        <w:rPr>
          <w:color w:val="000000"/>
          <w:sz w:val="20"/>
          <w:szCs w:val="20"/>
          <w:lang w:val="en-US"/>
        </w:rPr>
      </w:pPr>
      <w:proofErr w:type="gramStart"/>
      <w:r>
        <w:rPr>
          <w:color w:val="000000" w:themeColor="text1"/>
          <w:sz w:val="20"/>
          <w:szCs w:val="20"/>
          <w:vertAlign w:val="superscript"/>
          <w:lang w:val="en-US"/>
        </w:rPr>
        <w:t>1</w:t>
      </w:r>
      <w:r>
        <w:rPr>
          <w:color w:val="000000" w:themeColor="text1"/>
          <w:sz w:val="12"/>
          <w:szCs w:val="12"/>
          <w:vertAlign w:val="superscript"/>
          <w:lang w:val="en-US"/>
        </w:rPr>
        <w:t xml:space="preserve">  </w:t>
      </w:r>
      <w:r>
        <w:rPr>
          <w:color w:val="000000" w:themeColor="text1"/>
          <w:sz w:val="20"/>
          <w:szCs w:val="20"/>
          <w:lang w:val="en-US"/>
        </w:rPr>
        <w:t>Potsdam</w:t>
      </w:r>
      <w:proofErr w:type="gramEnd"/>
      <w:r>
        <w:rPr>
          <w:color w:val="000000" w:themeColor="text1"/>
          <w:sz w:val="20"/>
          <w:szCs w:val="20"/>
          <w:lang w:val="en-US"/>
        </w:rPr>
        <w:t xml:space="preserve"> Institute for Climate Impact Research (PIK), Member of the Leibniz Association, 14473 Potsdam, Germany</w:t>
      </w:r>
    </w:p>
    <w:p w14:paraId="76F33814" w14:textId="77777777" w:rsidR="00E76A7F" w:rsidRDefault="00E76A7F" w:rsidP="00E76A7F">
      <w:pPr>
        <w:spacing w:after="0"/>
        <w:rPr>
          <w:color w:val="000000"/>
          <w:sz w:val="20"/>
          <w:szCs w:val="20"/>
        </w:rPr>
      </w:pPr>
      <w:r>
        <w:rPr>
          <w:color w:val="000000" w:themeColor="text1"/>
          <w:sz w:val="20"/>
          <w:szCs w:val="20"/>
          <w:vertAlign w:val="superscript"/>
        </w:rPr>
        <w:t xml:space="preserve">2 </w:t>
      </w:r>
      <w:r>
        <w:rPr>
          <w:color w:val="000000" w:themeColor="text1"/>
          <w:sz w:val="20"/>
          <w:szCs w:val="20"/>
        </w:rPr>
        <w:t>Global Energy Systems Analysis, Technische Universität Berlin, 10623 Berlin, Germany</w:t>
      </w:r>
    </w:p>
    <w:p w14:paraId="6BBB4DF3" w14:textId="77777777" w:rsidR="00E76A7F" w:rsidRDefault="00E76A7F" w:rsidP="00E76A7F">
      <w:pPr>
        <w:spacing w:after="0"/>
        <w:rPr>
          <w:color w:val="000000"/>
          <w:sz w:val="20"/>
          <w:szCs w:val="20"/>
          <w:lang w:val="en-DE"/>
        </w:rPr>
      </w:pPr>
      <w:r w:rsidRPr="00E76A7F">
        <w:rPr>
          <w:color w:val="000000"/>
          <w:sz w:val="20"/>
          <w:szCs w:val="20"/>
          <w:vertAlign w:val="superscript"/>
          <w:lang w:val="en-US"/>
        </w:rPr>
        <w:t xml:space="preserve">3 </w:t>
      </w:r>
      <w:r w:rsidRPr="00E76A7F">
        <w:rPr>
          <w:color w:val="000000"/>
          <w:sz w:val="20"/>
          <w:szCs w:val="20"/>
          <w:lang w:val="en-US"/>
        </w:rPr>
        <w:t>University of Strathclyde</w:t>
      </w:r>
    </w:p>
    <w:p w14:paraId="0BAA58B2" w14:textId="77777777" w:rsidR="00E76A7F" w:rsidRPr="00E76A7F" w:rsidRDefault="00E76A7F" w:rsidP="00E76A7F">
      <w:pPr>
        <w:spacing w:after="0"/>
        <w:rPr>
          <w:color w:val="000000"/>
          <w:sz w:val="20"/>
          <w:szCs w:val="20"/>
          <w:lang w:val="en-US"/>
        </w:rPr>
      </w:pPr>
      <w:r w:rsidRPr="00E76A7F">
        <w:rPr>
          <w:color w:val="000000"/>
          <w:sz w:val="20"/>
          <w:szCs w:val="20"/>
          <w:vertAlign w:val="superscript"/>
          <w:lang w:val="en-US"/>
        </w:rPr>
        <w:t xml:space="preserve">4 </w:t>
      </w:r>
      <w:r w:rsidRPr="00E76A7F">
        <w:rPr>
          <w:color w:val="000000"/>
          <w:sz w:val="20"/>
          <w:szCs w:val="20"/>
          <w:lang w:val="en-US"/>
        </w:rPr>
        <w:t>Faculty of Economics and Social Sciences, University of Potsdam, 14483 Potsdam, Germany</w:t>
      </w:r>
    </w:p>
    <w:p w14:paraId="21194A0E" w14:textId="77777777" w:rsidR="00E76A7F" w:rsidRPr="00E76A7F" w:rsidRDefault="00E76A7F" w:rsidP="00E76A7F">
      <w:pPr>
        <w:spacing w:after="0"/>
        <w:rPr>
          <w:color w:val="000000"/>
          <w:sz w:val="20"/>
          <w:szCs w:val="20"/>
          <w:lang w:val="en-US"/>
        </w:rPr>
      </w:pPr>
      <w:r w:rsidRPr="00E76A7F">
        <w:rPr>
          <w:color w:val="000000"/>
          <w:sz w:val="20"/>
          <w:szCs w:val="20"/>
          <w:vertAlign w:val="superscript"/>
          <w:lang w:val="en-US"/>
        </w:rPr>
        <w:t xml:space="preserve">5 </w:t>
      </w:r>
      <w:r w:rsidRPr="00E76A7F">
        <w:rPr>
          <w:color w:val="000000"/>
          <w:sz w:val="20"/>
          <w:szCs w:val="20"/>
          <w:lang w:val="en-US"/>
        </w:rPr>
        <w:t>Novo Nordisk Foundation CO2 Research Center, Aarhus, Denmark</w:t>
      </w:r>
    </w:p>
    <w:p w14:paraId="623AC710" w14:textId="77777777" w:rsidR="00E76A7F" w:rsidRPr="00E76A7F" w:rsidRDefault="00E76A7F" w:rsidP="00E76A7F">
      <w:pPr>
        <w:spacing w:after="0"/>
        <w:rPr>
          <w:color w:val="000000"/>
          <w:sz w:val="20"/>
          <w:szCs w:val="20"/>
          <w:lang w:val="en-US"/>
        </w:rPr>
      </w:pPr>
      <w:r w:rsidRPr="00E76A7F">
        <w:rPr>
          <w:color w:val="000000"/>
          <w:sz w:val="20"/>
          <w:szCs w:val="20"/>
          <w:vertAlign w:val="superscript"/>
          <w:lang w:val="en-US"/>
        </w:rPr>
        <w:t>6</w:t>
      </w:r>
      <w:r w:rsidRPr="00E76A7F">
        <w:rPr>
          <w:color w:val="000000"/>
          <w:sz w:val="20"/>
          <w:szCs w:val="20"/>
          <w:lang w:val="en-US"/>
        </w:rPr>
        <w:t xml:space="preserve"> Department of Mechanical and Production Engineering, Aarhus University, Aarhus, Denmark</w:t>
      </w:r>
    </w:p>
    <w:p w14:paraId="6F40BF23" w14:textId="77777777" w:rsidR="007E4D39" w:rsidRPr="00E76A7F" w:rsidRDefault="007E4D39" w:rsidP="007E4D39">
      <w:pPr>
        <w:pStyle w:val="IOPAff"/>
        <w:ind w:right="0"/>
        <w:rPr>
          <w:sz w:val="20"/>
          <w:szCs w:val="20"/>
          <w:lang w:val="en-US"/>
        </w:rPr>
      </w:pPr>
    </w:p>
    <w:p w14:paraId="21F183E0" w14:textId="679EFF5E" w:rsidR="00894CF7" w:rsidRDefault="00894CF7">
      <w:pPr>
        <w:rPr>
          <w:rFonts w:eastAsiaTheme="minorHAnsi" w:cs="Times New Roman"/>
          <w:strike/>
          <w:sz w:val="20"/>
          <w:szCs w:val="20"/>
          <w:shd w:val="pct15" w:color="auto" w:fill="FFFFFF"/>
          <w:lang w:val="en-GB" w:eastAsia="en-US"/>
        </w:rPr>
      </w:pPr>
      <w:r w:rsidRPr="004B2B44">
        <w:rPr>
          <w:strike/>
          <w:sz w:val="20"/>
          <w:szCs w:val="20"/>
          <w:shd w:val="pct15" w:color="auto" w:fill="FFFFFF"/>
          <w:lang w:val="en-US"/>
        </w:rPr>
        <w:br w:type="page"/>
      </w:r>
    </w:p>
    <w:p w14:paraId="186FC4B2" w14:textId="372FBEE7" w:rsidR="00C025E6" w:rsidRDefault="00C025E6" w:rsidP="004B2B44">
      <w:pPr>
        <w:pStyle w:val="Heading1"/>
        <w:rPr>
          <w:shd w:val="pct15" w:color="auto" w:fill="FFFFFF"/>
          <w:lang w:val="en-DE"/>
        </w:rPr>
      </w:pPr>
      <w:r>
        <w:rPr>
          <w:shd w:val="pct15" w:color="auto" w:fill="FFFFFF"/>
          <w:lang w:val="en-DE"/>
        </w:rPr>
        <w:lastRenderedPageBreak/>
        <w:t>Supplementary Table 1</w:t>
      </w:r>
    </w:p>
    <w:tbl>
      <w:tblPr>
        <w:tblStyle w:val="TableGrid"/>
        <w:tblW w:w="0" w:type="auto"/>
        <w:tblLook w:val="04A0" w:firstRow="1" w:lastRow="0" w:firstColumn="1" w:lastColumn="0" w:noHBand="0" w:noVBand="1"/>
      </w:tblPr>
      <w:tblGrid>
        <w:gridCol w:w="1794"/>
        <w:gridCol w:w="1556"/>
        <w:gridCol w:w="1556"/>
        <w:gridCol w:w="1914"/>
        <w:gridCol w:w="2196"/>
      </w:tblGrid>
      <w:tr w:rsidR="00E966BD" w:rsidRPr="00F1298E" w14:paraId="4FB19180" w14:textId="77777777" w:rsidTr="00DD5A0A">
        <w:tc>
          <w:tcPr>
            <w:tcW w:w="1794" w:type="dxa"/>
            <w:vMerge w:val="restart"/>
          </w:tcPr>
          <w:p w14:paraId="2713E76D" w14:textId="7DC58889" w:rsidR="00E966BD" w:rsidRDefault="00E966BD" w:rsidP="00C025E6">
            <w:pPr>
              <w:rPr>
                <w:lang w:val="en-DE"/>
              </w:rPr>
            </w:pPr>
            <w:r>
              <w:rPr>
                <w:lang w:val="en-DE"/>
              </w:rPr>
              <w:t>REMIND region</w:t>
            </w:r>
          </w:p>
        </w:tc>
        <w:tc>
          <w:tcPr>
            <w:tcW w:w="5026" w:type="dxa"/>
            <w:gridSpan w:val="3"/>
          </w:tcPr>
          <w:p w14:paraId="4C99377A" w14:textId="2E7D8667" w:rsidR="00E966BD" w:rsidRDefault="00E966BD" w:rsidP="00C025E6">
            <w:pPr>
              <w:rPr>
                <w:lang w:val="en-DE"/>
              </w:rPr>
            </w:pPr>
            <w:r>
              <w:rPr>
                <w:lang w:val="en-DE"/>
              </w:rPr>
              <w:t>Regional initial capacity in 2030</w:t>
            </w:r>
          </w:p>
          <w:p w14:paraId="7DA4687E" w14:textId="7F677723" w:rsidR="00E966BD" w:rsidRDefault="00E966BD" w:rsidP="00C025E6">
            <w:pPr>
              <w:rPr>
                <w:lang w:val="en-DE"/>
              </w:rPr>
            </w:pPr>
            <w:r>
              <w:rPr>
                <w:lang w:val="en-DE"/>
              </w:rPr>
              <w:t>in MtCO2/</w:t>
            </w:r>
            <w:proofErr w:type="spellStart"/>
            <w:r>
              <w:rPr>
                <w:lang w:val="en-DE"/>
              </w:rPr>
              <w:t>yr</w:t>
            </w:r>
            <w:proofErr w:type="spellEnd"/>
          </w:p>
        </w:tc>
        <w:tc>
          <w:tcPr>
            <w:tcW w:w="2196" w:type="dxa"/>
            <w:vMerge w:val="restart"/>
          </w:tcPr>
          <w:p w14:paraId="4C668C81" w14:textId="1F8BE58D" w:rsidR="00E966BD" w:rsidRDefault="00E966BD" w:rsidP="00C025E6">
            <w:pPr>
              <w:rPr>
                <w:lang w:val="en-DE"/>
              </w:rPr>
            </w:pPr>
            <w:r>
              <w:rPr>
                <w:lang w:val="en-DE"/>
              </w:rPr>
              <w:t xml:space="preserve">Regional market saturation K </w:t>
            </w:r>
            <w:r>
              <w:rPr>
                <w:lang w:val="en-DE"/>
              </w:rPr>
              <w:br/>
              <w:t>in MtCO2/</w:t>
            </w:r>
            <w:proofErr w:type="spellStart"/>
            <w:r>
              <w:rPr>
                <w:lang w:val="en-DE"/>
              </w:rPr>
              <w:t>yr</w:t>
            </w:r>
            <w:proofErr w:type="spellEnd"/>
          </w:p>
        </w:tc>
      </w:tr>
      <w:tr w:rsidR="00E966BD" w14:paraId="30F2CF7A" w14:textId="77777777" w:rsidTr="00E966BD">
        <w:tc>
          <w:tcPr>
            <w:tcW w:w="1794" w:type="dxa"/>
            <w:vMerge/>
            <w:vAlign w:val="bottom"/>
          </w:tcPr>
          <w:p w14:paraId="7C1E188F" w14:textId="77777777" w:rsidR="00E966BD" w:rsidRPr="00DA70B3" w:rsidRDefault="00E966BD" w:rsidP="00C025E6">
            <w:pPr>
              <w:rPr>
                <w:rFonts w:ascii="Calibri" w:hAnsi="Calibri" w:cs="Calibri"/>
                <w:color w:val="000000"/>
                <w:lang w:val="en-US"/>
              </w:rPr>
            </w:pPr>
          </w:p>
        </w:tc>
        <w:tc>
          <w:tcPr>
            <w:tcW w:w="1556" w:type="dxa"/>
          </w:tcPr>
          <w:p w14:paraId="29A12C99" w14:textId="6D29AA35" w:rsidR="00E966BD" w:rsidRDefault="00E966BD" w:rsidP="00C025E6">
            <w:pPr>
              <w:rPr>
                <w:lang w:val="en-DE"/>
              </w:rPr>
            </w:pPr>
            <w:r>
              <w:rPr>
                <w:lang w:val="en-DE"/>
              </w:rPr>
              <w:t>Slow growth</w:t>
            </w:r>
          </w:p>
        </w:tc>
        <w:tc>
          <w:tcPr>
            <w:tcW w:w="1556" w:type="dxa"/>
          </w:tcPr>
          <w:p w14:paraId="2738ACCB" w14:textId="14643CA4" w:rsidR="00E966BD" w:rsidRDefault="00E966BD" w:rsidP="00C025E6">
            <w:pPr>
              <w:rPr>
                <w:lang w:val="en-DE"/>
              </w:rPr>
            </w:pPr>
            <w:r>
              <w:rPr>
                <w:lang w:val="en-DE"/>
              </w:rPr>
              <w:t>Ambitious growth</w:t>
            </w:r>
          </w:p>
        </w:tc>
        <w:tc>
          <w:tcPr>
            <w:tcW w:w="1914" w:type="dxa"/>
          </w:tcPr>
          <w:p w14:paraId="4449BEF6" w14:textId="72F275A9" w:rsidR="00E966BD" w:rsidRDefault="00E966BD" w:rsidP="00C025E6">
            <w:pPr>
              <w:rPr>
                <w:lang w:val="en-DE"/>
              </w:rPr>
            </w:pPr>
            <w:r>
              <w:rPr>
                <w:lang w:val="en-DE"/>
              </w:rPr>
              <w:t>Emergency deployment</w:t>
            </w:r>
          </w:p>
        </w:tc>
        <w:tc>
          <w:tcPr>
            <w:tcW w:w="2196" w:type="dxa"/>
            <w:vMerge/>
            <w:vAlign w:val="bottom"/>
          </w:tcPr>
          <w:p w14:paraId="5C2FCDB0" w14:textId="77777777" w:rsidR="00E966BD" w:rsidRDefault="00E966BD" w:rsidP="00C025E6">
            <w:pPr>
              <w:rPr>
                <w:rFonts w:ascii="Calibri" w:hAnsi="Calibri" w:cs="Calibri"/>
                <w:color w:val="000000"/>
              </w:rPr>
            </w:pPr>
          </w:p>
        </w:tc>
      </w:tr>
      <w:tr w:rsidR="00E966BD" w14:paraId="7B7E7CDE" w14:textId="77777777" w:rsidTr="00B41356">
        <w:tc>
          <w:tcPr>
            <w:tcW w:w="1794" w:type="dxa"/>
            <w:vAlign w:val="bottom"/>
          </w:tcPr>
          <w:p w14:paraId="6A27C18D" w14:textId="720FE9EF" w:rsidR="00E966BD" w:rsidRDefault="00E966BD" w:rsidP="00E966BD">
            <w:pPr>
              <w:rPr>
                <w:lang w:val="en-DE"/>
              </w:rPr>
            </w:pPr>
            <w:r>
              <w:rPr>
                <w:rFonts w:ascii="Calibri" w:hAnsi="Calibri" w:cs="Calibri"/>
                <w:color w:val="000000"/>
              </w:rPr>
              <w:t>CAZ</w:t>
            </w:r>
          </w:p>
        </w:tc>
        <w:tc>
          <w:tcPr>
            <w:tcW w:w="1556" w:type="dxa"/>
            <w:vAlign w:val="bottom"/>
          </w:tcPr>
          <w:p w14:paraId="29227CC3" w14:textId="046D4E72" w:rsidR="00E966BD" w:rsidRDefault="00E966BD" w:rsidP="00E966BD">
            <w:pPr>
              <w:rPr>
                <w:lang w:val="en-DE"/>
              </w:rPr>
            </w:pPr>
            <w:r>
              <w:rPr>
                <w:rFonts w:ascii="Calibri" w:hAnsi="Calibri" w:cs="Calibri"/>
                <w:color w:val="000000"/>
              </w:rPr>
              <w:t>24.8</w:t>
            </w:r>
          </w:p>
        </w:tc>
        <w:tc>
          <w:tcPr>
            <w:tcW w:w="1556" w:type="dxa"/>
            <w:vAlign w:val="bottom"/>
          </w:tcPr>
          <w:p w14:paraId="2DBE0108" w14:textId="700758B5" w:rsidR="00E966BD" w:rsidRDefault="00E966BD" w:rsidP="00E966BD">
            <w:pPr>
              <w:rPr>
                <w:lang w:val="en-DE"/>
              </w:rPr>
            </w:pPr>
            <w:r>
              <w:rPr>
                <w:rFonts w:ascii="Calibri" w:hAnsi="Calibri" w:cs="Calibri"/>
                <w:color w:val="000000"/>
              </w:rPr>
              <w:t>38.9</w:t>
            </w:r>
          </w:p>
        </w:tc>
        <w:tc>
          <w:tcPr>
            <w:tcW w:w="1914" w:type="dxa"/>
            <w:vAlign w:val="bottom"/>
          </w:tcPr>
          <w:p w14:paraId="35A1955D" w14:textId="3AFDAAD8" w:rsidR="00E966BD" w:rsidRDefault="00E966BD" w:rsidP="00E966BD">
            <w:pPr>
              <w:rPr>
                <w:lang w:val="en-DE"/>
              </w:rPr>
            </w:pPr>
            <w:r>
              <w:rPr>
                <w:rFonts w:ascii="Calibri" w:hAnsi="Calibri" w:cs="Calibri"/>
                <w:color w:val="000000"/>
              </w:rPr>
              <w:t>53</w:t>
            </w:r>
          </w:p>
        </w:tc>
        <w:tc>
          <w:tcPr>
            <w:tcW w:w="2196" w:type="dxa"/>
            <w:vAlign w:val="bottom"/>
          </w:tcPr>
          <w:p w14:paraId="64E25229" w14:textId="54F21DE6" w:rsidR="00E966BD" w:rsidRDefault="00E966BD" w:rsidP="00E966BD">
            <w:pPr>
              <w:rPr>
                <w:lang w:val="en-DE"/>
              </w:rPr>
            </w:pPr>
            <w:r>
              <w:rPr>
                <w:rFonts w:ascii="Calibri" w:hAnsi="Calibri" w:cs="Calibri"/>
                <w:color w:val="000000"/>
              </w:rPr>
              <w:t>276</w:t>
            </w:r>
          </w:p>
        </w:tc>
      </w:tr>
      <w:tr w:rsidR="00E966BD" w14:paraId="1A6A09DB" w14:textId="77777777" w:rsidTr="00B41356">
        <w:tc>
          <w:tcPr>
            <w:tcW w:w="1794" w:type="dxa"/>
            <w:vAlign w:val="bottom"/>
          </w:tcPr>
          <w:p w14:paraId="3E89544C" w14:textId="678E66F7" w:rsidR="00E966BD" w:rsidRDefault="00E966BD" w:rsidP="00E966BD">
            <w:pPr>
              <w:rPr>
                <w:lang w:val="en-DE"/>
              </w:rPr>
            </w:pPr>
            <w:r>
              <w:rPr>
                <w:rFonts w:ascii="Calibri" w:hAnsi="Calibri" w:cs="Calibri"/>
                <w:color w:val="000000"/>
              </w:rPr>
              <w:t>CHA</w:t>
            </w:r>
          </w:p>
        </w:tc>
        <w:tc>
          <w:tcPr>
            <w:tcW w:w="1556" w:type="dxa"/>
            <w:vAlign w:val="bottom"/>
          </w:tcPr>
          <w:p w14:paraId="7D2DF137" w14:textId="3D7AF520" w:rsidR="00E966BD" w:rsidRDefault="00E966BD" w:rsidP="00E966BD">
            <w:pPr>
              <w:rPr>
                <w:lang w:val="en-DE"/>
              </w:rPr>
            </w:pPr>
            <w:r>
              <w:rPr>
                <w:rFonts w:ascii="Calibri" w:hAnsi="Calibri" w:cs="Calibri"/>
                <w:color w:val="000000"/>
              </w:rPr>
              <w:t>9.7</w:t>
            </w:r>
          </w:p>
        </w:tc>
        <w:tc>
          <w:tcPr>
            <w:tcW w:w="1556" w:type="dxa"/>
            <w:vAlign w:val="bottom"/>
          </w:tcPr>
          <w:p w14:paraId="70B06754" w14:textId="64E31ACD" w:rsidR="00E966BD" w:rsidRDefault="00E966BD" w:rsidP="00E966BD">
            <w:pPr>
              <w:rPr>
                <w:lang w:val="en-DE"/>
              </w:rPr>
            </w:pPr>
            <w:r>
              <w:rPr>
                <w:rFonts w:ascii="Calibri" w:hAnsi="Calibri" w:cs="Calibri"/>
                <w:color w:val="000000"/>
              </w:rPr>
              <w:t>11.1</w:t>
            </w:r>
          </w:p>
        </w:tc>
        <w:tc>
          <w:tcPr>
            <w:tcW w:w="1914" w:type="dxa"/>
            <w:vAlign w:val="bottom"/>
          </w:tcPr>
          <w:p w14:paraId="35A5E0E1" w14:textId="30900553" w:rsidR="00E966BD" w:rsidRDefault="00E966BD" w:rsidP="00E966BD">
            <w:pPr>
              <w:rPr>
                <w:lang w:val="en-DE"/>
              </w:rPr>
            </w:pPr>
            <w:r>
              <w:rPr>
                <w:rFonts w:ascii="Calibri" w:hAnsi="Calibri" w:cs="Calibri"/>
                <w:color w:val="000000"/>
              </w:rPr>
              <w:t>12.5</w:t>
            </w:r>
          </w:p>
        </w:tc>
        <w:tc>
          <w:tcPr>
            <w:tcW w:w="2196" w:type="dxa"/>
            <w:vAlign w:val="bottom"/>
          </w:tcPr>
          <w:p w14:paraId="40B43B4B" w14:textId="6771EBED" w:rsidR="00E966BD" w:rsidRDefault="00E966BD" w:rsidP="00E966BD">
            <w:pPr>
              <w:rPr>
                <w:lang w:val="en-DE"/>
              </w:rPr>
            </w:pPr>
            <w:r>
              <w:rPr>
                <w:rFonts w:ascii="Calibri" w:hAnsi="Calibri" w:cs="Calibri"/>
                <w:color w:val="000000"/>
              </w:rPr>
              <w:t>1540</w:t>
            </w:r>
          </w:p>
        </w:tc>
      </w:tr>
      <w:tr w:rsidR="00E966BD" w14:paraId="6FE8C2A8" w14:textId="77777777" w:rsidTr="00B41356">
        <w:tc>
          <w:tcPr>
            <w:tcW w:w="1794" w:type="dxa"/>
            <w:vAlign w:val="bottom"/>
          </w:tcPr>
          <w:p w14:paraId="7108C3E3" w14:textId="5D10F65C" w:rsidR="00E966BD" w:rsidRDefault="00E966BD" w:rsidP="00E966BD">
            <w:pPr>
              <w:rPr>
                <w:lang w:val="en-DE"/>
              </w:rPr>
            </w:pPr>
            <w:r>
              <w:rPr>
                <w:rFonts w:ascii="Calibri" w:hAnsi="Calibri" w:cs="Calibri"/>
                <w:color w:val="000000"/>
              </w:rPr>
              <w:t>EUR</w:t>
            </w:r>
          </w:p>
        </w:tc>
        <w:tc>
          <w:tcPr>
            <w:tcW w:w="1556" w:type="dxa"/>
            <w:vAlign w:val="bottom"/>
          </w:tcPr>
          <w:p w14:paraId="1D716B11" w14:textId="63579898" w:rsidR="00E966BD" w:rsidRDefault="00E966BD" w:rsidP="00E966BD">
            <w:pPr>
              <w:rPr>
                <w:lang w:val="en-DE"/>
              </w:rPr>
            </w:pPr>
            <w:r>
              <w:rPr>
                <w:rFonts w:ascii="Calibri" w:hAnsi="Calibri" w:cs="Calibri"/>
                <w:color w:val="000000"/>
              </w:rPr>
              <w:t>14.4</w:t>
            </w:r>
          </w:p>
        </w:tc>
        <w:tc>
          <w:tcPr>
            <w:tcW w:w="1556" w:type="dxa"/>
            <w:vAlign w:val="bottom"/>
          </w:tcPr>
          <w:p w14:paraId="4ECB0706" w14:textId="77881ED5" w:rsidR="00E966BD" w:rsidRDefault="00E966BD" w:rsidP="00E966BD">
            <w:pPr>
              <w:rPr>
                <w:lang w:val="en-DE"/>
              </w:rPr>
            </w:pPr>
            <w:r>
              <w:rPr>
                <w:rFonts w:ascii="Calibri" w:hAnsi="Calibri" w:cs="Calibri"/>
                <w:color w:val="000000"/>
              </w:rPr>
              <w:t>26.2</w:t>
            </w:r>
          </w:p>
        </w:tc>
        <w:tc>
          <w:tcPr>
            <w:tcW w:w="1914" w:type="dxa"/>
            <w:vAlign w:val="bottom"/>
          </w:tcPr>
          <w:p w14:paraId="2A0CE7E8" w14:textId="2029075D" w:rsidR="00E966BD" w:rsidRDefault="00E966BD" w:rsidP="00E966BD">
            <w:pPr>
              <w:rPr>
                <w:lang w:val="en-DE"/>
              </w:rPr>
            </w:pPr>
            <w:r>
              <w:rPr>
                <w:rFonts w:ascii="Calibri" w:hAnsi="Calibri" w:cs="Calibri"/>
                <w:color w:val="000000"/>
              </w:rPr>
              <w:t>38</w:t>
            </w:r>
          </w:p>
        </w:tc>
        <w:tc>
          <w:tcPr>
            <w:tcW w:w="2196" w:type="dxa"/>
            <w:vAlign w:val="bottom"/>
          </w:tcPr>
          <w:p w14:paraId="65A56A2F" w14:textId="1874C81B" w:rsidR="00E966BD" w:rsidRDefault="00E966BD" w:rsidP="00E966BD">
            <w:pPr>
              <w:rPr>
                <w:lang w:val="en-DE"/>
              </w:rPr>
            </w:pPr>
            <w:r>
              <w:rPr>
                <w:rFonts w:ascii="Calibri" w:hAnsi="Calibri" w:cs="Calibri"/>
                <w:color w:val="000000"/>
              </w:rPr>
              <w:t>602</w:t>
            </w:r>
          </w:p>
        </w:tc>
      </w:tr>
      <w:tr w:rsidR="00E966BD" w14:paraId="4F7AE471" w14:textId="77777777" w:rsidTr="00B41356">
        <w:tc>
          <w:tcPr>
            <w:tcW w:w="1794" w:type="dxa"/>
            <w:vAlign w:val="bottom"/>
          </w:tcPr>
          <w:p w14:paraId="4F8096E6" w14:textId="6EC7FF16" w:rsidR="00E966BD" w:rsidRDefault="00E966BD" w:rsidP="00E966BD">
            <w:pPr>
              <w:rPr>
                <w:lang w:val="en-DE"/>
              </w:rPr>
            </w:pPr>
            <w:r>
              <w:rPr>
                <w:rFonts w:ascii="Calibri" w:hAnsi="Calibri" w:cs="Calibri"/>
                <w:color w:val="000000"/>
              </w:rPr>
              <w:t>IND</w:t>
            </w:r>
          </w:p>
        </w:tc>
        <w:tc>
          <w:tcPr>
            <w:tcW w:w="1556" w:type="dxa"/>
            <w:vAlign w:val="bottom"/>
          </w:tcPr>
          <w:p w14:paraId="62D655AC" w14:textId="578DFBF6" w:rsidR="00E966BD" w:rsidRDefault="00E966BD" w:rsidP="00E966BD">
            <w:pPr>
              <w:rPr>
                <w:lang w:val="en-DE"/>
              </w:rPr>
            </w:pPr>
            <w:r>
              <w:rPr>
                <w:rFonts w:ascii="Calibri" w:hAnsi="Calibri" w:cs="Calibri"/>
                <w:color w:val="000000"/>
              </w:rPr>
              <w:t>0</w:t>
            </w:r>
          </w:p>
        </w:tc>
        <w:tc>
          <w:tcPr>
            <w:tcW w:w="1556" w:type="dxa"/>
            <w:vAlign w:val="bottom"/>
          </w:tcPr>
          <w:p w14:paraId="724B4591" w14:textId="3C13D4F4" w:rsidR="00E966BD" w:rsidRDefault="00E966BD" w:rsidP="00E966BD">
            <w:pPr>
              <w:rPr>
                <w:lang w:val="en-DE"/>
              </w:rPr>
            </w:pPr>
            <w:r>
              <w:rPr>
                <w:rFonts w:ascii="Calibri" w:hAnsi="Calibri" w:cs="Calibri"/>
                <w:color w:val="000000"/>
              </w:rPr>
              <w:t>0</w:t>
            </w:r>
          </w:p>
        </w:tc>
        <w:tc>
          <w:tcPr>
            <w:tcW w:w="1914" w:type="dxa"/>
            <w:vAlign w:val="bottom"/>
          </w:tcPr>
          <w:p w14:paraId="471FDAB0" w14:textId="610C35D4" w:rsidR="00E966BD" w:rsidRDefault="00E966BD" w:rsidP="00E966BD">
            <w:pPr>
              <w:rPr>
                <w:lang w:val="en-DE"/>
              </w:rPr>
            </w:pPr>
            <w:r>
              <w:rPr>
                <w:rFonts w:ascii="Calibri" w:hAnsi="Calibri" w:cs="Calibri"/>
                <w:color w:val="000000"/>
              </w:rPr>
              <w:t>0</w:t>
            </w:r>
          </w:p>
        </w:tc>
        <w:tc>
          <w:tcPr>
            <w:tcW w:w="2196" w:type="dxa"/>
            <w:vAlign w:val="bottom"/>
          </w:tcPr>
          <w:p w14:paraId="6B581A2D" w14:textId="532D6197" w:rsidR="00E966BD" w:rsidRDefault="00E966BD" w:rsidP="00E966BD">
            <w:pPr>
              <w:rPr>
                <w:lang w:val="en-DE"/>
              </w:rPr>
            </w:pPr>
            <w:r>
              <w:rPr>
                <w:rFonts w:ascii="Calibri" w:hAnsi="Calibri" w:cs="Calibri"/>
                <w:color w:val="000000"/>
              </w:rPr>
              <w:t>868</w:t>
            </w:r>
          </w:p>
        </w:tc>
      </w:tr>
      <w:tr w:rsidR="00E966BD" w14:paraId="6B006321" w14:textId="77777777" w:rsidTr="00B41356">
        <w:tc>
          <w:tcPr>
            <w:tcW w:w="1794" w:type="dxa"/>
            <w:vAlign w:val="bottom"/>
          </w:tcPr>
          <w:p w14:paraId="389AB551" w14:textId="0991DCC4" w:rsidR="00E966BD" w:rsidRDefault="00E966BD" w:rsidP="00E966BD">
            <w:pPr>
              <w:rPr>
                <w:lang w:val="en-DE"/>
              </w:rPr>
            </w:pPr>
            <w:r>
              <w:rPr>
                <w:rFonts w:ascii="Calibri" w:hAnsi="Calibri" w:cs="Calibri"/>
                <w:color w:val="000000"/>
              </w:rPr>
              <w:t>LAM</w:t>
            </w:r>
          </w:p>
        </w:tc>
        <w:tc>
          <w:tcPr>
            <w:tcW w:w="1556" w:type="dxa"/>
            <w:vAlign w:val="bottom"/>
          </w:tcPr>
          <w:p w14:paraId="7A774A72" w14:textId="32E952FF" w:rsidR="00E966BD" w:rsidRDefault="00E966BD" w:rsidP="00E966BD">
            <w:pPr>
              <w:rPr>
                <w:lang w:val="en-DE"/>
              </w:rPr>
            </w:pPr>
            <w:r>
              <w:rPr>
                <w:rFonts w:ascii="Calibri" w:hAnsi="Calibri" w:cs="Calibri"/>
                <w:color w:val="000000"/>
              </w:rPr>
              <w:t>10.6</w:t>
            </w:r>
          </w:p>
        </w:tc>
        <w:tc>
          <w:tcPr>
            <w:tcW w:w="1556" w:type="dxa"/>
            <w:vAlign w:val="bottom"/>
          </w:tcPr>
          <w:p w14:paraId="658F89CB" w14:textId="5FDD6CFB" w:rsidR="00E966BD" w:rsidRDefault="00E966BD" w:rsidP="00E966BD">
            <w:pPr>
              <w:rPr>
                <w:lang w:val="en-DE"/>
              </w:rPr>
            </w:pPr>
            <w:r>
              <w:rPr>
                <w:rFonts w:ascii="Calibri" w:hAnsi="Calibri" w:cs="Calibri"/>
                <w:color w:val="000000"/>
              </w:rPr>
              <w:t>10.6</w:t>
            </w:r>
          </w:p>
        </w:tc>
        <w:tc>
          <w:tcPr>
            <w:tcW w:w="1914" w:type="dxa"/>
            <w:vAlign w:val="bottom"/>
          </w:tcPr>
          <w:p w14:paraId="5CD4E83F" w14:textId="2C79E4F4" w:rsidR="00E966BD" w:rsidRDefault="00E966BD" w:rsidP="00E966BD">
            <w:pPr>
              <w:rPr>
                <w:lang w:val="en-DE"/>
              </w:rPr>
            </w:pPr>
            <w:r>
              <w:rPr>
                <w:rFonts w:ascii="Calibri" w:hAnsi="Calibri" w:cs="Calibri"/>
                <w:color w:val="000000"/>
              </w:rPr>
              <w:t>10.6</w:t>
            </w:r>
          </w:p>
        </w:tc>
        <w:tc>
          <w:tcPr>
            <w:tcW w:w="2196" w:type="dxa"/>
            <w:vAlign w:val="bottom"/>
          </w:tcPr>
          <w:p w14:paraId="14D59188" w14:textId="0F05B706" w:rsidR="00E966BD" w:rsidRDefault="00E966BD" w:rsidP="00E966BD">
            <w:pPr>
              <w:rPr>
                <w:lang w:val="en-DE"/>
              </w:rPr>
            </w:pPr>
            <w:r>
              <w:rPr>
                <w:rFonts w:ascii="Calibri" w:hAnsi="Calibri" w:cs="Calibri"/>
                <w:color w:val="000000"/>
              </w:rPr>
              <w:t>1145</w:t>
            </w:r>
          </w:p>
        </w:tc>
      </w:tr>
      <w:tr w:rsidR="00E966BD" w14:paraId="7F63DA8E" w14:textId="77777777" w:rsidTr="00B41356">
        <w:tc>
          <w:tcPr>
            <w:tcW w:w="1794" w:type="dxa"/>
            <w:vAlign w:val="bottom"/>
          </w:tcPr>
          <w:p w14:paraId="08E7D7A9" w14:textId="3BCF02BA" w:rsidR="00E966BD" w:rsidRDefault="00E966BD" w:rsidP="00E966BD">
            <w:pPr>
              <w:rPr>
                <w:lang w:val="en-DE"/>
              </w:rPr>
            </w:pPr>
            <w:r>
              <w:rPr>
                <w:rFonts w:ascii="Calibri" w:hAnsi="Calibri" w:cs="Calibri"/>
                <w:color w:val="000000"/>
              </w:rPr>
              <w:t>MEA</w:t>
            </w:r>
          </w:p>
        </w:tc>
        <w:tc>
          <w:tcPr>
            <w:tcW w:w="1556" w:type="dxa"/>
            <w:vAlign w:val="bottom"/>
          </w:tcPr>
          <w:p w14:paraId="58817C7E" w14:textId="781DDF21" w:rsidR="00E966BD" w:rsidRDefault="00E966BD" w:rsidP="00E966BD">
            <w:pPr>
              <w:rPr>
                <w:lang w:val="en-DE"/>
              </w:rPr>
            </w:pPr>
            <w:r>
              <w:rPr>
                <w:rFonts w:ascii="Calibri" w:hAnsi="Calibri" w:cs="Calibri"/>
                <w:color w:val="000000"/>
              </w:rPr>
              <w:t>13.6</w:t>
            </w:r>
          </w:p>
        </w:tc>
        <w:tc>
          <w:tcPr>
            <w:tcW w:w="1556" w:type="dxa"/>
            <w:vAlign w:val="bottom"/>
          </w:tcPr>
          <w:p w14:paraId="58744EAA" w14:textId="4CAAB8F1" w:rsidR="00E966BD" w:rsidRDefault="00E966BD" w:rsidP="00E966BD">
            <w:pPr>
              <w:rPr>
                <w:lang w:val="en-DE"/>
              </w:rPr>
            </w:pPr>
            <w:r>
              <w:rPr>
                <w:rFonts w:ascii="Calibri" w:hAnsi="Calibri" w:cs="Calibri"/>
                <w:color w:val="000000"/>
              </w:rPr>
              <w:t>15.5</w:t>
            </w:r>
          </w:p>
        </w:tc>
        <w:tc>
          <w:tcPr>
            <w:tcW w:w="1914" w:type="dxa"/>
            <w:vAlign w:val="bottom"/>
          </w:tcPr>
          <w:p w14:paraId="2F48E6CE" w14:textId="5B511D6F" w:rsidR="00E966BD" w:rsidRDefault="00E966BD" w:rsidP="00E966BD">
            <w:pPr>
              <w:rPr>
                <w:lang w:val="en-DE"/>
              </w:rPr>
            </w:pPr>
            <w:r>
              <w:rPr>
                <w:rFonts w:ascii="Calibri" w:hAnsi="Calibri" w:cs="Calibri"/>
                <w:color w:val="000000"/>
              </w:rPr>
              <w:t>17.5</w:t>
            </w:r>
          </w:p>
        </w:tc>
        <w:tc>
          <w:tcPr>
            <w:tcW w:w="2196" w:type="dxa"/>
            <w:vAlign w:val="bottom"/>
          </w:tcPr>
          <w:p w14:paraId="14FDF740" w14:textId="694B1A7F" w:rsidR="00E966BD" w:rsidRDefault="00E966BD" w:rsidP="00E966BD">
            <w:pPr>
              <w:rPr>
                <w:lang w:val="en-DE"/>
              </w:rPr>
            </w:pPr>
            <w:r>
              <w:rPr>
                <w:rFonts w:ascii="Calibri" w:hAnsi="Calibri" w:cs="Calibri"/>
                <w:color w:val="000000"/>
              </w:rPr>
              <w:t>1541</w:t>
            </w:r>
          </w:p>
        </w:tc>
      </w:tr>
      <w:tr w:rsidR="00E966BD" w14:paraId="616B986E" w14:textId="77777777" w:rsidTr="00B41356">
        <w:tc>
          <w:tcPr>
            <w:tcW w:w="1794" w:type="dxa"/>
            <w:vAlign w:val="bottom"/>
          </w:tcPr>
          <w:p w14:paraId="34C482A1" w14:textId="0FA863E7" w:rsidR="00E966BD" w:rsidRDefault="00E966BD" w:rsidP="00E966BD">
            <w:pPr>
              <w:rPr>
                <w:lang w:val="en-DE"/>
              </w:rPr>
            </w:pPr>
            <w:r>
              <w:rPr>
                <w:rFonts w:ascii="Calibri" w:hAnsi="Calibri" w:cs="Calibri"/>
                <w:color w:val="000000"/>
              </w:rPr>
              <w:t>NEU</w:t>
            </w:r>
          </w:p>
        </w:tc>
        <w:tc>
          <w:tcPr>
            <w:tcW w:w="1556" w:type="dxa"/>
            <w:vAlign w:val="bottom"/>
          </w:tcPr>
          <w:p w14:paraId="44984FBC" w14:textId="57F5720C" w:rsidR="00E966BD" w:rsidRDefault="00E966BD" w:rsidP="00E966BD">
            <w:pPr>
              <w:rPr>
                <w:lang w:val="en-DE"/>
              </w:rPr>
            </w:pPr>
            <w:r>
              <w:rPr>
                <w:rFonts w:ascii="Calibri" w:hAnsi="Calibri" w:cs="Calibri"/>
                <w:color w:val="000000"/>
              </w:rPr>
              <w:t>9.2</w:t>
            </w:r>
          </w:p>
        </w:tc>
        <w:tc>
          <w:tcPr>
            <w:tcW w:w="1556" w:type="dxa"/>
            <w:vAlign w:val="bottom"/>
          </w:tcPr>
          <w:p w14:paraId="2CB07417" w14:textId="4C85D4A2" w:rsidR="00E966BD" w:rsidRDefault="00E966BD" w:rsidP="00E966BD">
            <w:pPr>
              <w:rPr>
                <w:lang w:val="en-DE"/>
              </w:rPr>
            </w:pPr>
            <w:r>
              <w:rPr>
                <w:rFonts w:ascii="Calibri" w:hAnsi="Calibri" w:cs="Calibri"/>
                <w:color w:val="000000"/>
              </w:rPr>
              <w:t>13.2</w:t>
            </w:r>
          </w:p>
        </w:tc>
        <w:tc>
          <w:tcPr>
            <w:tcW w:w="1914" w:type="dxa"/>
            <w:vAlign w:val="bottom"/>
          </w:tcPr>
          <w:p w14:paraId="762FFD71" w14:textId="51E31F63" w:rsidR="00E966BD" w:rsidRDefault="00E966BD" w:rsidP="00E966BD">
            <w:pPr>
              <w:rPr>
                <w:lang w:val="en-DE"/>
              </w:rPr>
            </w:pPr>
            <w:r>
              <w:rPr>
                <w:rFonts w:ascii="Calibri" w:hAnsi="Calibri" w:cs="Calibri"/>
                <w:color w:val="000000"/>
              </w:rPr>
              <w:t>17.3</w:t>
            </w:r>
          </w:p>
        </w:tc>
        <w:tc>
          <w:tcPr>
            <w:tcW w:w="2196" w:type="dxa"/>
            <w:vAlign w:val="bottom"/>
          </w:tcPr>
          <w:p w14:paraId="08F63498" w14:textId="0144789F" w:rsidR="00E966BD" w:rsidRDefault="00E966BD" w:rsidP="00E966BD">
            <w:pPr>
              <w:rPr>
                <w:lang w:val="en-DE"/>
              </w:rPr>
            </w:pPr>
            <w:r>
              <w:rPr>
                <w:rFonts w:ascii="Calibri" w:hAnsi="Calibri" w:cs="Calibri"/>
                <w:color w:val="000000"/>
              </w:rPr>
              <w:t>147</w:t>
            </w:r>
          </w:p>
        </w:tc>
      </w:tr>
      <w:tr w:rsidR="00E966BD" w14:paraId="7DE58F00" w14:textId="77777777" w:rsidTr="00B41356">
        <w:tc>
          <w:tcPr>
            <w:tcW w:w="1794" w:type="dxa"/>
            <w:vAlign w:val="bottom"/>
          </w:tcPr>
          <w:p w14:paraId="77C39B36" w14:textId="4A0D4F96" w:rsidR="00E966BD" w:rsidRDefault="00E966BD" w:rsidP="00E966BD">
            <w:pPr>
              <w:rPr>
                <w:lang w:val="en-DE"/>
              </w:rPr>
            </w:pPr>
            <w:r>
              <w:rPr>
                <w:rFonts w:ascii="Calibri" w:hAnsi="Calibri" w:cs="Calibri"/>
                <w:color w:val="000000"/>
              </w:rPr>
              <w:t>OAS</w:t>
            </w:r>
          </w:p>
        </w:tc>
        <w:tc>
          <w:tcPr>
            <w:tcW w:w="1556" w:type="dxa"/>
            <w:vAlign w:val="bottom"/>
          </w:tcPr>
          <w:p w14:paraId="4EA986AE" w14:textId="71388BAF" w:rsidR="00E966BD" w:rsidRDefault="00E966BD" w:rsidP="00E966BD">
            <w:pPr>
              <w:rPr>
                <w:lang w:val="en-DE"/>
              </w:rPr>
            </w:pPr>
            <w:r>
              <w:rPr>
                <w:rFonts w:ascii="Calibri" w:hAnsi="Calibri" w:cs="Calibri"/>
                <w:color w:val="000000"/>
              </w:rPr>
              <w:t>7.8</w:t>
            </w:r>
          </w:p>
        </w:tc>
        <w:tc>
          <w:tcPr>
            <w:tcW w:w="1556" w:type="dxa"/>
            <w:vAlign w:val="bottom"/>
          </w:tcPr>
          <w:p w14:paraId="40F04870" w14:textId="453B37F2" w:rsidR="00E966BD" w:rsidRDefault="00E966BD" w:rsidP="00E966BD">
            <w:pPr>
              <w:rPr>
                <w:lang w:val="en-DE"/>
              </w:rPr>
            </w:pPr>
            <w:r>
              <w:rPr>
                <w:rFonts w:ascii="Calibri" w:hAnsi="Calibri" w:cs="Calibri"/>
                <w:color w:val="000000"/>
              </w:rPr>
              <w:t>10</w:t>
            </w:r>
          </w:p>
        </w:tc>
        <w:tc>
          <w:tcPr>
            <w:tcW w:w="1914" w:type="dxa"/>
            <w:vAlign w:val="bottom"/>
          </w:tcPr>
          <w:p w14:paraId="263E4656" w14:textId="113800AB" w:rsidR="00E966BD" w:rsidRDefault="00E966BD" w:rsidP="00E966BD">
            <w:pPr>
              <w:rPr>
                <w:lang w:val="en-DE"/>
              </w:rPr>
            </w:pPr>
            <w:r>
              <w:rPr>
                <w:rFonts w:ascii="Calibri" w:hAnsi="Calibri" w:cs="Calibri"/>
                <w:color w:val="000000"/>
              </w:rPr>
              <w:t>12.1</w:t>
            </w:r>
          </w:p>
        </w:tc>
        <w:tc>
          <w:tcPr>
            <w:tcW w:w="2196" w:type="dxa"/>
            <w:vAlign w:val="bottom"/>
          </w:tcPr>
          <w:p w14:paraId="55411FAE" w14:textId="3AD41041" w:rsidR="00E966BD" w:rsidRDefault="00E966BD" w:rsidP="00E966BD">
            <w:pPr>
              <w:rPr>
                <w:lang w:val="en-DE"/>
              </w:rPr>
            </w:pPr>
            <w:r>
              <w:rPr>
                <w:rFonts w:ascii="Calibri" w:hAnsi="Calibri" w:cs="Calibri"/>
                <w:color w:val="000000"/>
              </w:rPr>
              <w:t>1155</w:t>
            </w:r>
          </w:p>
        </w:tc>
      </w:tr>
      <w:tr w:rsidR="00E966BD" w14:paraId="3FB39033" w14:textId="77777777" w:rsidTr="00B41356">
        <w:tc>
          <w:tcPr>
            <w:tcW w:w="1794" w:type="dxa"/>
            <w:vAlign w:val="bottom"/>
          </w:tcPr>
          <w:p w14:paraId="6AABE03E" w14:textId="7BB30FF2" w:rsidR="00E966BD" w:rsidRDefault="00E966BD" w:rsidP="00E966BD">
            <w:pPr>
              <w:rPr>
                <w:lang w:val="en-DE"/>
              </w:rPr>
            </w:pPr>
            <w:r>
              <w:rPr>
                <w:rFonts w:ascii="Calibri" w:hAnsi="Calibri" w:cs="Calibri"/>
                <w:color w:val="000000"/>
              </w:rPr>
              <w:t>REF</w:t>
            </w:r>
          </w:p>
        </w:tc>
        <w:tc>
          <w:tcPr>
            <w:tcW w:w="1556" w:type="dxa"/>
            <w:vAlign w:val="bottom"/>
          </w:tcPr>
          <w:p w14:paraId="24C50F42" w14:textId="23B67E1C" w:rsidR="00E966BD" w:rsidRDefault="00E966BD" w:rsidP="00E966BD">
            <w:pPr>
              <w:rPr>
                <w:lang w:val="en-DE"/>
              </w:rPr>
            </w:pPr>
            <w:r>
              <w:rPr>
                <w:rFonts w:ascii="Calibri" w:hAnsi="Calibri" w:cs="Calibri"/>
                <w:color w:val="000000"/>
              </w:rPr>
              <w:t>0</w:t>
            </w:r>
          </w:p>
        </w:tc>
        <w:tc>
          <w:tcPr>
            <w:tcW w:w="1556" w:type="dxa"/>
            <w:vAlign w:val="bottom"/>
          </w:tcPr>
          <w:p w14:paraId="721C7D21" w14:textId="0BDE2ABD" w:rsidR="00E966BD" w:rsidRDefault="00E966BD" w:rsidP="00E966BD">
            <w:pPr>
              <w:rPr>
                <w:lang w:val="en-DE"/>
              </w:rPr>
            </w:pPr>
            <w:r>
              <w:rPr>
                <w:rFonts w:ascii="Calibri" w:hAnsi="Calibri" w:cs="Calibri"/>
                <w:color w:val="000000"/>
              </w:rPr>
              <w:t>0</w:t>
            </w:r>
          </w:p>
        </w:tc>
        <w:tc>
          <w:tcPr>
            <w:tcW w:w="1914" w:type="dxa"/>
            <w:vAlign w:val="bottom"/>
          </w:tcPr>
          <w:p w14:paraId="059EFE1C" w14:textId="2C7E6296" w:rsidR="00E966BD" w:rsidRDefault="00E966BD" w:rsidP="00E966BD">
            <w:pPr>
              <w:rPr>
                <w:lang w:val="en-DE"/>
              </w:rPr>
            </w:pPr>
            <w:r>
              <w:rPr>
                <w:rFonts w:ascii="Calibri" w:hAnsi="Calibri" w:cs="Calibri"/>
                <w:color w:val="000000"/>
              </w:rPr>
              <w:t>0</w:t>
            </w:r>
          </w:p>
        </w:tc>
        <w:tc>
          <w:tcPr>
            <w:tcW w:w="2196" w:type="dxa"/>
            <w:vAlign w:val="bottom"/>
          </w:tcPr>
          <w:p w14:paraId="65176C60" w14:textId="748052B2" w:rsidR="00E966BD" w:rsidRDefault="00E966BD" w:rsidP="00E966BD">
            <w:pPr>
              <w:rPr>
                <w:lang w:val="en-DE"/>
              </w:rPr>
            </w:pPr>
            <w:r>
              <w:rPr>
                <w:rFonts w:ascii="Calibri" w:hAnsi="Calibri" w:cs="Calibri"/>
                <w:color w:val="000000"/>
              </w:rPr>
              <w:t>721</w:t>
            </w:r>
          </w:p>
        </w:tc>
      </w:tr>
      <w:tr w:rsidR="00E966BD" w14:paraId="0B37AC63" w14:textId="77777777" w:rsidTr="00B41356">
        <w:tc>
          <w:tcPr>
            <w:tcW w:w="1794" w:type="dxa"/>
            <w:vAlign w:val="bottom"/>
          </w:tcPr>
          <w:p w14:paraId="66AFDB8D" w14:textId="1F77AAAE" w:rsidR="00E966BD" w:rsidRDefault="00E966BD" w:rsidP="00E966BD">
            <w:pPr>
              <w:rPr>
                <w:lang w:val="en-DE"/>
              </w:rPr>
            </w:pPr>
            <w:r>
              <w:rPr>
                <w:rFonts w:ascii="Calibri" w:hAnsi="Calibri" w:cs="Calibri"/>
                <w:color w:val="000000"/>
              </w:rPr>
              <w:t>SSA</w:t>
            </w:r>
          </w:p>
        </w:tc>
        <w:tc>
          <w:tcPr>
            <w:tcW w:w="1556" w:type="dxa"/>
            <w:vAlign w:val="bottom"/>
          </w:tcPr>
          <w:p w14:paraId="5BB37157" w14:textId="3EB1B622" w:rsidR="00E966BD" w:rsidRDefault="00E966BD" w:rsidP="00E966BD">
            <w:pPr>
              <w:rPr>
                <w:lang w:val="en-DE"/>
              </w:rPr>
            </w:pPr>
            <w:r>
              <w:rPr>
                <w:rFonts w:ascii="Calibri" w:hAnsi="Calibri" w:cs="Calibri"/>
                <w:color w:val="000000"/>
              </w:rPr>
              <w:t>0.1</w:t>
            </w:r>
          </w:p>
        </w:tc>
        <w:tc>
          <w:tcPr>
            <w:tcW w:w="1556" w:type="dxa"/>
            <w:vAlign w:val="bottom"/>
          </w:tcPr>
          <w:p w14:paraId="7F4BAB9D" w14:textId="651A56BF" w:rsidR="00E966BD" w:rsidRDefault="00E966BD" w:rsidP="00E966BD">
            <w:pPr>
              <w:rPr>
                <w:lang w:val="en-DE"/>
              </w:rPr>
            </w:pPr>
            <w:r>
              <w:rPr>
                <w:rFonts w:ascii="Calibri" w:hAnsi="Calibri" w:cs="Calibri"/>
                <w:color w:val="000000"/>
              </w:rPr>
              <w:t>0.3</w:t>
            </w:r>
          </w:p>
        </w:tc>
        <w:tc>
          <w:tcPr>
            <w:tcW w:w="1914" w:type="dxa"/>
            <w:vAlign w:val="bottom"/>
          </w:tcPr>
          <w:p w14:paraId="5FC3C76F" w14:textId="0798CC64" w:rsidR="00E966BD" w:rsidRDefault="00E966BD" w:rsidP="00E966BD">
            <w:pPr>
              <w:rPr>
                <w:lang w:val="en-DE"/>
              </w:rPr>
            </w:pPr>
            <w:r>
              <w:rPr>
                <w:rFonts w:ascii="Calibri" w:hAnsi="Calibri" w:cs="Calibri"/>
                <w:color w:val="000000"/>
              </w:rPr>
              <w:t>0.6</w:t>
            </w:r>
          </w:p>
        </w:tc>
        <w:tc>
          <w:tcPr>
            <w:tcW w:w="2196" w:type="dxa"/>
            <w:vAlign w:val="bottom"/>
          </w:tcPr>
          <w:p w14:paraId="3EF7C06D" w14:textId="79F16E19" w:rsidR="00E966BD" w:rsidRDefault="00E966BD" w:rsidP="00E966BD">
            <w:pPr>
              <w:rPr>
                <w:lang w:val="en-DE"/>
              </w:rPr>
            </w:pPr>
            <w:r>
              <w:rPr>
                <w:rFonts w:ascii="Calibri" w:hAnsi="Calibri" w:cs="Calibri"/>
                <w:color w:val="000000"/>
              </w:rPr>
              <w:t>1443</w:t>
            </w:r>
          </w:p>
        </w:tc>
      </w:tr>
      <w:tr w:rsidR="00E966BD" w14:paraId="51522765" w14:textId="77777777" w:rsidTr="00B41356">
        <w:tc>
          <w:tcPr>
            <w:tcW w:w="1794" w:type="dxa"/>
            <w:vAlign w:val="bottom"/>
          </w:tcPr>
          <w:p w14:paraId="71DD09A2" w14:textId="4CDBA11D" w:rsidR="00E966BD" w:rsidRDefault="00E966BD" w:rsidP="00E966BD">
            <w:pPr>
              <w:rPr>
                <w:lang w:val="en-DE"/>
              </w:rPr>
            </w:pPr>
            <w:r>
              <w:rPr>
                <w:rFonts w:ascii="Calibri" w:hAnsi="Calibri" w:cs="Calibri"/>
                <w:color w:val="000000"/>
              </w:rPr>
              <w:t>USA</w:t>
            </w:r>
          </w:p>
        </w:tc>
        <w:tc>
          <w:tcPr>
            <w:tcW w:w="1556" w:type="dxa"/>
            <w:vAlign w:val="bottom"/>
          </w:tcPr>
          <w:p w14:paraId="1887690C" w14:textId="520ED21A" w:rsidR="00E966BD" w:rsidRDefault="00E966BD" w:rsidP="00E966BD">
            <w:pPr>
              <w:rPr>
                <w:lang w:val="en-DE"/>
              </w:rPr>
            </w:pPr>
            <w:r>
              <w:rPr>
                <w:rFonts w:ascii="Calibri" w:hAnsi="Calibri" w:cs="Calibri"/>
                <w:color w:val="000000"/>
              </w:rPr>
              <w:t>52.5</w:t>
            </w:r>
          </w:p>
        </w:tc>
        <w:tc>
          <w:tcPr>
            <w:tcW w:w="1556" w:type="dxa"/>
            <w:vAlign w:val="bottom"/>
          </w:tcPr>
          <w:p w14:paraId="44C309E0" w14:textId="3E7EBF2B" w:rsidR="00E966BD" w:rsidRDefault="00E966BD" w:rsidP="00E966BD">
            <w:pPr>
              <w:rPr>
                <w:lang w:val="en-DE"/>
              </w:rPr>
            </w:pPr>
            <w:r>
              <w:rPr>
                <w:rFonts w:ascii="Calibri" w:hAnsi="Calibri" w:cs="Calibri"/>
                <w:color w:val="000000"/>
              </w:rPr>
              <w:t>93.8</w:t>
            </w:r>
          </w:p>
        </w:tc>
        <w:tc>
          <w:tcPr>
            <w:tcW w:w="1914" w:type="dxa"/>
            <w:vAlign w:val="bottom"/>
          </w:tcPr>
          <w:p w14:paraId="4D18699F" w14:textId="0BE5DF24" w:rsidR="00E966BD" w:rsidRDefault="00E966BD" w:rsidP="00E966BD">
            <w:pPr>
              <w:rPr>
                <w:lang w:val="en-DE"/>
              </w:rPr>
            </w:pPr>
            <w:r>
              <w:rPr>
                <w:rFonts w:ascii="Calibri" w:hAnsi="Calibri" w:cs="Calibri"/>
                <w:color w:val="000000"/>
              </w:rPr>
              <w:t>135</w:t>
            </w:r>
          </w:p>
        </w:tc>
        <w:tc>
          <w:tcPr>
            <w:tcW w:w="2196" w:type="dxa"/>
            <w:vAlign w:val="bottom"/>
          </w:tcPr>
          <w:p w14:paraId="62A1313D" w14:textId="3E19A39A" w:rsidR="00E966BD" w:rsidRDefault="00E966BD" w:rsidP="00C12593">
            <w:pPr>
              <w:keepNext/>
              <w:rPr>
                <w:lang w:val="en-DE"/>
              </w:rPr>
            </w:pPr>
            <w:r>
              <w:rPr>
                <w:rFonts w:ascii="Calibri" w:hAnsi="Calibri" w:cs="Calibri"/>
                <w:color w:val="000000"/>
              </w:rPr>
              <w:t>1250</w:t>
            </w:r>
          </w:p>
        </w:tc>
      </w:tr>
    </w:tbl>
    <w:p w14:paraId="3DBB8134" w14:textId="02AE7C0A" w:rsidR="00C025E6" w:rsidRPr="00C025E6" w:rsidRDefault="00C12593" w:rsidP="00034F67">
      <w:pPr>
        <w:pStyle w:val="Caption"/>
      </w:pPr>
      <w:r>
        <w:t>S-</w:t>
      </w:r>
      <w:r w:rsidR="00034F67">
        <w:t>Table</w:t>
      </w:r>
      <w:r>
        <w:t xml:space="preserve"> 1</w:t>
      </w:r>
      <w:r w:rsidR="00034F67">
        <w:t>: Regional initial capacities in 2030 per logistic growth scenario, derived from applying failure rates to project announcements. Regional market saturation derived from maximum GCS deployment in near-term constrained REMIND scenarios.</w:t>
      </w:r>
    </w:p>
    <w:p w14:paraId="42B59C7D" w14:textId="77777777" w:rsidR="00C025E6" w:rsidRDefault="00C025E6" w:rsidP="00C025E6">
      <w:pPr>
        <w:rPr>
          <w:shd w:val="pct15" w:color="auto" w:fill="FFFFFF"/>
          <w:lang w:val="en-DE"/>
        </w:rPr>
      </w:pPr>
    </w:p>
    <w:p w14:paraId="59B7A964" w14:textId="12D9A5AD" w:rsidR="007E4D39" w:rsidRDefault="004B2B44" w:rsidP="004B2B44">
      <w:pPr>
        <w:pStyle w:val="Heading1"/>
        <w:rPr>
          <w:shd w:val="pct15" w:color="auto" w:fill="FFFFFF"/>
          <w:lang w:val="en-DE"/>
        </w:rPr>
      </w:pPr>
      <w:r>
        <w:rPr>
          <w:shd w:val="pct15" w:color="auto" w:fill="FFFFFF"/>
          <w:lang w:val="en-DE"/>
        </w:rPr>
        <w:t>Supplementary Figure 1</w:t>
      </w:r>
    </w:p>
    <w:p w14:paraId="3A3FFD79" w14:textId="77777777" w:rsidR="00B8422D" w:rsidRDefault="004B2B44" w:rsidP="00B8422D">
      <w:pPr>
        <w:keepNext/>
      </w:pPr>
      <w:r>
        <w:rPr>
          <w:noProof/>
          <w:lang w:val="en-DE"/>
        </w:rPr>
        <w:drawing>
          <wp:inline distT="0" distB="0" distL="0" distR="0" wp14:anchorId="1198245E" wp14:editId="78699CA4">
            <wp:extent cx="5721350" cy="19625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21350" cy="1962556"/>
                    </a:xfrm>
                    <a:prstGeom prst="rect">
                      <a:avLst/>
                    </a:prstGeom>
                    <a:noFill/>
                    <a:ln>
                      <a:noFill/>
                    </a:ln>
                  </pic:spPr>
                </pic:pic>
              </a:graphicData>
            </a:graphic>
          </wp:inline>
        </w:drawing>
      </w:r>
    </w:p>
    <w:p w14:paraId="62E0A853" w14:textId="553A0C44" w:rsidR="004B2B44" w:rsidRPr="004B2B44" w:rsidRDefault="00B8422D" w:rsidP="00B8422D">
      <w:pPr>
        <w:pStyle w:val="Caption"/>
      </w:pPr>
      <w:r>
        <w:t xml:space="preserve">S-Figure </w:t>
      </w:r>
      <w:fldSimple w:instr=" SEQ S-Figure \* ARABIC ">
        <w:r w:rsidR="00F1298E">
          <w:rPr>
            <w:noProof/>
          </w:rPr>
          <w:t>1</w:t>
        </w:r>
      </w:fldSimple>
      <w:r>
        <w:t>: Illustration of the iterative approach to derive intertemporally consistent GCS upscaling curves.</w:t>
      </w:r>
    </w:p>
    <w:p w14:paraId="25DAE05A" w14:textId="2250B46D" w:rsidR="00F17E0C" w:rsidRDefault="00F17E0C" w:rsidP="00F17E0C">
      <w:pPr>
        <w:rPr>
          <w:lang w:val="en-DE" w:eastAsia="en-US"/>
        </w:rPr>
      </w:pPr>
    </w:p>
    <w:p w14:paraId="2A63B0F0" w14:textId="5085142E" w:rsidR="002B4DC6" w:rsidRPr="00672788" w:rsidRDefault="002B4DC6" w:rsidP="002B4DC6">
      <w:pPr>
        <w:pStyle w:val="Heading1"/>
        <w:rPr>
          <w:lang w:val="en-DE" w:eastAsia="en-US"/>
        </w:rPr>
      </w:pPr>
      <w:r>
        <w:rPr>
          <w:lang w:val="en-DE" w:eastAsia="en-US"/>
        </w:rPr>
        <w:t xml:space="preserve">Supplementary Table </w:t>
      </w:r>
      <w:r w:rsidR="00672788">
        <w:rPr>
          <w:lang w:val="en-DE" w:eastAsia="en-US"/>
        </w:rPr>
        <w:t>2</w:t>
      </w:r>
    </w:p>
    <w:tbl>
      <w:tblPr>
        <w:tblStyle w:val="TableGrid"/>
        <w:tblW w:w="0" w:type="auto"/>
        <w:tblLook w:val="04A0" w:firstRow="1" w:lastRow="0" w:firstColumn="1" w:lastColumn="0" w:noHBand="0" w:noVBand="1"/>
      </w:tblPr>
      <w:tblGrid>
        <w:gridCol w:w="3005"/>
        <w:gridCol w:w="3005"/>
        <w:gridCol w:w="3006"/>
      </w:tblGrid>
      <w:tr w:rsidR="002B4DC6" w:rsidRPr="00532CA8" w14:paraId="75415B71" w14:textId="77777777" w:rsidTr="00F73674">
        <w:tc>
          <w:tcPr>
            <w:tcW w:w="3005" w:type="dxa"/>
          </w:tcPr>
          <w:p w14:paraId="4D87A2FB" w14:textId="77777777" w:rsidR="002B4DC6" w:rsidRPr="00DB1939" w:rsidRDefault="002B4DC6" w:rsidP="00F73674">
            <w:pPr>
              <w:rPr>
                <w:b/>
                <w:lang w:val="en-DE" w:eastAsia="en-US"/>
              </w:rPr>
            </w:pPr>
            <w:r w:rsidRPr="00DB1939">
              <w:rPr>
                <w:b/>
                <w:lang w:val="en-DE" w:eastAsia="en-US"/>
              </w:rPr>
              <w:t>Optimistic assumption</w:t>
            </w:r>
            <w:r w:rsidRPr="00DB1939">
              <w:rPr>
                <w:b/>
                <w:lang w:val="en-DE" w:eastAsia="en-US"/>
              </w:rPr>
              <w:br/>
              <w:t>(presented in main text)</w:t>
            </w:r>
          </w:p>
        </w:tc>
        <w:tc>
          <w:tcPr>
            <w:tcW w:w="3005" w:type="dxa"/>
          </w:tcPr>
          <w:p w14:paraId="67844F13" w14:textId="77777777" w:rsidR="002B4DC6" w:rsidRPr="00DB1939" w:rsidRDefault="002B4DC6" w:rsidP="00F73674">
            <w:pPr>
              <w:rPr>
                <w:b/>
                <w:lang w:val="en-DE" w:eastAsia="en-US"/>
              </w:rPr>
            </w:pPr>
            <w:r w:rsidRPr="00DB1939">
              <w:rPr>
                <w:b/>
                <w:lang w:val="en-DE" w:eastAsia="en-US"/>
              </w:rPr>
              <w:t>Less optimistic variation</w:t>
            </w:r>
          </w:p>
        </w:tc>
        <w:tc>
          <w:tcPr>
            <w:tcW w:w="3006" w:type="dxa"/>
          </w:tcPr>
          <w:p w14:paraId="59DA6836" w14:textId="77777777" w:rsidR="002B4DC6" w:rsidRDefault="002B4DC6" w:rsidP="00F73674">
            <w:pPr>
              <w:rPr>
                <w:b/>
                <w:lang w:val="en-DE" w:eastAsia="en-US"/>
              </w:rPr>
            </w:pPr>
            <w:r w:rsidRPr="00DB1939">
              <w:rPr>
                <w:b/>
                <w:lang w:val="en-DE" w:eastAsia="en-US"/>
              </w:rPr>
              <w:t>Effect on global market saturation of GCS</w:t>
            </w:r>
          </w:p>
          <w:p w14:paraId="2ADCD76E" w14:textId="77777777" w:rsidR="002B4DC6" w:rsidRPr="005D5C7A" w:rsidRDefault="002B4DC6" w:rsidP="00F73674">
            <w:pPr>
              <w:rPr>
                <w:b/>
                <w:lang w:val="en-DE" w:eastAsia="en-US"/>
              </w:rPr>
            </w:pPr>
            <w:r>
              <w:rPr>
                <w:b/>
                <w:lang w:val="en-DE" w:eastAsia="en-US"/>
              </w:rPr>
              <w:t xml:space="preserve">(optimistic: </w:t>
            </w:r>
            <w:r>
              <w:rPr>
                <w:lang w:val="en-DE" w:eastAsia="en-US"/>
              </w:rPr>
              <w:t>16 GtCO2/</w:t>
            </w:r>
            <w:proofErr w:type="spellStart"/>
            <w:r>
              <w:rPr>
                <w:lang w:val="en-DE" w:eastAsia="en-US"/>
              </w:rPr>
              <w:t>yr</w:t>
            </w:r>
            <w:proofErr w:type="spellEnd"/>
            <w:r>
              <w:rPr>
                <w:lang w:val="en-DE" w:eastAsia="en-US"/>
              </w:rPr>
              <w:t>)</w:t>
            </w:r>
          </w:p>
        </w:tc>
      </w:tr>
      <w:tr w:rsidR="002B4DC6" w:rsidRPr="00F1298E" w14:paraId="41E587C4" w14:textId="77777777" w:rsidTr="00F73674">
        <w:tc>
          <w:tcPr>
            <w:tcW w:w="3005" w:type="dxa"/>
          </w:tcPr>
          <w:p w14:paraId="675DFF00" w14:textId="77777777" w:rsidR="002B4DC6" w:rsidRPr="00930E90" w:rsidRDefault="002B4DC6" w:rsidP="00F73674">
            <w:pPr>
              <w:rPr>
                <w:lang w:val="en-DE" w:eastAsia="en-US"/>
              </w:rPr>
            </w:pPr>
            <w:r>
              <w:rPr>
                <w:lang w:val="en-DE" w:eastAsia="en-US"/>
              </w:rPr>
              <w:t>Full cooperation and financing capacities for net-negative emissions.</w:t>
            </w:r>
          </w:p>
          <w:p w14:paraId="1C0C9412" w14:textId="77777777" w:rsidR="002B4DC6" w:rsidRDefault="002B4DC6" w:rsidP="00F73674">
            <w:pPr>
              <w:rPr>
                <w:lang w:val="en-DE" w:eastAsia="en-US"/>
              </w:rPr>
            </w:pPr>
            <w:r>
              <w:rPr>
                <w:lang w:val="en-DE" w:eastAsia="en-US"/>
              </w:rPr>
              <w:t xml:space="preserve">Explanation: One region’s continued positive </w:t>
            </w:r>
            <w:proofErr w:type="gramStart"/>
            <w:r>
              <w:rPr>
                <w:lang w:val="en-DE" w:eastAsia="en-US"/>
              </w:rPr>
              <w:t>emissions</w:t>
            </w:r>
            <w:proofErr w:type="gramEnd"/>
            <w:r>
              <w:rPr>
                <w:lang w:val="en-DE" w:eastAsia="en-US"/>
              </w:rPr>
              <w:t xml:space="preserve"> can be compensated without friction by other region’s net-negative emissions. Negative </w:t>
            </w:r>
            <w:r>
              <w:rPr>
                <w:lang w:val="en-DE" w:eastAsia="en-US"/>
              </w:rPr>
              <w:lastRenderedPageBreak/>
              <w:t xml:space="preserve">CO2 emissions will be renumerated with the full carbon price. </w:t>
            </w:r>
          </w:p>
        </w:tc>
        <w:tc>
          <w:tcPr>
            <w:tcW w:w="3005" w:type="dxa"/>
          </w:tcPr>
          <w:p w14:paraId="29992DB0" w14:textId="77777777" w:rsidR="002B4DC6" w:rsidRDefault="002B4DC6" w:rsidP="00F73674">
            <w:pPr>
              <w:rPr>
                <w:lang w:val="en-DE" w:eastAsia="en-US"/>
              </w:rPr>
            </w:pPr>
            <w:r>
              <w:rPr>
                <w:lang w:val="en-DE" w:eastAsia="en-US"/>
              </w:rPr>
              <w:lastRenderedPageBreak/>
              <w:t>Tax on regional net-negative emissions (REMIND default assumption)</w:t>
            </w:r>
          </w:p>
          <w:p w14:paraId="747A86C9" w14:textId="77777777" w:rsidR="002B4DC6" w:rsidRDefault="002B4DC6" w:rsidP="00F73674">
            <w:pPr>
              <w:rPr>
                <w:lang w:val="en-DE" w:eastAsia="en-US"/>
              </w:rPr>
            </w:pPr>
            <w:r>
              <w:rPr>
                <w:lang w:val="en-DE" w:eastAsia="en-US"/>
              </w:rPr>
              <w:t xml:space="preserve">Explanation: This mechanism reflects the </w:t>
            </w:r>
          </w:p>
        </w:tc>
        <w:tc>
          <w:tcPr>
            <w:tcW w:w="3006" w:type="dxa"/>
          </w:tcPr>
          <w:p w14:paraId="1B91C2A9" w14:textId="77777777" w:rsidR="002B4DC6" w:rsidRDefault="002B4DC6" w:rsidP="00F73674">
            <w:pPr>
              <w:rPr>
                <w:lang w:val="en-DE" w:eastAsia="en-US"/>
              </w:rPr>
            </w:pPr>
            <w:r>
              <w:rPr>
                <w:lang w:val="en-DE" w:eastAsia="en-US"/>
              </w:rPr>
              <w:t>reduces to 8.3 Gt CO2/yr.</w:t>
            </w:r>
          </w:p>
        </w:tc>
      </w:tr>
      <w:tr w:rsidR="002B4DC6" w:rsidRPr="00532CA8" w14:paraId="18B9A3B5" w14:textId="77777777" w:rsidTr="00F73674">
        <w:tc>
          <w:tcPr>
            <w:tcW w:w="3005" w:type="dxa"/>
          </w:tcPr>
          <w:p w14:paraId="1D9630CA" w14:textId="77777777" w:rsidR="002B4DC6" w:rsidRDefault="002B4DC6" w:rsidP="00F73674">
            <w:pPr>
              <w:rPr>
                <w:lang w:val="en-DE" w:eastAsia="en-US"/>
              </w:rPr>
            </w:pPr>
            <w:r>
              <w:rPr>
                <w:lang w:val="en-DE" w:eastAsia="en-US"/>
              </w:rPr>
              <w:t>Low TRL nCDR options are available (OAE requires GCS)</w:t>
            </w:r>
          </w:p>
        </w:tc>
        <w:tc>
          <w:tcPr>
            <w:tcW w:w="3005" w:type="dxa"/>
          </w:tcPr>
          <w:p w14:paraId="25DA6CE8" w14:textId="77777777" w:rsidR="002B4DC6" w:rsidRDefault="002B4DC6" w:rsidP="00F73674">
            <w:pPr>
              <w:rPr>
                <w:lang w:val="en-DE" w:eastAsia="en-US"/>
              </w:rPr>
            </w:pPr>
            <w:r>
              <w:rPr>
                <w:lang w:val="en-DE" w:eastAsia="en-US"/>
              </w:rPr>
              <w:t>Low TRL nCDR options not available (less CO2 supply for GCS)</w:t>
            </w:r>
          </w:p>
        </w:tc>
        <w:tc>
          <w:tcPr>
            <w:tcW w:w="3006" w:type="dxa"/>
          </w:tcPr>
          <w:p w14:paraId="4790CA9C" w14:textId="77777777" w:rsidR="002B4DC6" w:rsidRDefault="002B4DC6" w:rsidP="00F73674">
            <w:pPr>
              <w:rPr>
                <w:lang w:val="en-DE" w:eastAsia="en-US"/>
              </w:rPr>
            </w:pPr>
            <w:r>
              <w:rPr>
                <w:lang w:val="en-DE" w:eastAsia="en-US"/>
              </w:rPr>
              <w:t>reduces to 12.5 GtCO2/</w:t>
            </w:r>
            <w:proofErr w:type="spellStart"/>
            <w:r>
              <w:rPr>
                <w:lang w:val="en-DE" w:eastAsia="en-US"/>
              </w:rPr>
              <w:t>yr</w:t>
            </w:r>
            <w:proofErr w:type="spellEnd"/>
          </w:p>
        </w:tc>
      </w:tr>
      <w:tr w:rsidR="002B4DC6" w:rsidRPr="00532CA8" w14:paraId="14068E13" w14:textId="77777777" w:rsidTr="00F73674">
        <w:tc>
          <w:tcPr>
            <w:tcW w:w="3005" w:type="dxa"/>
          </w:tcPr>
          <w:p w14:paraId="24CA12D9" w14:textId="77777777" w:rsidR="002B4DC6" w:rsidRDefault="002B4DC6" w:rsidP="00F73674">
            <w:pPr>
              <w:rPr>
                <w:lang w:val="en-DE" w:eastAsia="en-US"/>
              </w:rPr>
            </w:pPr>
            <w:r>
              <w:rPr>
                <w:lang w:val="en-DE" w:eastAsia="en-US"/>
              </w:rPr>
              <w:t>High carbon price of 500$/tCO2 in 2050.</w:t>
            </w:r>
          </w:p>
        </w:tc>
        <w:tc>
          <w:tcPr>
            <w:tcW w:w="3005" w:type="dxa"/>
          </w:tcPr>
          <w:p w14:paraId="7741DC3B" w14:textId="77777777" w:rsidR="002B4DC6" w:rsidRDefault="002B4DC6" w:rsidP="00F73674">
            <w:pPr>
              <w:rPr>
                <w:lang w:val="en-DE" w:eastAsia="en-US"/>
              </w:rPr>
            </w:pPr>
            <w:r>
              <w:rPr>
                <w:lang w:val="en-DE" w:eastAsia="en-US"/>
              </w:rPr>
              <w:t>Lower Carbon price 250 $/tCO2 in 2050</w:t>
            </w:r>
          </w:p>
        </w:tc>
        <w:tc>
          <w:tcPr>
            <w:tcW w:w="3006" w:type="dxa"/>
          </w:tcPr>
          <w:p w14:paraId="34AAB5A0" w14:textId="77777777" w:rsidR="002B4DC6" w:rsidRDefault="002B4DC6" w:rsidP="00F73674">
            <w:pPr>
              <w:rPr>
                <w:lang w:val="en-DE" w:eastAsia="en-US"/>
              </w:rPr>
            </w:pPr>
            <w:r>
              <w:rPr>
                <w:lang w:val="en-DE" w:eastAsia="en-US"/>
              </w:rPr>
              <w:t>reduced to 10 GtCO2/</w:t>
            </w:r>
            <w:proofErr w:type="spellStart"/>
            <w:r>
              <w:rPr>
                <w:lang w:val="en-DE" w:eastAsia="en-US"/>
              </w:rPr>
              <w:t>yr</w:t>
            </w:r>
            <w:proofErr w:type="spellEnd"/>
          </w:p>
        </w:tc>
      </w:tr>
      <w:tr w:rsidR="002B4DC6" w:rsidRPr="00F1298E" w14:paraId="0035E768" w14:textId="77777777" w:rsidTr="00F73674">
        <w:tc>
          <w:tcPr>
            <w:tcW w:w="3005" w:type="dxa"/>
          </w:tcPr>
          <w:p w14:paraId="5A85254D" w14:textId="77777777" w:rsidR="002B4DC6" w:rsidRDefault="002B4DC6" w:rsidP="00F73674">
            <w:pPr>
              <w:rPr>
                <w:lang w:val="en-DE" w:eastAsia="en-US"/>
              </w:rPr>
            </w:pPr>
            <w:r>
              <w:rPr>
                <w:lang w:val="en-DE" w:eastAsia="en-US"/>
              </w:rPr>
              <w:t>High carbon price of 500$/tCO2 in 2050.</w:t>
            </w:r>
          </w:p>
        </w:tc>
        <w:tc>
          <w:tcPr>
            <w:tcW w:w="3005" w:type="dxa"/>
          </w:tcPr>
          <w:p w14:paraId="40F4CFDE" w14:textId="77777777" w:rsidR="002B4DC6" w:rsidRPr="007B61EA" w:rsidRDefault="002B4DC6" w:rsidP="00F73674">
            <w:pPr>
              <w:rPr>
                <w:lang w:val="en-DE" w:eastAsia="en-US"/>
              </w:rPr>
            </w:pPr>
            <w:r>
              <w:rPr>
                <w:lang w:val="en-DE" w:eastAsia="en-US"/>
              </w:rPr>
              <w:t>High carbon price reached later in 2070</w:t>
            </w:r>
          </w:p>
        </w:tc>
        <w:tc>
          <w:tcPr>
            <w:tcW w:w="3006" w:type="dxa"/>
          </w:tcPr>
          <w:p w14:paraId="0AD749C6" w14:textId="77777777" w:rsidR="002B4DC6" w:rsidRPr="007B61EA" w:rsidRDefault="002B4DC6" w:rsidP="00F73674">
            <w:pPr>
              <w:rPr>
                <w:lang w:val="en-DE" w:eastAsia="en-US"/>
              </w:rPr>
            </w:pPr>
            <w:r>
              <w:rPr>
                <w:lang w:val="en-DE" w:eastAsia="en-US"/>
              </w:rPr>
              <w:t>no reduction of market saturation</w:t>
            </w:r>
          </w:p>
        </w:tc>
      </w:tr>
      <w:tr w:rsidR="002B4DC6" w14:paraId="07832D89" w14:textId="77777777" w:rsidTr="00F73674">
        <w:tc>
          <w:tcPr>
            <w:tcW w:w="3005" w:type="dxa"/>
          </w:tcPr>
          <w:p w14:paraId="2EFB3648" w14:textId="77777777" w:rsidR="002B4DC6" w:rsidRDefault="002B4DC6" w:rsidP="00F73674">
            <w:pPr>
              <w:rPr>
                <w:lang w:val="en-DE" w:eastAsia="en-US"/>
              </w:rPr>
            </w:pPr>
            <w:r>
              <w:rPr>
                <w:lang w:val="en-DE" w:eastAsia="en-US"/>
              </w:rPr>
              <w:t>Low CO2 transport and storage costs of 12$/tCO2</w:t>
            </w:r>
          </w:p>
        </w:tc>
        <w:tc>
          <w:tcPr>
            <w:tcW w:w="3005" w:type="dxa"/>
          </w:tcPr>
          <w:p w14:paraId="765E3628" w14:textId="77777777" w:rsidR="002B4DC6" w:rsidRDefault="002B4DC6" w:rsidP="00F73674">
            <w:pPr>
              <w:rPr>
                <w:lang w:val="en-DE" w:eastAsia="en-US"/>
              </w:rPr>
            </w:pPr>
            <w:r>
              <w:rPr>
                <w:lang w:val="en-DE" w:eastAsia="en-US"/>
              </w:rPr>
              <w:t>Higher CO2 transport and storage costs of 20$/tCO2</w:t>
            </w:r>
          </w:p>
        </w:tc>
        <w:tc>
          <w:tcPr>
            <w:tcW w:w="3006" w:type="dxa"/>
          </w:tcPr>
          <w:p w14:paraId="17508822" w14:textId="77777777" w:rsidR="002B4DC6" w:rsidRPr="007E2305" w:rsidRDefault="002B4DC6" w:rsidP="00F73674">
            <w:pPr>
              <w:rPr>
                <w:lang w:val="en-DE" w:eastAsia="en-US"/>
              </w:rPr>
            </w:pPr>
            <w:r>
              <w:rPr>
                <w:lang w:val="en-DE" w:eastAsia="en-US"/>
              </w:rPr>
              <w:t>reduces to 13 GtCO2/</w:t>
            </w:r>
            <w:proofErr w:type="spellStart"/>
            <w:r>
              <w:rPr>
                <w:lang w:val="en-DE" w:eastAsia="en-US"/>
              </w:rPr>
              <w:t>yr</w:t>
            </w:r>
            <w:proofErr w:type="spellEnd"/>
          </w:p>
        </w:tc>
      </w:tr>
    </w:tbl>
    <w:p w14:paraId="4E76A88D" w14:textId="77777777" w:rsidR="002B4DC6" w:rsidRPr="00EF2AA6" w:rsidRDefault="002B4DC6" w:rsidP="002B4DC6">
      <w:pPr>
        <w:rPr>
          <w:lang w:val="en-DE" w:eastAsia="en-US"/>
        </w:rPr>
      </w:pPr>
    </w:p>
    <w:p w14:paraId="0D26717F" w14:textId="2633987F" w:rsidR="002B4DC6" w:rsidRDefault="00F1298E" w:rsidP="00F1298E">
      <w:pPr>
        <w:pStyle w:val="Heading1"/>
        <w:rPr>
          <w:lang w:val="en-DE" w:eastAsia="en-US"/>
        </w:rPr>
      </w:pPr>
      <w:r>
        <w:rPr>
          <w:lang w:val="en-DE" w:eastAsia="en-US"/>
        </w:rPr>
        <w:t>Supplementary Figure 2</w:t>
      </w:r>
    </w:p>
    <w:p w14:paraId="654E0AD5" w14:textId="77777777" w:rsidR="00F1298E" w:rsidRDefault="00F1298E" w:rsidP="00F1298E">
      <w:pPr>
        <w:keepNext/>
      </w:pPr>
      <w:r>
        <w:rPr>
          <w:noProof/>
        </w:rPr>
        <w:drawing>
          <wp:inline distT="0" distB="0" distL="0" distR="0" wp14:anchorId="4BFA9295" wp14:editId="01DACEF3">
            <wp:extent cx="5731510" cy="3458845"/>
            <wp:effectExtent l="0" t="0" r="254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458845"/>
                    </a:xfrm>
                    <a:prstGeom prst="rect">
                      <a:avLst/>
                    </a:prstGeom>
                  </pic:spPr>
                </pic:pic>
              </a:graphicData>
            </a:graphic>
          </wp:inline>
        </w:drawing>
      </w:r>
    </w:p>
    <w:p w14:paraId="246E12DC" w14:textId="7F51A7A3" w:rsidR="00F1298E" w:rsidRPr="00F1298E" w:rsidRDefault="00F1298E" w:rsidP="00F1298E">
      <w:pPr>
        <w:pStyle w:val="Caption"/>
        <w:rPr>
          <w:lang w:val="en-DE"/>
        </w:rPr>
      </w:pPr>
      <w:r>
        <w:t xml:space="preserve">S-Figure </w:t>
      </w:r>
      <w:fldSimple w:instr=" SEQ S-Figure \* ARABIC ">
        <w:r>
          <w:rPr>
            <w:noProof/>
          </w:rPr>
          <w:t>2</w:t>
        </w:r>
      </w:fldSimple>
      <w:r>
        <w:rPr>
          <w:lang w:val="en-DE"/>
        </w:rPr>
        <w:t xml:space="preserve">: In order to understand the consequences of another 5 years of GCS upscaling inaction, it is useful to look at the GCS deployment in 2045. These numbers represent logistic upscaling with only 15 years of time. </w:t>
      </w:r>
    </w:p>
    <w:p w14:paraId="31EE9F58" w14:textId="77777777" w:rsidR="002B4DC6" w:rsidRPr="00F1298E" w:rsidRDefault="002B4DC6" w:rsidP="00F17E0C">
      <w:pPr>
        <w:rPr>
          <w:lang w:val="en-DE" w:eastAsia="en-US"/>
        </w:rPr>
      </w:pPr>
    </w:p>
    <w:p w14:paraId="58DDA320" w14:textId="77777777" w:rsidR="00F17E0C" w:rsidRDefault="00F17E0C" w:rsidP="00532CA8">
      <w:pPr>
        <w:pStyle w:val="Heading1"/>
        <w:rPr>
          <w:lang w:val="en-DE" w:eastAsia="en-US"/>
        </w:rPr>
      </w:pPr>
      <w:r>
        <w:rPr>
          <w:lang w:val="en-DE" w:eastAsia="en-US"/>
        </w:rPr>
        <w:t>Supplementary Note 1</w:t>
      </w:r>
    </w:p>
    <w:p w14:paraId="49C7F8F0" w14:textId="77777777" w:rsidR="00F17E0C" w:rsidRDefault="00F17E0C" w:rsidP="00F17E0C">
      <w:pPr>
        <w:rPr>
          <w:lang w:val="en-DE" w:eastAsia="en-US"/>
        </w:rPr>
      </w:pPr>
      <w:r>
        <w:rPr>
          <w:lang w:val="en-DE" w:eastAsia="en-US"/>
        </w:rPr>
        <w:t>Why regionalisation matters for global upscaling dynamics of GCS:</w:t>
      </w:r>
    </w:p>
    <w:p w14:paraId="17A5E1C3" w14:textId="77777777" w:rsidR="00F17E0C" w:rsidRDefault="00F17E0C" w:rsidP="00F17E0C">
      <w:pPr>
        <w:rPr>
          <w:lang w:val="en-DE" w:eastAsia="en-US"/>
        </w:rPr>
      </w:pPr>
      <w:r>
        <w:rPr>
          <w:lang w:val="en-DE" w:eastAsia="en-US"/>
        </w:rPr>
        <w:t xml:space="preserve">In this example with globally uniform growth rates, taking only a global perspective on starting values and market saturations too might overestimate the mid-term deployment. </w:t>
      </w:r>
    </w:p>
    <w:p w14:paraId="51D2AFC2" w14:textId="77777777" w:rsidR="00F17E0C" w:rsidRDefault="00F17E0C" w:rsidP="00F17E0C">
      <w:pPr>
        <w:rPr>
          <w:lang w:val="en-DE" w:eastAsia="en-US"/>
        </w:rPr>
      </w:pPr>
      <w:r>
        <w:rPr>
          <w:lang w:val="en-DE" w:eastAsia="en-US"/>
        </w:rPr>
        <w:t xml:space="preserve">Aggregating the regional starting values and regional market saturations and solving the logistic growth function afterwards generally yields equal or larger values than solving logistic growth curves for each region individually and aggregating the results afterwards. In fact, only for equal ratios of regional or global y0 to K are the sums of logistic growth curves and the logistic growth curves of aggregated inputs identical. </w:t>
      </w:r>
    </w:p>
    <w:p w14:paraId="1AAD8EFA" w14:textId="77777777" w:rsidR="00F17E0C" w:rsidRDefault="00F17E0C" w:rsidP="00F17E0C">
      <w:pPr>
        <w:rPr>
          <w:lang w:val="en-DE" w:eastAsia="en-US"/>
        </w:rPr>
      </w:pPr>
      <w:r>
        <w:rPr>
          <w:lang w:val="en-DE" w:eastAsia="en-US"/>
        </w:rPr>
        <w:lastRenderedPageBreak/>
        <w:t>Intuitively speaking, regions with larger initial capacity announcements (Europe, Canada, USA) might not have an equally larger market saturation. Hence in these regions, growth slows down, the sooner they approach their market saturation. On the other hand, regions with little to no announced capacities today still have large market potentials, if climate change mitigation was to be taken seriously and, in these regions, fast growth is hampered by small starting values.</w:t>
      </w:r>
    </w:p>
    <w:p w14:paraId="0F52DD12" w14:textId="77777777" w:rsidR="00F17E0C" w:rsidRDefault="00F17E0C" w:rsidP="00F17E0C">
      <w:pPr>
        <w:rPr>
          <w:lang w:val="en-DE" w:eastAsia="en-US"/>
        </w:rPr>
      </w:pPr>
      <w:r>
        <w:rPr>
          <w:lang w:val="en-DE" w:eastAsia="en-US"/>
        </w:rPr>
        <w:t>In Supplementary Figure 3 we show that the difference between both ways to obtain global results might lead to a difference of up to 30% and hence underscores the necessity to take regional bottlenecks into account, especially for benchmark numbers such as 2050 GCS deployment for net-zero targets.</w:t>
      </w:r>
    </w:p>
    <w:p w14:paraId="2FBF59D3" w14:textId="49D22505" w:rsidR="00EF2AA6" w:rsidRPr="00A71C17" w:rsidRDefault="00F17E0C" w:rsidP="00F17E0C">
      <w:pPr>
        <w:rPr>
          <w:color w:val="000000"/>
          <w:lang w:val="en-DE"/>
        </w:rPr>
      </w:pPr>
      <w:r>
        <w:rPr>
          <w:color w:val="000000"/>
          <w:lang w:val="en-DE"/>
        </w:rPr>
        <w:t>W</w:t>
      </w:r>
      <w:proofErr w:type="spellStart"/>
      <w:r w:rsidRPr="00B8295E">
        <w:rPr>
          <w:color w:val="000000"/>
          <w:lang w:val="en-US"/>
        </w:rPr>
        <w:t>e</w:t>
      </w:r>
      <w:proofErr w:type="spellEnd"/>
      <w:r w:rsidRPr="00B8295E">
        <w:rPr>
          <w:color w:val="000000"/>
          <w:lang w:val="en-US"/>
        </w:rPr>
        <w:t xml:space="preserve"> want to highlight that there is a trade-off between higher and lower regional granularity in the logistic growth analysis. Higher granularity captures discrepancies between early mover’s project announcements (or the lack thereof) and potential future GCS demand in that region but underestimates inter-regional cooperation, inter-regional spill-over effects and learning and shared infrastructure. In particular, REMIND assumes full cooperation within a region and no trade between regions.</w:t>
      </w:r>
      <w:r>
        <w:rPr>
          <w:color w:val="000000"/>
          <w:lang w:val="en-DE"/>
        </w:rPr>
        <w:t xml:space="preserve"> </w:t>
      </w:r>
    </w:p>
    <w:p w14:paraId="580CFB54" w14:textId="0E8EF6DD" w:rsidR="00894CF7" w:rsidRDefault="00894CF7" w:rsidP="00DF7203">
      <w:pPr>
        <w:rPr>
          <w:lang w:val="en-DE" w:eastAsia="en-US"/>
        </w:rPr>
      </w:pPr>
    </w:p>
    <w:p w14:paraId="0192402A" w14:textId="74502FB9" w:rsidR="003E3265" w:rsidRPr="006A1C07" w:rsidRDefault="006A1C07" w:rsidP="006A1C07">
      <w:pPr>
        <w:pStyle w:val="Heading1"/>
        <w:rPr>
          <w:lang w:val="en-DE"/>
        </w:rPr>
      </w:pPr>
      <w:r>
        <w:rPr>
          <w:lang w:val="en-DE" w:eastAsia="en-US"/>
        </w:rPr>
        <w:t xml:space="preserve">Supplementary Figure </w:t>
      </w:r>
      <w:r w:rsidR="001500D9">
        <w:rPr>
          <w:lang w:val="en-DE" w:eastAsia="en-US"/>
        </w:rPr>
        <w:t>3</w:t>
      </w:r>
      <w:r w:rsidR="003E3265" w:rsidRPr="00AF28B6">
        <w:rPr>
          <w:lang w:val="en-US"/>
        </w:rPr>
        <w:t xml:space="preserve"> </w:t>
      </w:r>
    </w:p>
    <w:p w14:paraId="6A4F655D" w14:textId="77777777" w:rsidR="006A1C07" w:rsidRDefault="007565C4" w:rsidP="00C671E8">
      <w:r>
        <w:rPr>
          <w:noProof/>
        </w:rPr>
        <w:drawing>
          <wp:inline distT="0" distB="0" distL="0" distR="0" wp14:anchorId="4FA0BFAE" wp14:editId="17103B8C">
            <wp:extent cx="5731510" cy="3091609"/>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091609"/>
                    </a:xfrm>
                    <a:prstGeom prst="rect">
                      <a:avLst/>
                    </a:prstGeom>
                  </pic:spPr>
                </pic:pic>
              </a:graphicData>
            </a:graphic>
          </wp:inline>
        </w:drawing>
      </w:r>
    </w:p>
    <w:p w14:paraId="4C5C650B" w14:textId="1D113719" w:rsidR="003E3265" w:rsidRPr="002B4DC6" w:rsidRDefault="006A1C07" w:rsidP="006A1C07">
      <w:pPr>
        <w:pStyle w:val="Caption"/>
      </w:pPr>
      <w:r>
        <w:t>S</w:t>
      </w:r>
      <w:r w:rsidR="008319BC">
        <w:t>-</w:t>
      </w:r>
      <w:r>
        <w:t>Figure</w:t>
      </w:r>
      <w:r w:rsidR="001500D9">
        <w:rPr>
          <w:lang w:val="en-DE"/>
        </w:rPr>
        <w:t xml:space="preserve"> 3</w:t>
      </w:r>
      <w:r>
        <w:t xml:space="preserve">: </w:t>
      </w:r>
      <w:r w:rsidRPr="004423CD">
        <w:t xml:space="preserve">Comparison of </w:t>
      </w:r>
      <w:r w:rsidR="00F24C87">
        <w:t xml:space="preserve">the result of the </w:t>
      </w:r>
      <w:r w:rsidR="00F24C87" w:rsidRPr="004423CD">
        <w:t>global logistic growth model</w:t>
      </w:r>
      <w:r w:rsidR="00F24C87">
        <w:t xml:space="preserve"> calculated with aggregated input parameters y0 and K</w:t>
      </w:r>
      <w:r w:rsidR="00F24C87" w:rsidRPr="004423CD">
        <w:t xml:space="preserve"> </w:t>
      </w:r>
      <w:r w:rsidR="00F24C87">
        <w:t xml:space="preserve">(red) </w:t>
      </w:r>
      <w:r w:rsidRPr="004423CD">
        <w:t>with</w:t>
      </w:r>
      <w:r w:rsidR="00F24C87" w:rsidRPr="00F24C87">
        <w:t xml:space="preserve"> </w:t>
      </w:r>
      <w:r w:rsidR="00F24C87" w:rsidRPr="004423CD">
        <w:t>sum of regionalised projections</w:t>
      </w:r>
      <w:r w:rsidR="00F24C87">
        <w:t xml:space="preserve"> (blue)</w:t>
      </w:r>
      <w:r w:rsidR="00F24C87" w:rsidRPr="004423CD">
        <w:t xml:space="preserve"> </w:t>
      </w:r>
      <w:r w:rsidR="00F24C87">
        <w:t>(as presented in this work)</w:t>
      </w:r>
      <w:r w:rsidRPr="004423CD">
        <w:t>. Regionalisation reduces expectations in 2050 as regions with large project announcements are not necessarily the regions with large market saturation</w:t>
      </w:r>
      <w:r>
        <w:t>.</w:t>
      </w:r>
      <w:r w:rsidR="002B4DC6">
        <w:t xml:space="preserve"> See also Supplementary Note 1. </w:t>
      </w:r>
    </w:p>
    <w:p w14:paraId="7B087465" w14:textId="56A1A73C" w:rsidR="000A0914" w:rsidRDefault="000A0914" w:rsidP="000A0914">
      <w:pPr>
        <w:rPr>
          <w:lang w:val="en-DE"/>
        </w:rPr>
      </w:pPr>
    </w:p>
    <w:p w14:paraId="129998F8" w14:textId="2558CEC2" w:rsidR="00BE272B" w:rsidRDefault="00BE272B" w:rsidP="000A0914">
      <w:pPr>
        <w:rPr>
          <w:lang w:val="en-DE"/>
        </w:rPr>
      </w:pPr>
    </w:p>
    <w:p w14:paraId="5B00A372" w14:textId="77777777" w:rsidR="005A6541" w:rsidRDefault="005A6541" w:rsidP="000A0914">
      <w:pPr>
        <w:rPr>
          <w:lang w:val="en-DE"/>
        </w:rPr>
      </w:pPr>
      <w:bookmarkStart w:id="1" w:name="_GoBack"/>
      <w:bookmarkEnd w:id="1"/>
    </w:p>
    <w:p w14:paraId="4A62B946" w14:textId="486A7D35" w:rsidR="00BE272B" w:rsidRDefault="00BE272B" w:rsidP="000A0914">
      <w:pPr>
        <w:rPr>
          <w:lang w:val="en-DE"/>
        </w:rPr>
      </w:pPr>
    </w:p>
    <w:p w14:paraId="38523EBC" w14:textId="0C91B4AB" w:rsidR="00BE272B" w:rsidRPr="00CD0F27" w:rsidRDefault="00BE272B" w:rsidP="00BE272B">
      <w:pPr>
        <w:pStyle w:val="Heading1"/>
        <w:rPr>
          <w:lang w:val="en-DE"/>
        </w:rPr>
      </w:pPr>
      <w:r>
        <w:rPr>
          <w:lang w:val="en-DE"/>
        </w:rPr>
        <w:lastRenderedPageBreak/>
        <w:t xml:space="preserve">Supplementary Table </w:t>
      </w:r>
      <w:r w:rsidR="00CD0F27">
        <w:rPr>
          <w:lang w:val="en-DE"/>
        </w:rPr>
        <w:t>3</w:t>
      </w:r>
    </w:p>
    <w:tbl>
      <w:tblPr>
        <w:tblStyle w:val="TableGrid"/>
        <w:tblW w:w="0" w:type="auto"/>
        <w:tblLook w:val="04A0" w:firstRow="1" w:lastRow="0" w:firstColumn="1" w:lastColumn="0" w:noHBand="0" w:noVBand="1"/>
      </w:tblPr>
      <w:tblGrid>
        <w:gridCol w:w="1133"/>
        <w:gridCol w:w="7883"/>
      </w:tblGrid>
      <w:tr w:rsidR="0097016D" w14:paraId="25BDA56F" w14:textId="77777777" w:rsidTr="00B71857">
        <w:tc>
          <w:tcPr>
            <w:tcW w:w="988" w:type="dxa"/>
          </w:tcPr>
          <w:p w14:paraId="2901C30F" w14:textId="578B3CA4" w:rsidR="0097016D" w:rsidRPr="00C10FFA" w:rsidRDefault="0097016D" w:rsidP="00C10FFA">
            <w:pPr>
              <w:jc w:val="center"/>
              <w:rPr>
                <w:b/>
                <w:lang w:val="en-DE"/>
              </w:rPr>
            </w:pPr>
            <w:r w:rsidRPr="00C10FFA">
              <w:rPr>
                <w:b/>
                <w:lang w:val="en-DE"/>
              </w:rPr>
              <w:t xml:space="preserve">REMIND </w:t>
            </w:r>
            <w:r w:rsidRPr="00C10FFA">
              <w:rPr>
                <w:b/>
                <w:lang w:val="en-DE"/>
              </w:rPr>
              <w:br/>
              <w:t>region</w:t>
            </w:r>
          </w:p>
        </w:tc>
        <w:tc>
          <w:tcPr>
            <w:tcW w:w="8028" w:type="dxa"/>
          </w:tcPr>
          <w:p w14:paraId="43A4D64A" w14:textId="7C9DC18B" w:rsidR="0097016D" w:rsidRPr="00C10FFA" w:rsidRDefault="0097016D" w:rsidP="00C10FFA">
            <w:pPr>
              <w:jc w:val="center"/>
              <w:rPr>
                <w:b/>
                <w:lang w:val="en-DE"/>
              </w:rPr>
            </w:pPr>
            <w:r w:rsidRPr="00C10FFA">
              <w:rPr>
                <w:b/>
                <w:lang w:val="en-DE"/>
              </w:rPr>
              <w:t>Countries</w:t>
            </w:r>
          </w:p>
        </w:tc>
      </w:tr>
      <w:tr w:rsidR="00B71857" w:rsidRPr="00F1298E" w14:paraId="378CD783" w14:textId="77777777" w:rsidTr="00B71857">
        <w:tc>
          <w:tcPr>
            <w:tcW w:w="988" w:type="dxa"/>
          </w:tcPr>
          <w:p w14:paraId="53DA81F4" w14:textId="02B9533D" w:rsidR="00B71857" w:rsidRDefault="00B71857" w:rsidP="00BE272B">
            <w:pPr>
              <w:rPr>
                <w:lang w:val="en-DE"/>
              </w:rPr>
            </w:pPr>
            <w:r>
              <w:rPr>
                <w:lang w:val="en-DE"/>
              </w:rPr>
              <w:t>CAZ</w:t>
            </w:r>
          </w:p>
        </w:tc>
        <w:tc>
          <w:tcPr>
            <w:tcW w:w="8028" w:type="dxa"/>
          </w:tcPr>
          <w:p w14:paraId="00B84071" w14:textId="73ABA657" w:rsidR="00B71857" w:rsidRDefault="00B71857" w:rsidP="00BE272B">
            <w:pPr>
              <w:rPr>
                <w:lang w:val="en-DE"/>
              </w:rPr>
            </w:pPr>
            <w:r w:rsidRPr="00B71857">
              <w:rPr>
                <w:lang w:val="en-DE"/>
              </w:rPr>
              <w:t>Australia, Canada, Heard Island and McDonald Islands, New Zealand, Saint Pierre and Miquelon</w:t>
            </w:r>
          </w:p>
        </w:tc>
      </w:tr>
      <w:tr w:rsidR="00B71857" w:rsidRPr="00F1298E" w14:paraId="2311DEA5" w14:textId="77777777" w:rsidTr="00B71857">
        <w:tc>
          <w:tcPr>
            <w:tcW w:w="988" w:type="dxa"/>
          </w:tcPr>
          <w:p w14:paraId="313499BA" w14:textId="34A7FB7B" w:rsidR="00B71857" w:rsidRDefault="00B71857" w:rsidP="00BE272B">
            <w:pPr>
              <w:rPr>
                <w:lang w:val="en-DE"/>
              </w:rPr>
            </w:pPr>
            <w:r>
              <w:rPr>
                <w:lang w:val="en-DE"/>
              </w:rPr>
              <w:t>CHA</w:t>
            </w:r>
          </w:p>
        </w:tc>
        <w:tc>
          <w:tcPr>
            <w:tcW w:w="8028" w:type="dxa"/>
          </w:tcPr>
          <w:p w14:paraId="49FA5168" w14:textId="01D60ABC" w:rsidR="00B71857" w:rsidRDefault="00B71857" w:rsidP="00BE272B">
            <w:pPr>
              <w:rPr>
                <w:lang w:val="en-DE"/>
              </w:rPr>
            </w:pPr>
            <w:r w:rsidRPr="00B71857">
              <w:rPr>
                <w:lang w:val="en-DE"/>
              </w:rPr>
              <w:t>China, Hong Kong, Macao, Taiwan, Province of China</w:t>
            </w:r>
          </w:p>
        </w:tc>
      </w:tr>
      <w:tr w:rsidR="00B71857" w:rsidRPr="00F1298E" w14:paraId="1DFC382F" w14:textId="77777777" w:rsidTr="00B71857">
        <w:tc>
          <w:tcPr>
            <w:tcW w:w="988" w:type="dxa"/>
          </w:tcPr>
          <w:p w14:paraId="7F972DF0" w14:textId="513FC8F4" w:rsidR="00B71857" w:rsidRDefault="00B71857" w:rsidP="00BE272B">
            <w:pPr>
              <w:rPr>
                <w:lang w:val="en-DE"/>
              </w:rPr>
            </w:pPr>
            <w:r>
              <w:rPr>
                <w:lang w:val="en-DE"/>
              </w:rPr>
              <w:t>EUR</w:t>
            </w:r>
          </w:p>
        </w:tc>
        <w:tc>
          <w:tcPr>
            <w:tcW w:w="8028" w:type="dxa"/>
          </w:tcPr>
          <w:p w14:paraId="65CA53C2" w14:textId="3ADA4BDA" w:rsidR="00B71857" w:rsidRDefault="00B71857" w:rsidP="00BE272B">
            <w:pPr>
              <w:rPr>
                <w:lang w:val="en-DE"/>
              </w:rPr>
            </w:pPr>
            <w:r w:rsidRPr="00B71857">
              <w:rPr>
                <w:lang w:val="en-DE"/>
              </w:rPr>
              <w:t>Aland Islands, Austria, Belgium, Bulgaria, Cyprus, Czech Republic, Germany, Denmark, Spain, Estonia, Finland, France, Faroe Islands, United Kingdom, Guernsey, Gibraltar, Greece, Croatia, Hungary, Isle of Man, Ireland, Italy, Jersey, Lithuania, Luxembourg, Latvia, Malta, Netherlands, Poland, Portugal, Romania, Slovakia, Slovenia, Sweden</w:t>
            </w:r>
          </w:p>
        </w:tc>
      </w:tr>
      <w:tr w:rsidR="00B71857" w14:paraId="699E0804" w14:textId="77777777" w:rsidTr="00B71857">
        <w:tc>
          <w:tcPr>
            <w:tcW w:w="988" w:type="dxa"/>
          </w:tcPr>
          <w:p w14:paraId="70041C77" w14:textId="6F8DA594" w:rsidR="00B71857" w:rsidRDefault="00B71857" w:rsidP="00BE272B">
            <w:pPr>
              <w:rPr>
                <w:lang w:val="en-DE"/>
              </w:rPr>
            </w:pPr>
            <w:r>
              <w:rPr>
                <w:lang w:val="en-DE"/>
              </w:rPr>
              <w:t>IND</w:t>
            </w:r>
          </w:p>
        </w:tc>
        <w:tc>
          <w:tcPr>
            <w:tcW w:w="8028" w:type="dxa"/>
          </w:tcPr>
          <w:p w14:paraId="68C506AD" w14:textId="684D15DE" w:rsidR="00B71857" w:rsidRDefault="00B71857" w:rsidP="00BE272B">
            <w:pPr>
              <w:rPr>
                <w:lang w:val="en-DE"/>
              </w:rPr>
            </w:pPr>
            <w:r>
              <w:rPr>
                <w:lang w:val="en-DE"/>
              </w:rPr>
              <w:t>India</w:t>
            </w:r>
          </w:p>
        </w:tc>
      </w:tr>
      <w:tr w:rsidR="00B71857" w14:paraId="0D65576E" w14:textId="77777777" w:rsidTr="00B71857">
        <w:tc>
          <w:tcPr>
            <w:tcW w:w="988" w:type="dxa"/>
          </w:tcPr>
          <w:p w14:paraId="6EA6743E" w14:textId="4AA5877F" w:rsidR="00B71857" w:rsidRDefault="00B71857" w:rsidP="00BE272B">
            <w:pPr>
              <w:rPr>
                <w:lang w:val="en-DE"/>
              </w:rPr>
            </w:pPr>
            <w:r>
              <w:rPr>
                <w:lang w:val="en-DE"/>
              </w:rPr>
              <w:t>JPN</w:t>
            </w:r>
          </w:p>
        </w:tc>
        <w:tc>
          <w:tcPr>
            <w:tcW w:w="8028" w:type="dxa"/>
          </w:tcPr>
          <w:p w14:paraId="02C652DB" w14:textId="6A527DF2" w:rsidR="00B71857" w:rsidRDefault="00B71857" w:rsidP="00BE272B">
            <w:pPr>
              <w:rPr>
                <w:lang w:val="en-DE"/>
              </w:rPr>
            </w:pPr>
            <w:r>
              <w:rPr>
                <w:lang w:val="en-DE"/>
              </w:rPr>
              <w:t>Japan</w:t>
            </w:r>
          </w:p>
        </w:tc>
      </w:tr>
      <w:tr w:rsidR="00B71857" w:rsidRPr="00F1298E" w14:paraId="44275DC8" w14:textId="77777777" w:rsidTr="00B71857">
        <w:tc>
          <w:tcPr>
            <w:tcW w:w="988" w:type="dxa"/>
          </w:tcPr>
          <w:p w14:paraId="03D7CF77" w14:textId="4521F9DB" w:rsidR="00B71857" w:rsidRDefault="00B71857" w:rsidP="00BE272B">
            <w:pPr>
              <w:rPr>
                <w:lang w:val="en-DE"/>
              </w:rPr>
            </w:pPr>
            <w:r>
              <w:rPr>
                <w:lang w:val="en-DE"/>
              </w:rPr>
              <w:t>LAM</w:t>
            </w:r>
          </w:p>
        </w:tc>
        <w:tc>
          <w:tcPr>
            <w:tcW w:w="8028" w:type="dxa"/>
          </w:tcPr>
          <w:p w14:paraId="093EAAB3" w14:textId="60EF2571" w:rsidR="00B71857" w:rsidRDefault="00B71857" w:rsidP="00BE272B">
            <w:pPr>
              <w:rPr>
                <w:lang w:val="en-DE"/>
              </w:rPr>
            </w:pPr>
            <w:r w:rsidRPr="00B71857">
              <w:rPr>
                <w:lang w:val="en-DE"/>
              </w:rPr>
              <w:t xml:space="preserve">Aruba, Anguilla, Argentina, Antarctica, Antigua and Barbuda, Bonaire, Sint Eustatius and Saba, Bahamas, Saint Barthelemy, Belize, Bermuda, Bolivia, </w:t>
            </w:r>
            <w:proofErr w:type="spellStart"/>
            <w:r w:rsidRPr="00B71857">
              <w:rPr>
                <w:lang w:val="en-DE"/>
              </w:rPr>
              <w:t>Plurinational</w:t>
            </w:r>
            <w:proofErr w:type="spellEnd"/>
            <w:r w:rsidRPr="00B71857">
              <w:rPr>
                <w:lang w:val="en-DE"/>
              </w:rPr>
              <w:t xml:space="preserve"> State of, Brazil, Barbados, Bouvet Island, Chile, Colombia, Costa Rica, Cuba, Curacao, Cayman Islands, Dominica, Dominican Republic, Ecuador, Falkland Islands (Malvinas), Guadeloupe, Grenada, Guatemala, French Guiana, Guyana, Honduras, Haiti, Jamaica, Saint Kitts and Nevis, Saint Lucia, Saint Martin (French part), Mexico, Montserrat, Martinique, Nicaragua, Panama, Peru, Puerto Rico, Paraguay, South Georgia and the South Sandwich Islands, El Salvador, Suriname, Sint Maarten (Dutch part), Turks and Caicos Islands, Trinidad and Tobago, Uruguay, Saint Vincent and the Grenadines, Venezuela, Bolivarian Republic of, Virgin Islands </w:t>
            </w:r>
            <w:r>
              <w:rPr>
                <w:lang w:val="en-DE"/>
              </w:rPr>
              <w:t>(</w:t>
            </w:r>
            <w:r w:rsidRPr="00B71857">
              <w:rPr>
                <w:lang w:val="en-DE"/>
              </w:rPr>
              <w:t>British</w:t>
            </w:r>
            <w:r>
              <w:rPr>
                <w:lang w:val="en-DE"/>
              </w:rPr>
              <w:t>)</w:t>
            </w:r>
            <w:r w:rsidRPr="00B71857">
              <w:rPr>
                <w:lang w:val="en-DE"/>
              </w:rPr>
              <w:t xml:space="preserve">, Virgin Islands </w:t>
            </w:r>
            <w:r>
              <w:rPr>
                <w:lang w:val="en-DE"/>
              </w:rPr>
              <w:t>(</w:t>
            </w:r>
            <w:r w:rsidRPr="00B71857">
              <w:rPr>
                <w:lang w:val="en-DE"/>
              </w:rPr>
              <w:t>U.S.</w:t>
            </w:r>
            <w:r>
              <w:rPr>
                <w:lang w:val="en-DE"/>
              </w:rPr>
              <w:t>)</w:t>
            </w:r>
          </w:p>
        </w:tc>
      </w:tr>
      <w:tr w:rsidR="00B71857" w:rsidRPr="00F1298E" w14:paraId="529267B4" w14:textId="77777777" w:rsidTr="00B71857">
        <w:tc>
          <w:tcPr>
            <w:tcW w:w="988" w:type="dxa"/>
          </w:tcPr>
          <w:p w14:paraId="3545A9CF" w14:textId="32685429" w:rsidR="00B71857" w:rsidRDefault="00B71857" w:rsidP="00BE272B">
            <w:pPr>
              <w:rPr>
                <w:lang w:val="en-DE"/>
              </w:rPr>
            </w:pPr>
            <w:r>
              <w:rPr>
                <w:lang w:val="en-DE"/>
              </w:rPr>
              <w:t>MEA</w:t>
            </w:r>
          </w:p>
        </w:tc>
        <w:tc>
          <w:tcPr>
            <w:tcW w:w="8028" w:type="dxa"/>
          </w:tcPr>
          <w:p w14:paraId="4C90301B" w14:textId="0C91F0CD" w:rsidR="00B71857" w:rsidRDefault="00B71857" w:rsidP="00BE272B">
            <w:pPr>
              <w:rPr>
                <w:lang w:val="en-DE"/>
              </w:rPr>
            </w:pPr>
            <w:r w:rsidRPr="00B71857">
              <w:rPr>
                <w:lang w:val="en-DE"/>
              </w:rPr>
              <w:t>United Arab Emirates, Bahrain, Algeria, Egypt, Western Sahara, Iran, Islamic Republic of, Iraq, Israel, Jordan, Kuwait, Lebanon, Libya, Morocco, Oman, Palestine, State of, Qatar, Saudi Arabia, Sudan, Syrian Arab Republic, Tunisia, Yemen</w:t>
            </w:r>
          </w:p>
        </w:tc>
      </w:tr>
      <w:tr w:rsidR="00B71857" w:rsidRPr="00F1298E" w14:paraId="409C18B6" w14:textId="77777777" w:rsidTr="00B71857">
        <w:tc>
          <w:tcPr>
            <w:tcW w:w="988" w:type="dxa"/>
          </w:tcPr>
          <w:p w14:paraId="55A153CF" w14:textId="145B41B0" w:rsidR="00B71857" w:rsidRDefault="00B71857" w:rsidP="00BE272B">
            <w:pPr>
              <w:rPr>
                <w:lang w:val="en-DE"/>
              </w:rPr>
            </w:pPr>
            <w:r>
              <w:rPr>
                <w:lang w:val="en-DE"/>
              </w:rPr>
              <w:t>NEU</w:t>
            </w:r>
          </w:p>
        </w:tc>
        <w:tc>
          <w:tcPr>
            <w:tcW w:w="8028" w:type="dxa"/>
          </w:tcPr>
          <w:p w14:paraId="291909DC" w14:textId="2BB0DEC9" w:rsidR="00B71857" w:rsidRDefault="00B71857" w:rsidP="00BE272B">
            <w:pPr>
              <w:rPr>
                <w:lang w:val="en-DE"/>
              </w:rPr>
            </w:pPr>
            <w:r w:rsidRPr="00B71857">
              <w:rPr>
                <w:lang w:val="en-DE"/>
              </w:rPr>
              <w:t>Albania, Andorra, Bosnia and Herzegovina, Switzerland, Greenland, Iceland, Liechtenstein, Monaco, Macedonia, the former Yugoslav Republic of, Montenegro, Norway, Svalbard and Jan Mayen, San Marino, Serbia, Turkey, Holy See (Vatican City State)</w:t>
            </w:r>
          </w:p>
        </w:tc>
      </w:tr>
      <w:tr w:rsidR="00B71857" w:rsidRPr="00F1298E" w14:paraId="2481071A" w14:textId="77777777" w:rsidTr="00B71857">
        <w:tc>
          <w:tcPr>
            <w:tcW w:w="988" w:type="dxa"/>
          </w:tcPr>
          <w:p w14:paraId="477B2AAE" w14:textId="6F690A41" w:rsidR="00B71857" w:rsidRDefault="00B71857" w:rsidP="00BE272B">
            <w:pPr>
              <w:rPr>
                <w:lang w:val="en-DE"/>
              </w:rPr>
            </w:pPr>
            <w:r>
              <w:rPr>
                <w:lang w:val="en-DE"/>
              </w:rPr>
              <w:t>OAS</w:t>
            </w:r>
          </w:p>
        </w:tc>
        <w:tc>
          <w:tcPr>
            <w:tcW w:w="8028" w:type="dxa"/>
          </w:tcPr>
          <w:p w14:paraId="5B21387D" w14:textId="1AC2BAAD" w:rsidR="00B71857" w:rsidRDefault="00B71857" w:rsidP="00BE272B">
            <w:pPr>
              <w:rPr>
                <w:lang w:val="en-DE"/>
              </w:rPr>
            </w:pPr>
            <w:r w:rsidRPr="00B71857">
              <w:rPr>
                <w:lang w:val="en-DE"/>
              </w:rPr>
              <w:t>Afghanistan, American Samoa, French Southern Territories, Bangladesh, Brunei Darussalam, Bhutan, Cocos (Keeling) Islands, Cook Islands, Christmas Island, Fiji, Micronesia, Federated States of, Guam, Indonesia, British Indian Ocean Territory, Cambodia, Kiribati, Korea, Republic of, Lao People's Democratic Republic, Sri Lanka, Maldives, Marshall Islands, Myanmar, Mongolia, Northern Mariana Islands, Malaysia, New Caledonia, Norfolk Island, Niue, Nepal, Nauru, Pakistan, Pitcairn, Philippines, Palau, Papua New Guinea, Korea, Democratic People's Republic of, French Polynesia, Singapore, Solomon Islands, Thailand, Tokelau, Timor-Leste, Tonga, Tuvalu, United States Minor Outlying Islands, Viet Nam, Vanuatu, Wallis and Futuna, Samoa</w:t>
            </w:r>
          </w:p>
        </w:tc>
      </w:tr>
      <w:tr w:rsidR="00B71857" w:rsidRPr="00F1298E" w14:paraId="6A42C3F9" w14:textId="77777777" w:rsidTr="00B71857">
        <w:tc>
          <w:tcPr>
            <w:tcW w:w="988" w:type="dxa"/>
          </w:tcPr>
          <w:p w14:paraId="43A3F3CE" w14:textId="5549E2B4" w:rsidR="00B71857" w:rsidRDefault="00B71857" w:rsidP="00BE272B">
            <w:pPr>
              <w:rPr>
                <w:lang w:val="en-DE"/>
              </w:rPr>
            </w:pPr>
            <w:r>
              <w:rPr>
                <w:lang w:val="en-DE"/>
              </w:rPr>
              <w:t>REF</w:t>
            </w:r>
          </w:p>
        </w:tc>
        <w:tc>
          <w:tcPr>
            <w:tcW w:w="8028" w:type="dxa"/>
          </w:tcPr>
          <w:p w14:paraId="03CCFE41" w14:textId="3511FFC3" w:rsidR="00B71857" w:rsidRDefault="00B71857" w:rsidP="00BE272B">
            <w:pPr>
              <w:rPr>
                <w:lang w:val="en-DE"/>
              </w:rPr>
            </w:pPr>
            <w:r w:rsidRPr="00B71857">
              <w:rPr>
                <w:lang w:val="en-DE"/>
              </w:rPr>
              <w:t>Armenia, Azerbaijan, Belarus, Georgia, Kazakhstan, Kyrgyzstan, Moldova, Republic of, Russian Federation, Tajikistan, Turkmenistan, Ukraine, Uzbekistan</w:t>
            </w:r>
          </w:p>
        </w:tc>
      </w:tr>
      <w:tr w:rsidR="00B71857" w:rsidRPr="00F1298E" w14:paraId="28EB4D35" w14:textId="77777777" w:rsidTr="00B71857">
        <w:tc>
          <w:tcPr>
            <w:tcW w:w="988" w:type="dxa"/>
          </w:tcPr>
          <w:p w14:paraId="3BBFA9ED" w14:textId="7C837353" w:rsidR="00B71857" w:rsidRDefault="00B71857" w:rsidP="00BE272B">
            <w:pPr>
              <w:rPr>
                <w:lang w:val="en-DE"/>
              </w:rPr>
            </w:pPr>
            <w:r>
              <w:rPr>
                <w:lang w:val="en-DE"/>
              </w:rPr>
              <w:t>SSA</w:t>
            </w:r>
          </w:p>
        </w:tc>
        <w:tc>
          <w:tcPr>
            <w:tcW w:w="8028" w:type="dxa"/>
          </w:tcPr>
          <w:p w14:paraId="42E6BCF1" w14:textId="644BCE0B" w:rsidR="00B71857" w:rsidRDefault="00B71857" w:rsidP="00BE272B">
            <w:pPr>
              <w:rPr>
                <w:lang w:val="en-DE"/>
              </w:rPr>
            </w:pPr>
            <w:r w:rsidRPr="00B71857">
              <w:rPr>
                <w:lang w:val="en-DE"/>
              </w:rPr>
              <w:t>Angola, Burundi, Benin, Burkina Faso, Botswana, Central African Republic, Cote d Ivoire, Cameroon, Congo, the Democratic Republic of the, Congo, Comoros, Cape Verde, Djibouti, Eritrea, Ethiopia, Gabon, Ghana, Guinea, Gambia, Guinea-Bissau, Equatorial Guinea, Kenya, Liberia, Lesotho, Madagascar, Mali, Mozambique, Mauritania, Mauritius, Malawi, Mayotte, Namibia, Niger, Nigeria, Reunion, Rwanda, Senegal, Saint Helena, Ascension and Tristan da Cunha, Sierra Leone, Somalia, South Sudan, Sao Tome and Principe, Swaziland, Seychelles, Chad, Togo, Tanzania, United Republic of, Uganda, South Africa, Zambia, Zimbabwe</w:t>
            </w:r>
          </w:p>
        </w:tc>
      </w:tr>
      <w:tr w:rsidR="00B71857" w14:paraId="42F30554" w14:textId="77777777" w:rsidTr="00B71857">
        <w:tc>
          <w:tcPr>
            <w:tcW w:w="988" w:type="dxa"/>
          </w:tcPr>
          <w:p w14:paraId="5AE4B71D" w14:textId="2325F5C8" w:rsidR="00B71857" w:rsidRDefault="00B71857" w:rsidP="00BE272B">
            <w:pPr>
              <w:rPr>
                <w:lang w:val="en-DE"/>
              </w:rPr>
            </w:pPr>
            <w:r>
              <w:rPr>
                <w:lang w:val="en-DE"/>
              </w:rPr>
              <w:t>USA</w:t>
            </w:r>
          </w:p>
        </w:tc>
        <w:tc>
          <w:tcPr>
            <w:tcW w:w="8028" w:type="dxa"/>
          </w:tcPr>
          <w:p w14:paraId="1351C4AE" w14:textId="33C538A0" w:rsidR="00B71857" w:rsidRDefault="00B71857" w:rsidP="00BE272B">
            <w:pPr>
              <w:rPr>
                <w:lang w:val="en-DE"/>
              </w:rPr>
            </w:pPr>
            <w:r w:rsidRPr="00B71857">
              <w:rPr>
                <w:lang w:val="en-DE"/>
              </w:rPr>
              <w:t>United States</w:t>
            </w:r>
          </w:p>
        </w:tc>
      </w:tr>
    </w:tbl>
    <w:p w14:paraId="78A5D7BF" w14:textId="332ADCF7" w:rsidR="00BE272B" w:rsidRDefault="00BE272B" w:rsidP="00BE272B">
      <w:pPr>
        <w:rPr>
          <w:lang w:val="en-DE"/>
        </w:rPr>
      </w:pPr>
    </w:p>
    <w:p w14:paraId="0E6BB68B" w14:textId="215FB1C4" w:rsidR="00DA70B3" w:rsidRPr="001500D9" w:rsidRDefault="00DA70B3" w:rsidP="00DA70B3">
      <w:pPr>
        <w:pStyle w:val="Heading1"/>
        <w:rPr>
          <w:lang w:val="en-DE"/>
        </w:rPr>
      </w:pPr>
      <w:r>
        <w:rPr>
          <w:lang w:val="en-DE"/>
        </w:rPr>
        <w:lastRenderedPageBreak/>
        <w:t xml:space="preserve">Supplementary Figure </w:t>
      </w:r>
      <w:r w:rsidR="001500D9">
        <w:rPr>
          <w:lang w:val="en-DE"/>
        </w:rPr>
        <w:t>4</w:t>
      </w:r>
    </w:p>
    <w:p w14:paraId="7D5E0641" w14:textId="77777777" w:rsidR="008319BC" w:rsidRDefault="00DA70B3" w:rsidP="008319BC">
      <w:pPr>
        <w:keepNext/>
      </w:pPr>
      <w:r>
        <w:rPr>
          <w:noProof/>
        </w:rPr>
        <w:drawing>
          <wp:inline distT="0" distB="0" distL="0" distR="0" wp14:anchorId="36BA8E60" wp14:editId="16B47734">
            <wp:extent cx="5731510" cy="3465195"/>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3465195"/>
                    </a:xfrm>
                    <a:prstGeom prst="rect">
                      <a:avLst/>
                    </a:prstGeom>
                  </pic:spPr>
                </pic:pic>
              </a:graphicData>
            </a:graphic>
          </wp:inline>
        </w:drawing>
      </w:r>
    </w:p>
    <w:p w14:paraId="5C17ED2B" w14:textId="19EED683" w:rsidR="00DA70B3" w:rsidRDefault="008319BC" w:rsidP="008319BC">
      <w:pPr>
        <w:pStyle w:val="Caption"/>
      </w:pPr>
      <w:r>
        <w:t xml:space="preserve">S-Figure </w:t>
      </w:r>
      <w:r w:rsidR="001500D9">
        <w:rPr>
          <w:lang w:val="en-DE"/>
        </w:rPr>
        <w:t>4</w:t>
      </w:r>
      <w:r>
        <w:t xml:space="preserve">: CH4 and N2O emissions across scenarios from the sectors agriculture, energy supply, fossil fuel </w:t>
      </w:r>
      <w:proofErr w:type="gramStart"/>
      <w:r>
        <w:t xml:space="preserve">extraction, </w:t>
      </w:r>
      <w:r>
        <w:rPr>
          <w:noProof/>
        </w:rPr>
        <w:t xml:space="preserve"> land</w:t>
      </w:r>
      <w:proofErr w:type="gramEnd"/>
      <w:r>
        <w:rPr>
          <w:noProof/>
        </w:rPr>
        <w:t>-use change, transport and waste management.</w:t>
      </w:r>
    </w:p>
    <w:p w14:paraId="10578A48" w14:textId="77777777" w:rsidR="00DA70B3" w:rsidRPr="00BE272B" w:rsidRDefault="00DA70B3" w:rsidP="00BE272B">
      <w:pPr>
        <w:rPr>
          <w:lang w:val="en-DE"/>
        </w:rPr>
      </w:pPr>
    </w:p>
    <w:p w14:paraId="05851585" w14:textId="6F4D1416" w:rsidR="00ED2CA4" w:rsidRDefault="00532CA8" w:rsidP="00532CA8">
      <w:pPr>
        <w:pStyle w:val="Heading1"/>
        <w:rPr>
          <w:lang w:val="en-DE"/>
        </w:rPr>
      </w:pPr>
      <w:r>
        <w:rPr>
          <w:lang w:val="en-DE"/>
        </w:rPr>
        <w:t>Supplementary Note 2</w:t>
      </w:r>
    </w:p>
    <w:p w14:paraId="78A0EAF9" w14:textId="2054F747" w:rsidR="00532CA8" w:rsidRPr="00532CA8" w:rsidRDefault="009D2AF8" w:rsidP="00532CA8">
      <w:pPr>
        <w:pStyle w:val="Title"/>
        <w:rPr>
          <w:sz w:val="36"/>
          <w:lang w:val="en-DE"/>
        </w:rPr>
      </w:pPr>
      <w:r>
        <w:rPr>
          <w:sz w:val="36"/>
          <w:lang w:val="en-DE"/>
        </w:rPr>
        <w:t xml:space="preserve">REMIND </w:t>
      </w:r>
      <w:r w:rsidR="00532CA8" w:rsidRPr="009D2AF8">
        <w:rPr>
          <w:sz w:val="36"/>
          <w:lang w:val="en-US"/>
        </w:rPr>
        <w:t>CDR technologies implementation</w:t>
      </w:r>
      <w:r>
        <w:rPr>
          <w:sz w:val="36"/>
          <w:lang w:val="en-DE"/>
        </w:rPr>
        <w:t xml:space="preserve"> description</w:t>
      </w:r>
      <w:r w:rsidR="00532CA8" w:rsidRPr="009D2AF8">
        <w:rPr>
          <w:sz w:val="36"/>
          <w:lang w:val="en-US"/>
        </w:rPr>
        <w:t xml:space="preserve"> </w:t>
      </w:r>
    </w:p>
    <w:p w14:paraId="5063586E" w14:textId="77777777" w:rsidR="00532CA8" w:rsidRPr="009D2AF8" w:rsidRDefault="00532CA8" w:rsidP="00532CA8">
      <w:pPr>
        <w:rPr>
          <w:lang w:val="en-US"/>
        </w:rPr>
      </w:pPr>
    </w:p>
    <w:p w14:paraId="0E44451D" w14:textId="77777777" w:rsidR="00532CA8" w:rsidRPr="00532CA8" w:rsidRDefault="00532CA8" w:rsidP="00532CA8">
      <w:pPr>
        <w:rPr>
          <w:b/>
          <w:lang w:val="en-US"/>
        </w:rPr>
      </w:pPr>
      <w:r w:rsidRPr="00532CA8">
        <w:rPr>
          <w:b/>
          <w:lang w:val="en-US"/>
        </w:rPr>
        <w:t>Direct Air CO</w:t>
      </w:r>
      <w:r w:rsidRPr="00532CA8">
        <w:rPr>
          <w:b/>
          <w:vertAlign w:val="subscript"/>
          <w:lang w:val="en-US"/>
        </w:rPr>
        <w:t>2</w:t>
      </w:r>
      <w:r w:rsidRPr="00532CA8">
        <w:rPr>
          <w:b/>
          <w:lang w:val="en-US"/>
        </w:rPr>
        <w:t xml:space="preserve"> Capture and Utilization/Storage (DACCU/DACCS)</w:t>
      </w:r>
      <w:r w:rsidRPr="00532CA8">
        <w:rPr>
          <w:b/>
          <w:lang w:val="en-DE"/>
        </w:rPr>
        <w:t xml:space="preserve"> </w:t>
      </w:r>
    </w:p>
    <w:p w14:paraId="0BF10084" w14:textId="77777777" w:rsidR="00532CA8" w:rsidRPr="00532CA8" w:rsidRDefault="00532CA8" w:rsidP="00532CA8">
      <w:pPr>
        <w:rPr>
          <w:u w:val="single"/>
          <w:lang w:val="en-US"/>
        </w:rPr>
      </w:pPr>
      <w:r w:rsidRPr="00532CA8">
        <w:rPr>
          <w:u w:val="single"/>
          <w:lang w:val="en-US"/>
        </w:rPr>
        <w:t>Technology flavors/configurations</w:t>
      </w:r>
    </w:p>
    <w:p w14:paraId="18A69722" w14:textId="77777777" w:rsidR="00532CA8" w:rsidRDefault="00532CA8" w:rsidP="00532CA8">
      <w:pPr>
        <w:rPr>
          <w:lang w:val="en-DE"/>
        </w:rPr>
      </w:pPr>
      <w:r>
        <w:rPr>
          <w:lang w:val="en-DE"/>
        </w:rPr>
        <w:t xml:space="preserve">DAC is represented in the energy system model of REMIND, and is represented as one generic technology: a low-temperature DAC process with energy requirements following </w:t>
      </w:r>
      <w:proofErr w:type="spellStart"/>
      <w:r>
        <w:rPr>
          <w:lang w:val="en-DE"/>
        </w:rPr>
        <w:t>Climeworks</w:t>
      </w:r>
      <w:proofErr w:type="spellEnd"/>
      <w:r>
        <w:rPr>
          <w:lang w:val="en-DE"/>
        </w:rPr>
        <w:t xml:space="preserve"> specifications. CO2 Utilisation and Storage are modelled separately (see description CO2 transport and Storage).</w:t>
      </w:r>
    </w:p>
    <w:p w14:paraId="4A00A088" w14:textId="77777777" w:rsidR="00532CA8" w:rsidRPr="00532CA8" w:rsidRDefault="00532CA8" w:rsidP="00532CA8">
      <w:pPr>
        <w:rPr>
          <w:u w:val="single"/>
          <w:lang w:val="en-US"/>
        </w:rPr>
      </w:pPr>
      <w:r w:rsidRPr="00532CA8">
        <w:rPr>
          <w:u w:val="single"/>
          <w:lang w:val="en-US"/>
        </w:rPr>
        <w:t>Input</w:t>
      </w:r>
    </w:p>
    <w:p w14:paraId="151B6F8E" w14:textId="66F1B1C0" w:rsidR="00532CA8" w:rsidRDefault="00532CA8" w:rsidP="00532CA8">
      <w:pPr>
        <w:rPr>
          <w:lang w:val="en-DE"/>
        </w:rPr>
      </w:pPr>
      <w:r>
        <w:rPr>
          <w:lang w:val="en-DE"/>
        </w:rPr>
        <w:t>Energy inputs</w:t>
      </w:r>
      <w:r>
        <w:rPr>
          <w:lang w:val="en-DE"/>
        </w:rPr>
        <w:br/>
        <w:t xml:space="preserve">DAC uses 400 kWh electricity/tCO2 for ventilation during the capture phase and 1600 kWh thermal energy/tCO2 during the recovery phase. </w:t>
      </w:r>
    </w:p>
    <w:p w14:paraId="2637CCB6" w14:textId="77777777" w:rsidR="00532CA8" w:rsidRPr="00532CA8" w:rsidRDefault="00532CA8" w:rsidP="00532CA8">
      <w:pPr>
        <w:rPr>
          <w:u w:val="single"/>
          <w:lang w:val="en-DE"/>
        </w:rPr>
      </w:pPr>
      <w:proofErr w:type="spellStart"/>
      <w:r w:rsidRPr="00532CA8">
        <w:rPr>
          <w:u w:val="single"/>
          <w:lang w:val="en-US"/>
        </w:rPr>
        <w:t>Outpu</w:t>
      </w:r>
      <w:proofErr w:type="spellEnd"/>
      <w:r w:rsidRPr="00532CA8">
        <w:rPr>
          <w:u w:val="single"/>
          <w:lang w:val="en-DE"/>
        </w:rPr>
        <w:t>t</w:t>
      </w:r>
    </w:p>
    <w:p w14:paraId="51042321" w14:textId="77777777" w:rsidR="00532CA8" w:rsidRDefault="00532CA8" w:rsidP="00532CA8">
      <w:pPr>
        <w:rPr>
          <w:lang w:val="en-DE"/>
        </w:rPr>
      </w:pPr>
      <w:r>
        <w:rPr>
          <w:lang w:val="en-DE"/>
        </w:rPr>
        <w:t xml:space="preserve">DAC provides </w:t>
      </w:r>
      <w:r w:rsidRPr="00532CA8">
        <w:rPr>
          <w:lang w:val="en-US"/>
        </w:rPr>
        <w:t>CO</w:t>
      </w:r>
      <w:r w:rsidRPr="00532CA8">
        <w:rPr>
          <w:vertAlign w:val="subscript"/>
          <w:lang w:val="en-US"/>
        </w:rPr>
        <w:t>2</w:t>
      </w:r>
      <w:r w:rsidRPr="00532CA8">
        <w:rPr>
          <w:lang w:val="en-US"/>
        </w:rPr>
        <w:t xml:space="preserve"> for</w:t>
      </w:r>
      <w:r>
        <w:rPr>
          <w:lang w:val="en-DE"/>
        </w:rPr>
        <w:t xml:space="preserve"> the value chain</w:t>
      </w:r>
      <w:r w:rsidRPr="00532CA8">
        <w:rPr>
          <w:lang w:val="en-US"/>
        </w:rPr>
        <w:t>.</w:t>
      </w:r>
      <w:r>
        <w:rPr>
          <w:lang w:val="en-DE"/>
        </w:rPr>
        <w:t xml:space="preserve"> The model can endogenously decide whether the captured CO2 shall be used for synthetic gases or liquids (CCU) or if it should be permanently stored geologically (DACCS).</w:t>
      </w:r>
    </w:p>
    <w:p w14:paraId="49471D75" w14:textId="77777777" w:rsidR="00532CA8" w:rsidRPr="00532CA8" w:rsidRDefault="00532CA8" w:rsidP="00532CA8">
      <w:pPr>
        <w:rPr>
          <w:u w:val="single"/>
          <w:lang w:val="en-DE"/>
        </w:rPr>
      </w:pPr>
      <w:bookmarkStart w:id="2" w:name="_heading=h.teedl18jvmf3" w:colFirst="0" w:colLast="0"/>
      <w:bookmarkEnd w:id="2"/>
      <w:r w:rsidRPr="00532CA8">
        <w:rPr>
          <w:u w:val="single"/>
          <w:lang w:val="en-US"/>
        </w:rPr>
        <w:t>Infrastructure</w:t>
      </w:r>
    </w:p>
    <w:p w14:paraId="6BD37BD4" w14:textId="77777777" w:rsidR="00031439" w:rsidRDefault="00532CA8" w:rsidP="00532CA8">
      <w:pPr>
        <w:rPr>
          <w:lang w:val="en-DE"/>
        </w:rPr>
      </w:pPr>
      <w:r>
        <w:rPr>
          <w:lang w:val="en-DE"/>
        </w:rPr>
        <w:lastRenderedPageBreak/>
        <w:t xml:space="preserve">DACCS requires </w:t>
      </w:r>
      <w:r w:rsidRPr="00960206">
        <w:rPr>
          <w:lang w:val="en-DE"/>
        </w:rPr>
        <w:t xml:space="preserve">CO2 </w:t>
      </w:r>
      <w:r>
        <w:rPr>
          <w:lang w:val="en-DE"/>
        </w:rPr>
        <w:t>transport and storage infrastructure (see detailed description in corresponding section).</w:t>
      </w:r>
    </w:p>
    <w:p w14:paraId="3C1F0CF4" w14:textId="7CC34FA6" w:rsidR="00532CA8" w:rsidRPr="00532CA8" w:rsidRDefault="00532CA8" w:rsidP="00532CA8">
      <w:pPr>
        <w:rPr>
          <w:u w:val="single"/>
          <w:lang w:val="en-US"/>
        </w:rPr>
      </w:pPr>
      <w:r>
        <w:rPr>
          <w:lang w:val="en-DE"/>
        </w:rPr>
        <w:br/>
      </w:r>
      <w:r w:rsidRPr="00532CA8">
        <w:rPr>
          <w:u w:val="single"/>
          <w:lang w:val="en-US"/>
        </w:rPr>
        <w:t>Timing and permanence</w:t>
      </w:r>
    </w:p>
    <w:p w14:paraId="67641ED6" w14:textId="77777777" w:rsidR="00532CA8" w:rsidRPr="00532CA8" w:rsidRDefault="00532CA8" w:rsidP="00532CA8">
      <w:pPr>
        <w:rPr>
          <w:lang w:val="en-US"/>
        </w:rPr>
      </w:pPr>
      <w:r>
        <w:rPr>
          <w:lang w:val="en-DE"/>
        </w:rPr>
        <w:t xml:space="preserve">CO2 captured by </w:t>
      </w:r>
      <w:r w:rsidRPr="00532CA8">
        <w:rPr>
          <w:lang w:val="en-US"/>
        </w:rPr>
        <w:t xml:space="preserve">DAC </w:t>
      </w:r>
      <w:r>
        <w:rPr>
          <w:lang w:val="en-DE"/>
        </w:rPr>
        <w:t xml:space="preserve">is assumed to be rereleased in the same timestep if it is used for synthetic fuels (DACCU) and </w:t>
      </w:r>
      <w:r w:rsidRPr="00532CA8">
        <w:rPr>
          <w:lang w:val="en-US"/>
        </w:rPr>
        <w:t>assume</w:t>
      </w:r>
      <w:r>
        <w:rPr>
          <w:lang w:val="en-DE"/>
        </w:rPr>
        <w:t>d to be</w:t>
      </w:r>
      <w:r w:rsidRPr="00532CA8">
        <w:rPr>
          <w:lang w:val="en-US"/>
        </w:rPr>
        <w:t xml:space="preserve"> stored permanently </w:t>
      </w:r>
      <w:r>
        <w:rPr>
          <w:lang w:val="en-DE"/>
        </w:rPr>
        <w:t>in geological formations (DACCS)</w:t>
      </w:r>
      <w:r w:rsidRPr="00532CA8">
        <w:rPr>
          <w:lang w:val="en-US"/>
        </w:rPr>
        <w:t xml:space="preserve">. </w:t>
      </w:r>
      <w:r>
        <w:rPr>
          <w:lang w:val="en-DE"/>
        </w:rPr>
        <w:t>For DACCS, timing is immediate and storage is considered permanent</w:t>
      </w:r>
      <w:r w:rsidRPr="00532CA8">
        <w:rPr>
          <w:lang w:val="en-US"/>
        </w:rPr>
        <w:t xml:space="preserve">. </w:t>
      </w:r>
    </w:p>
    <w:p w14:paraId="0356CA66" w14:textId="00589975" w:rsidR="00532CA8" w:rsidRPr="0020794F" w:rsidRDefault="00532CA8" w:rsidP="0020794F">
      <w:pPr>
        <w:rPr>
          <w:u w:val="single"/>
          <w:lang w:val="en-DE"/>
        </w:rPr>
      </w:pPr>
      <w:bookmarkStart w:id="3" w:name="_heading=h.33zlqwih9l02" w:colFirst="0" w:colLast="0"/>
      <w:bookmarkEnd w:id="3"/>
      <w:r w:rsidRPr="0020794F">
        <w:rPr>
          <w:u w:val="single"/>
          <w:lang w:val="en-DE"/>
        </w:rPr>
        <w:t>Costs</w:t>
      </w:r>
      <w:r w:rsidR="0020794F" w:rsidRPr="0020794F">
        <w:rPr>
          <w:u w:val="single"/>
          <w:lang w:val="en-DE"/>
        </w:rPr>
        <w:t xml:space="preserve"> and deployment constraints</w:t>
      </w:r>
    </w:p>
    <w:p w14:paraId="050B6CCC" w14:textId="185754ED" w:rsidR="00532CA8" w:rsidRPr="0014084C" w:rsidRDefault="00532CA8" w:rsidP="00532CA8">
      <w:pPr>
        <w:rPr>
          <w:lang w:val="en-DE"/>
        </w:rPr>
      </w:pPr>
      <w:r>
        <w:rPr>
          <w:lang w:val="en-DE"/>
        </w:rPr>
        <w:t>Learning:</w:t>
      </w:r>
      <w:r w:rsidR="00260B00">
        <w:rPr>
          <w:lang w:val="en-DE"/>
        </w:rPr>
        <w:t xml:space="preserve"> </w:t>
      </w:r>
      <w:r>
        <w:rPr>
          <w:lang w:val="en-DE"/>
        </w:rPr>
        <w:t>DAC is implemented with endogenous learning for capital investment costs. Starting from an initial cost assumption, global cumulative deployment reduces these costs with a defined learning rate: Every doubling in installed capacity reduces costs by 15% until exogenously defined floor costs are achieved.</w:t>
      </w:r>
    </w:p>
    <w:p w14:paraId="5D8E1785" w14:textId="695C7A6C" w:rsidR="00532CA8" w:rsidRDefault="00532CA8" w:rsidP="00532CA8">
      <w:pPr>
        <w:rPr>
          <w:lang w:val="en-DE"/>
        </w:rPr>
      </w:pPr>
      <w:r>
        <w:rPr>
          <w:lang w:val="en-DE"/>
        </w:rPr>
        <w:t>Upscaling penalty:</w:t>
      </w:r>
      <w:r w:rsidR="00260B00">
        <w:rPr>
          <w:lang w:val="en-DE"/>
        </w:rPr>
        <w:t xml:space="preserve"> </w:t>
      </w:r>
      <w:r>
        <w:rPr>
          <w:lang w:val="en-DE"/>
        </w:rPr>
        <w:t xml:space="preserve">Non-linear upscaling of any technology in REMIND comes with “adjustment costs” penalty. </w:t>
      </w:r>
    </w:p>
    <w:p w14:paraId="34680226" w14:textId="77777777" w:rsidR="00532CA8" w:rsidRPr="00532CA8" w:rsidRDefault="00532CA8" w:rsidP="00532CA8">
      <w:pPr>
        <w:rPr>
          <w:lang w:val="en-US"/>
        </w:rPr>
      </w:pPr>
      <w:bookmarkStart w:id="4" w:name="_heading=h.epoe9pj8ctma" w:colFirst="0" w:colLast="0"/>
      <w:bookmarkEnd w:id="4"/>
    </w:p>
    <w:p w14:paraId="15273BAE" w14:textId="77777777" w:rsidR="00532CA8" w:rsidRPr="001918D7" w:rsidRDefault="00532CA8" w:rsidP="001918D7">
      <w:pPr>
        <w:rPr>
          <w:b/>
          <w:lang w:val="en-US"/>
        </w:rPr>
      </w:pPr>
      <w:r w:rsidRPr="001918D7">
        <w:rPr>
          <w:b/>
          <w:lang w:val="en-DE"/>
        </w:rPr>
        <w:t>Bioenergy with Carbon Capture and Usage/Storage</w:t>
      </w:r>
      <w:r w:rsidRPr="001918D7">
        <w:rPr>
          <w:b/>
          <w:lang w:val="en-US"/>
        </w:rPr>
        <w:t xml:space="preserve"> (</w:t>
      </w:r>
      <w:r w:rsidRPr="001918D7">
        <w:rPr>
          <w:b/>
          <w:lang w:val="en-DE"/>
        </w:rPr>
        <w:t>BECCS/BECCU</w:t>
      </w:r>
      <w:r w:rsidRPr="001918D7">
        <w:rPr>
          <w:b/>
          <w:lang w:val="en-US"/>
        </w:rPr>
        <w:t>)</w:t>
      </w:r>
    </w:p>
    <w:p w14:paraId="549B08F7" w14:textId="77777777" w:rsidR="00532CA8" w:rsidRPr="001918D7" w:rsidRDefault="00532CA8" w:rsidP="001918D7">
      <w:pPr>
        <w:rPr>
          <w:u w:val="single"/>
          <w:lang w:val="en-US"/>
        </w:rPr>
      </w:pPr>
      <w:r w:rsidRPr="001918D7">
        <w:rPr>
          <w:u w:val="single"/>
          <w:lang w:val="en-US"/>
        </w:rPr>
        <w:t>Technology flavors/configurations</w:t>
      </w:r>
    </w:p>
    <w:p w14:paraId="3FF9A954" w14:textId="4FC50024" w:rsidR="00532CA8" w:rsidRDefault="00532CA8" w:rsidP="00532CA8">
      <w:pPr>
        <w:rPr>
          <w:lang w:val="en-DE"/>
        </w:rPr>
      </w:pPr>
      <w:r>
        <w:rPr>
          <w:lang w:val="en-DE"/>
        </w:rPr>
        <w:t>Bioenergy supply (from lignocellulosic purpose grown energy crops and agricultural and forestry residues) is</w:t>
      </w:r>
      <w:r w:rsidR="001918D7">
        <w:rPr>
          <w:lang w:val="en-DE"/>
        </w:rPr>
        <w:t xml:space="preserve"> supplied by </w:t>
      </w:r>
      <w:proofErr w:type="spellStart"/>
      <w:r w:rsidR="001918D7">
        <w:rPr>
          <w:lang w:val="en-DE"/>
        </w:rPr>
        <w:t>MAgPIE</w:t>
      </w:r>
      <w:proofErr w:type="spellEnd"/>
      <w:r w:rsidR="001918D7">
        <w:rPr>
          <w:lang w:val="en-DE"/>
        </w:rPr>
        <w:t xml:space="preserve"> or a </w:t>
      </w:r>
      <w:proofErr w:type="spellStart"/>
      <w:r w:rsidR="001918D7">
        <w:rPr>
          <w:lang w:val="en-DE"/>
        </w:rPr>
        <w:t>MAgPIE</w:t>
      </w:r>
      <w:proofErr w:type="spellEnd"/>
      <w:r w:rsidR="001918D7">
        <w:rPr>
          <w:lang w:val="en-DE"/>
        </w:rPr>
        <w:t xml:space="preserve"> emulator in REMIND stand-alone runs</w:t>
      </w:r>
      <w:r>
        <w:rPr>
          <w:lang w:val="en-DE"/>
        </w:rPr>
        <w:t xml:space="preserve">. </w:t>
      </w:r>
    </w:p>
    <w:p w14:paraId="67E1D833" w14:textId="05687EC3" w:rsidR="00532CA8" w:rsidRPr="001B351D" w:rsidRDefault="00532CA8" w:rsidP="00532CA8">
      <w:pPr>
        <w:rPr>
          <w:lang w:val="en-DE"/>
        </w:rPr>
      </w:pPr>
      <w:r>
        <w:rPr>
          <w:lang w:val="en-DE"/>
        </w:rPr>
        <w:t>Primary energy biomass is used</w:t>
      </w:r>
      <w:r w:rsidR="001918D7">
        <w:rPr>
          <w:lang w:val="en-DE"/>
        </w:rPr>
        <w:t xml:space="preserve"> in</w:t>
      </w:r>
      <w:r>
        <w:rPr>
          <w:lang w:val="en-DE"/>
        </w:rPr>
        <w:t xml:space="preserve"> REMIND for </w:t>
      </w:r>
      <w:r w:rsidRPr="001918D7">
        <w:rPr>
          <w:lang w:val="en-DE"/>
        </w:rPr>
        <w:t xml:space="preserve">energy </w:t>
      </w:r>
      <w:proofErr w:type="spellStart"/>
      <w:r w:rsidR="001918D7">
        <w:rPr>
          <w:lang w:val="en-DE"/>
        </w:rPr>
        <w:t>i</w:t>
      </w:r>
      <w:proofErr w:type="spellEnd"/>
      <w:r w:rsidR="001918D7">
        <w:rPr>
          <w:lang w:val="en-DE"/>
        </w:rPr>
        <w:t xml:space="preserve">) </w:t>
      </w:r>
      <w:r w:rsidRPr="001918D7">
        <w:rPr>
          <w:lang w:val="en-DE"/>
        </w:rPr>
        <w:t>supply-side BECCS:</w:t>
      </w:r>
    </w:p>
    <w:p w14:paraId="5E3010D1" w14:textId="77777777" w:rsidR="00532CA8" w:rsidRDefault="00532CA8" w:rsidP="00532CA8">
      <w:pPr>
        <w:rPr>
          <w:lang w:val="en-DE"/>
        </w:rPr>
      </w:pPr>
      <w:r>
        <w:rPr>
          <w:lang w:val="en-DE"/>
        </w:rPr>
        <w:t xml:space="preserve">REMIND represents four energy supply side conversion routes: Biomass to 1) electricity, 2) hydrogen, 3) liquid fuels (Fischer </w:t>
      </w:r>
      <w:proofErr w:type="spellStart"/>
      <w:r>
        <w:rPr>
          <w:lang w:val="en-DE"/>
        </w:rPr>
        <w:t>Tropsch</w:t>
      </w:r>
      <w:proofErr w:type="spellEnd"/>
      <w:r>
        <w:rPr>
          <w:lang w:val="en-DE"/>
        </w:rPr>
        <w:t xml:space="preserve"> Synthesis), 4) biogas. </w:t>
      </w:r>
    </w:p>
    <w:p w14:paraId="7501F82A" w14:textId="6591C62B" w:rsidR="00532CA8" w:rsidRPr="001918D7" w:rsidRDefault="001918D7" w:rsidP="00532CA8">
      <w:pPr>
        <w:rPr>
          <w:lang w:val="en-DE"/>
        </w:rPr>
      </w:pPr>
      <w:r w:rsidRPr="001918D7">
        <w:rPr>
          <w:lang w:val="en-DE"/>
        </w:rPr>
        <w:t xml:space="preserve">or ii) </w:t>
      </w:r>
      <w:r w:rsidR="00532CA8" w:rsidRPr="001918D7">
        <w:rPr>
          <w:lang w:val="en-DE"/>
        </w:rPr>
        <w:t>Industry BECCS:</w:t>
      </w:r>
    </w:p>
    <w:p w14:paraId="294B132A" w14:textId="23A22890" w:rsidR="00532CA8" w:rsidRDefault="001918D7" w:rsidP="00532CA8">
      <w:pPr>
        <w:rPr>
          <w:lang w:val="en-DE"/>
        </w:rPr>
      </w:pPr>
      <w:r>
        <w:rPr>
          <w:lang w:val="en-DE"/>
        </w:rPr>
        <w:t>C</w:t>
      </w:r>
      <w:r w:rsidR="00532CA8">
        <w:rPr>
          <w:lang w:val="en-DE"/>
        </w:rPr>
        <w:t xml:space="preserve">ombustion of final energy hydrocarbon fuels in industry (primarily to supply industrial heat demand) can be coupled with carbon capture and storage. If such fuels are of biogenic origin, this results in industry BECCS. This is represented by marginal abatement cost curves for applying carbon capture to industry emissions. </w:t>
      </w:r>
    </w:p>
    <w:p w14:paraId="402AFC70" w14:textId="77777777" w:rsidR="00532CA8" w:rsidRPr="001918D7" w:rsidRDefault="00532CA8" w:rsidP="001918D7">
      <w:pPr>
        <w:rPr>
          <w:u w:val="single"/>
          <w:lang w:val="en-US"/>
        </w:rPr>
      </w:pPr>
      <w:r w:rsidRPr="001918D7">
        <w:rPr>
          <w:u w:val="single"/>
          <w:lang w:val="en-US"/>
        </w:rPr>
        <w:t>Input</w:t>
      </w:r>
    </w:p>
    <w:p w14:paraId="7BBA0E5A" w14:textId="1EFAD9AE" w:rsidR="00532CA8" w:rsidRDefault="00532CA8" w:rsidP="00532CA8">
      <w:pPr>
        <w:rPr>
          <w:lang w:val="en-DE"/>
        </w:rPr>
      </w:pPr>
      <w:r>
        <w:rPr>
          <w:lang w:val="en-DE"/>
        </w:rPr>
        <w:t xml:space="preserve">Biomass supply for energetic purposes </w:t>
      </w:r>
    </w:p>
    <w:p w14:paraId="2BC585B6" w14:textId="77777777" w:rsidR="00532CA8" w:rsidRPr="002A0AC9" w:rsidRDefault="00532CA8" w:rsidP="00532CA8">
      <w:pPr>
        <w:pStyle w:val="ListParagraph"/>
        <w:numPr>
          <w:ilvl w:val="0"/>
          <w:numId w:val="19"/>
        </w:numPr>
        <w:spacing w:after="0" w:line="240" w:lineRule="auto"/>
        <w:rPr>
          <w:lang w:val="en-DE"/>
        </w:rPr>
      </w:pPr>
      <w:r w:rsidRPr="002A0AC9">
        <w:rPr>
          <w:lang w:val="en-DE"/>
        </w:rPr>
        <w:t xml:space="preserve">residues (fixed potential with small costs) </w:t>
      </w:r>
    </w:p>
    <w:p w14:paraId="53A76A10" w14:textId="77777777" w:rsidR="00532CA8" w:rsidRDefault="00532CA8" w:rsidP="00532CA8">
      <w:pPr>
        <w:pStyle w:val="ListParagraph"/>
        <w:numPr>
          <w:ilvl w:val="0"/>
          <w:numId w:val="19"/>
        </w:numPr>
        <w:spacing w:after="0" w:line="240" w:lineRule="auto"/>
        <w:rPr>
          <w:lang w:val="en-DE"/>
        </w:rPr>
      </w:pPr>
      <w:r w:rsidRPr="002A0AC9">
        <w:rPr>
          <w:lang w:val="en-DE"/>
        </w:rPr>
        <w:t>and purpose grown bioenergy crops (</w:t>
      </w:r>
      <w:proofErr w:type="spellStart"/>
      <w:r w:rsidRPr="002A0AC9">
        <w:rPr>
          <w:lang w:val="en-DE"/>
        </w:rPr>
        <w:t>MAgPIE</w:t>
      </w:r>
      <w:proofErr w:type="spellEnd"/>
      <w:r w:rsidRPr="002A0AC9">
        <w:rPr>
          <w:lang w:val="en-DE"/>
        </w:rPr>
        <w:t xml:space="preserve"> has a representation of a generic grassy and a generic tree species). </w:t>
      </w:r>
    </w:p>
    <w:p w14:paraId="0DE14553" w14:textId="77777777" w:rsidR="001918D7" w:rsidRDefault="001918D7" w:rsidP="001918D7">
      <w:pPr>
        <w:rPr>
          <w:u w:val="single"/>
          <w:lang w:val="en-US"/>
        </w:rPr>
      </w:pPr>
    </w:p>
    <w:p w14:paraId="112E104D" w14:textId="5240754F" w:rsidR="00532CA8" w:rsidRPr="001918D7" w:rsidRDefault="00532CA8" w:rsidP="001918D7">
      <w:pPr>
        <w:rPr>
          <w:u w:val="single"/>
          <w:lang w:val="en-US"/>
        </w:rPr>
      </w:pPr>
      <w:r w:rsidRPr="001918D7">
        <w:rPr>
          <w:u w:val="single"/>
          <w:lang w:val="en-US"/>
        </w:rPr>
        <w:t>Output</w:t>
      </w:r>
    </w:p>
    <w:p w14:paraId="79CCB3C4" w14:textId="77777777" w:rsidR="00532CA8" w:rsidRPr="00D442B1" w:rsidRDefault="00532CA8" w:rsidP="00532CA8">
      <w:pPr>
        <w:rPr>
          <w:lang w:val="en-DE"/>
        </w:rPr>
      </w:pPr>
      <w:r>
        <w:rPr>
          <w:lang w:val="en-DE"/>
        </w:rPr>
        <w:t>Energy supply-side BECCS:</w:t>
      </w:r>
    </w:p>
    <w:p w14:paraId="3D19686E" w14:textId="77777777" w:rsidR="00532CA8" w:rsidRDefault="00532CA8" w:rsidP="00532CA8">
      <w:pPr>
        <w:rPr>
          <w:lang w:val="en-DE"/>
        </w:rPr>
      </w:pPr>
      <w:r w:rsidRPr="00B5655F">
        <w:rPr>
          <w:lang w:val="en-DE"/>
        </w:rPr>
        <w:t xml:space="preserve">Energy output </w:t>
      </w:r>
      <w:r>
        <w:rPr>
          <w:lang w:val="en-DE"/>
        </w:rPr>
        <w:t>depends on conversion route: Electricity, biogas, hydrogen or liquid fuels (diesel).</w:t>
      </w:r>
      <w:r w:rsidRPr="00B5655F">
        <w:rPr>
          <w:lang w:val="en-DE"/>
        </w:rPr>
        <w:t xml:space="preserve"> </w:t>
      </w:r>
    </w:p>
    <w:p w14:paraId="12C8121D" w14:textId="77777777" w:rsidR="00532CA8" w:rsidRPr="00D442B1" w:rsidRDefault="00532CA8" w:rsidP="00532CA8">
      <w:pPr>
        <w:rPr>
          <w:lang w:val="en-DE"/>
        </w:rPr>
      </w:pPr>
      <w:r>
        <w:rPr>
          <w:lang w:val="en-DE"/>
        </w:rPr>
        <w:t>Industry BECCS:</w:t>
      </w:r>
    </w:p>
    <w:p w14:paraId="206BA752" w14:textId="4C3A5FC7" w:rsidR="00532CA8" w:rsidRPr="00D442B1" w:rsidRDefault="00532CA8" w:rsidP="00532CA8">
      <w:pPr>
        <w:rPr>
          <w:lang w:val="en-DE"/>
        </w:rPr>
      </w:pPr>
      <w:r>
        <w:rPr>
          <w:lang w:val="en-DE"/>
        </w:rPr>
        <w:t xml:space="preserve">Provides industrial high temperature heat </w:t>
      </w:r>
      <w:r w:rsidR="001918D7">
        <w:rPr>
          <w:lang w:val="en-DE"/>
        </w:rPr>
        <w:t>at</w:t>
      </w:r>
      <w:r>
        <w:rPr>
          <w:lang w:val="en-DE"/>
        </w:rPr>
        <w:t xml:space="preserve"> stationary combustion sites. </w:t>
      </w:r>
      <w:r>
        <w:rPr>
          <w:lang w:val="en-DE"/>
        </w:rPr>
        <w:br/>
      </w:r>
      <w:r>
        <w:rPr>
          <w:lang w:val="en-DE"/>
        </w:rPr>
        <w:br/>
      </w:r>
      <w:r>
        <w:rPr>
          <w:lang w:val="en-DE"/>
        </w:rPr>
        <w:lastRenderedPageBreak/>
        <w:t>All</w:t>
      </w:r>
      <w:r w:rsidRPr="00B5655F">
        <w:rPr>
          <w:lang w:val="en-DE"/>
        </w:rPr>
        <w:t xml:space="preserve"> BECCS </w:t>
      </w:r>
      <w:r>
        <w:rPr>
          <w:lang w:val="en-DE"/>
        </w:rPr>
        <w:t xml:space="preserve">activities </w:t>
      </w:r>
      <w:r w:rsidRPr="00B5655F">
        <w:rPr>
          <w:lang w:val="en-DE"/>
        </w:rPr>
        <w:t xml:space="preserve">provide captured CO2 for the </w:t>
      </w:r>
      <w:r>
        <w:rPr>
          <w:lang w:val="en-DE"/>
        </w:rPr>
        <w:t xml:space="preserve">CCUS </w:t>
      </w:r>
      <w:r w:rsidRPr="00B5655F">
        <w:rPr>
          <w:lang w:val="en-DE"/>
        </w:rPr>
        <w:t>value chain</w:t>
      </w:r>
      <w:r w:rsidRPr="00532CA8">
        <w:rPr>
          <w:lang w:val="en-US"/>
        </w:rPr>
        <w:t>.</w:t>
      </w:r>
      <w:r w:rsidRPr="00B5655F">
        <w:rPr>
          <w:lang w:val="en-DE"/>
        </w:rPr>
        <w:t xml:space="preserve"> The model can endogenously decide whether the captured CO2 shall be used for synthetic gases or liquids or if it should be permanently geologically stored. </w:t>
      </w:r>
      <w:r>
        <w:rPr>
          <w:lang w:val="en-DE"/>
        </w:rPr>
        <w:t>(See dedicated chapter on CO2 transport and storage)</w:t>
      </w:r>
    </w:p>
    <w:p w14:paraId="34D418F9" w14:textId="77777777" w:rsidR="00532CA8" w:rsidRPr="00744AAE" w:rsidRDefault="00532CA8" w:rsidP="00744AAE">
      <w:pPr>
        <w:rPr>
          <w:u w:val="single"/>
          <w:lang w:val="en-US"/>
        </w:rPr>
      </w:pPr>
      <w:r w:rsidRPr="00744AAE">
        <w:rPr>
          <w:u w:val="single"/>
          <w:lang w:val="en-US"/>
        </w:rPr>
        <w:t>Emissions</w:t>
      </w:r>
    </w:p>
    <w:p w14:paraId="66875262" w14:textId="77777777" w:rsidR="00532CA8" w:rsidRPr="00574587" w:rsidRDefault="00532CA8" w:rsidP="00532CA8">
      <w:pPr>
        <w:rPr>
          <w:lang w:val="en-DE"/>
        </w:rPr>
      </w:pPr>
      <w:r>
        <w:rPr>
          <w:lang w:val="en-DE"/>
        </w:rPr>
        <w:t xml:space="preserve">Carbon uptake in above ground biomass of bioenergy crops as well as rerelease upon harvest/combustion are not explicitly modelled as overall emission balance is zero. </w:t>
      </w:r>
    </w:p>
    <w:p w14:paraId="7070692B" w14:textId="2984A381" w:rsidR="00532CA8" w:rsidRDefault="00532CA8" w:rsidP="00532CA8">
      <w:pPr>
        <w:rPr>
          <w:lang w:val="en-DE"/>
        </w:rPr>
      </w:pPr>
      <w:r>
        <w:rPr>
          <w:lang w:val="en-DE"/>
        </w:rPr>
        <w:t xml:space="preserve">But bioenergy crop induced direct and indirect land-use and land-use-change CO2 emissions as well as associated CH4 and N2O emissions are accounted for in </w:t>
      </w:r>
      <w:proofErr w:type="spellStart"/>
      <w:r>
        <w:rPr>
          <w:lang w:val="en-DE"/>
        </w:rPr>
        <w:t>MAgPIE</w:t>
      </w:r>
      <w:proofErr w:type="spellEnd"/>
      <w:r w:rsidR="00744AAE">
        <w:rPr>
          <w:lang w:val="en-DE"/>
        </w:rPr>
        <w:t xml:space="preserve"> (or in </w:t>
      </w:r>
      <w:proofErr w:type="spellStart"/>
      <w:r w:rsidR="00744AAE">
        <w:rPr>
          <w:lang w:val="en-DE"/>
        </w:rPr>
        <w:t>MAgPIE</w:t>
      </w:r>
      <w:proofErr w:type="spellEnd"/>
      <w:r w:rsidR="00744AAE">
        <w:rPr>
          <w:lang w:val="en-DE"/>
        </w:rPr>
        <w:t xml:space="preserve"> emulator)</w:t>
      </w:r>
      <w:r>
        <w:rPr>
          <w:lang w:val="en-DE"/>
        </w:rPr>
        <w:t xml:space="preserve">. </w:t>
      </w:r>
    </w:p>
    <w:p w14:paraId="237F8238" w14:textId="4C8D44AD" w:rsidR="00532CA8" w:rsidRPr="00532CA8" w:rsidRDefault="00532CA8" w:rsidP="00532CA8">
      <w:pPr>
        <w:rPr>
          <w:lang w:val="en-US"/>
        </w:rPr>
      </w:pPr>
      <w:r>
        <w:rPr>
          <w:lang w:val="en-DE"/>
        </w:rPr>
        <w:t>On the energy system side</w:t>
      </w:r>
      <w:r w:rsidR="004B2ECB">
        <w:rPr>
          <w:lang w:val="en-DE"/>
        </w:rPr>
        <w:t>,</w:t>
      </w:r>
      <w:r>
        <w:rPr>
          <w:lang w:val="en-DE"/>
        </w:rPr>
        <w:t xml:space="preserve"> biomass is accounted as carbon neutral and REMIND does not account for other technology specific non-CO2 emissions</w:t>
      </w:r>
      <w:r w:rsidRPr="00532CA8">
        <w:rPr>
          <w:lang w:val="en-US"/>
        </w:rPr>
        <w:t xml:space="preserve">. </w:t>
      </w:r>
    </w:p>
    <w:p w14:paraId="44C8F6D4" w14:textId="77777777" w:rsidR="00031439" w:rsidRPr="00532CA8" w:rsidRDefault="00031439" w:rsidP="00031439">
      <w:pPr>
        <w:rPr>
          <w:u w:val="single"/>
          <w:lang w:val="en-DE"/>
        </w:rPr>
      </w:pPr>
      <w:r w:rsidRPr="00532CA8">
        <w:rPr>
          <w:u w:val="single"/>
          <w:lang w:val="en-US"/>
        </w:rPr>
        <w:t>Infrastructure</w:t>
      </w:r>
    </w:p>
    <w:p w14:paraId="6CB1EB52" w14:textId="0E5C3F56" w:rsidR="00031439" w:rsidRDefault="00031439" w:rsidP="00031439">
      <w:pPr>
        <w:rPr>
          <w:lang w:val="en-DE"/>
        </w:rPr>
      </w:pPr>
      <w:r>
        <w:rPr>
          <w:lang w:val="en-DE"/>
        </w:rPr>
        <w:t xml:space="preserve">BECCS requires </w:t>
      </w:r>
      <w:r w:rsidRPr="00960206">
        <w:rPr>
          <w:lang w:val="en-DE"/>
        </w:rPr>
        <w:t xml:space="preserve">CO2 </w:t>
      </w:r>
      <w:r>
        <w:rPr>
          <w:lang w:val="en-DE"/>
        </w:rPr>
        <w:t>transport and storage infrastructure (see detailed description in corresponding section).</w:t>
      </w:r>
    </w:p>
    <w:p w14:paraId="7F1CCA31" w14:textId="77777777" w:rsidR="00532CA8" w:rsidRPr="00031439" w:rsidRDefault="00532CA8" w:rsidP="00532CA8">
      <w:pPr>
        <w:rPr>
          <w:lang w:val="en-DE"/>
        </w:rPr>
      </w:pPr>
    </w:p>
    <w:p w14:paraId="553840C0" w14:textId="77777777" w:rsidR="00031439" w:rsidRDefault="00532CA8" w:rsidP="00532CA8">
      <w:pPr>
        <w:rPr>
          <w:u w:val="single"/>
          <w:lang w:val="en-DE"/>
        </w:rPr>
      </w:pPr>
      <w:r w:rsidRPr="00031439">
        <w:rPr>
          <w:u w:val="single"/>
          <w:lang w:val="en-DE"/>
        </w:rPr>
        <w:t>Timing and permanence</w:t>
      </w:r>
    </w:p>
    <w:p w14:paraId="1021AA91" w14:textId="264F8F46" w:rsidR="00532CA8" w:rsidRPr="00031439" w:rsidRDefault="00532CA8" w:rsidP="00532CA8">
      <w:pPr>
        <w:rPr>
          <w:u w:val="single"/>
          <w:lang w:val="en-DE"/>
        </w:rPr>
      </w:pPr>
      <w:r>
        <w:rPr>
          <w:lang w:val="en-DE"/>
        </w:rPr>
        <w:t xml:space="preserve">Capture and storage or usage (+release) are </w:t>
      </w:r>
      <w:r w:rsidRPr="00532CA8">
        <w:rPr>
          <w:lang w:val="en-US"/>
        </w:rPr>
        <w:t>immediate</w:t>
      </w:r>
      <w:r>
        <w:rPr>
          <w:lang w:val="en-DE"/>
        </w:rPr>
        <w:t xml:space="preserve"> and </w:t>
      </w:r>
      <w:r w:rsidRPr="00532CA8">
        <w:rPr>
          <w:lang w:val="en-US"/>
        </w:rPr>
        <w:t xml:space="preserve">we assume that </w:t>
      </w:r>
      <w:r>
        <w:rPr>
          <w:lang w:val="en-DE"/>
        </w:rPr>
        <w:t xml:space="preserve">geologic </w:t>
      </w:r>
      <w:proofErr w:type="spellStart"/>
      <w:r w:rsidRPr="00532CA8">
        <w:rPr>
          <w:lang w:val="en-US"/>
        </w:rPr>
        <w:t>stor</w:t>
      </w:r>
      <w:proofErr w:type="spellEnd"/>
      <w:r>
        <w:rPr>
          <w:lang w:val="en-DE"/>
        </w:rPr>
        <w:t>age of</w:t>
      </w:r>
      <w:r w:rsidRPr="00532CA8">
        <w:rPr>
          <w:lang w:val="en-US"/>
        </w:rPr>
        <w:t xml:space="preserve"> CO</w:t>
      </w:r>
      <w:r w:rsidRPr="00532CA8">
        <w:rPr>
          <w:vertAlign w:val="subscript"/>
          <w:lang w:val="en-US"/>
        </w:rPr>
        <w:t>2</w:t>
      </w:r>
      <w:r w:rsidRPr="00532CA8">
        <w:rPr>
          <w:lang w:val="en-US"/>
        </w:rPr>
        <w:t xml:space="preserve"> </w:t>
      </w:r>
      <w:r>
        <w:rPr>
          <w:lang w:val="en-DE"/>
        </w:rPr>
        <w:t>is</w:t>
      </w:r>
      <w:r w:rsidRPr="00532CA8">
        <w:rPr>
          <w:lang w:val="en-US"/>
        </w:rPr>
        <w:t xml:space="preserve"> permanent. </w:t>
      </w:r>
    </w:p>
    <w:p w14:paraId="6FB6445E" w14:textId="77777777" w:rsidR="00532CA8" w:rsidRPr="00532CA8" w:rsidRDefault="00532CA8" w:rsidP="00532CA8">
      <w:pPr>
        <w:rPr>
          <w:lang w:val="en-US"/>
        </w:rPr>
      </w:pPr>
    </w:p>
    <w:p w14:paraId="3E69D058" w14:textId="77777777" w:rsidR="00532CA8" w:rsidRPr="00E96046" w:rsidRDefault="00532CA8" w:rsidP="00E96046">
      <w:pPr>
        <w:rPr>
          <w:u w:val="single"/>
          <w:lang w:val="en-US"/>
        </w:rPr>
      </w:pPr>
      <w:r w:rsidRPr="00E96046">
        <w:rPr>
          <w:u w:val="single"/>
          <w:lang w:val="en-US"/>
        </w:rPr>
        <w:t>Deployment and resource constraints</w:t>
      </w:r>
    </w:p>
    <w:p w14:paraId="2272D6AA" w14:textId="292C38D4" w:rsidR="00532CA8" w:rsidRPr="00E96046" w:rsidRDefault="00532CA8" w:rsidP="00532CA8">
      <w:pPr>
        <w:rPr>
          <w:lang w:val="en-DE"/>
        </w:rPr>
      </w:pPr>
      <w:r>
        <w:rPr>
          <w:lang w:val="en-DE"/>
        </w:rPr>
        <w:t>Exogenous learning, CAPEX and OPEX costs decline over time in a pre-defined manner.</w:t>
      </w:r>
      <w:r>
        <w:rPr>
          <w:lang w:val="en-DE"/>
        </w:rPr>
        <w:br/>
        <w:t xml:space="preserve">REMIND suppresses excessive biomass demand with an additional sustainability tax that scales with total biomass use. </w:t>
      </w:r>
    </w:p>
    <w:p w14:paraId="2AA1F99F" w14:textId="04BCF361" w:rsidR="00532CA8" w:rsidRPr="009E3CA7" w:rsidRDefault="00532CA8" w:rsidP="00532CA8">
      <w:pPr>
        <w:rPr>
          <w:lang w:val="en-DE"/>
        </w:rPr>
      </w:pPr>
      <w:r>
        <w:rPr>
          <w:lang w:val="en-DE"/>
        </w:rPr>
        <w:t>Non-linear upscaling of any technologies comes with “adjustment costs”</w:t>
      </w:r>
      <w:r w:rsidR="009E3CA7">
        <w:rPr>
          <w:lang w:val="en-DE"/>
        </w:rPr>
        <w:t>.</w:t>
      </w:r>
    </w:p>
    <w:p w14:paraId="22F215A4" w14:textId="77777777" w:rsidR="00532CA8" w:rsidRDefault="00532CA8" w:rsidP="00532CA8">
      <w:pPr>
        <w:rPr>
          <w:lang w:val="en-DE"/>
        </w:rPr>
      </w:pPr>
    </w:p>
    <w:p w14:paraId="3C34F5FE" w14:textId="77777777" w:rsidR="00532CA8" w:rsidRDefault="00532CA8" w:rsidP="00532CA8">
      <w:pPr>
        <w:rPr>
          <w:lang w:val="en-DE"/>
        </w:rPr>
      </w:pPr>
    </w:p>
    <w:p w14:paraId="56CDDAB4" w14:textId="77777777" w:rsidR="00532CA8" w:rsidRPr="00212BC4" w:rsidRDefault="00532CA8" w:rsidP="00212BC4">
      <w:pPr>
        <w:rPr>
          <w:u w:val="single"/>
          <w:lang w:val="en-US"/>
        </w:rPr>
      </w:pPr>
      <w:r w:rsidRPr="00212BC4">
        <w:rPr>
          <w:u w:val="single"/>
          <w:lang w:val="en-US"/>
        </w:rPr>
        <w:t>Regional differentiation</w:t>
      </w:r>
    </w:p>
    <w:p w14:paraId="297CF997" w14:textId="77777777" w:rsidR="00532CA8" w:rsidRDefault="00532CA8" w:rsidP="00532CA8">
      <w:pPr>
        <w:rPr>
          <w:lang w:val="en-DE"/>
        </w:rPr>
      </w:pPr>
      <w:r>
        <w:rPr>
          <w:lang w:val="en-DE"/>
        </w:rPr>
        <w:t xml:space="preserve">Biomass availability is region-specific and derived from </w:t>
      </w:r>
      <w:proofErr w:type="spellStart"/>
      <w:r>
        <w:rPr>
          <w:lang w:val="en-DE"/>
        </w:rPr>
        <w:t>MAgPIE</w:t>
      </w:r>
      <w:proofErr w:type="spellEnd"/>
      <w:r>
        <w:rPr>
          <w:lang w:val="en-DE"/>
        </w:rPr>
        <w:t xml:space="preserve">. </w:t>
      </w:r>
    </w:p>
    <w:p w14:paraId="3A7FDEC3" w14:textId="77777777" w:rsidR="00532CA8" w:rsidRDefault="00532CA8" w:rsidP="00532CA8">
      <w:pPr>
        <w:rPr>
          <w:lang w:val="en-DE"/>
        </w:rPr>
      </w:pPr>
      <w:r>
        <w:rPr>
          <w:lang w:val="en-DE"/>
        </w:rPr>
        <w:t xml:space="preserve">Energy prices arise endogenously from the energy system model in REMIND. In particular, the value of secondary energy or energy services supplied by BECCS to a specific </w:t>
      </w:r>
      <w:proofErr w:type="gramStart"/>
      <w:r>
        <w:rPr>
          <w:lang w:val="en-DE"/>
        </w:rPr>
        <w:t>regions</w:t>
      </w:r>
      <w:proofErr w:type="gramEnd"/>
      <w:r>
        <w:rPr>
          <w:lang w:val="en-DE"/>
        </w:rPr>
        <w:t xml:space="preserve"> decarbonisation is essential for BECCS </w:t>
      </w:r>
      <w:proofErr w:type="spellStart"/>
      <w:r>
        <w:rPr>
          <w:lang w:val="en-DE"/>
        </w:rPr>
        <w:t>competetiveness</w:t>
      </w:r>
      <w:proofErr w:type="spellEnd"/>
      <w:r>
        <w:rPr>
          <w:lang w:val="en-DE"/>
        </w:rPr>
        <w:t xml:space="preserve">. </w:t>
      </w:r>
    </w:p>
    <w:p w14:paraId="2DE2AE58" w14:textId="77777777" w:rsidR="00532CA8" w:rsidRPr="00F61624" w:rsidRDefault="00532CA8" w:rsidP="00532CA8">
      <w:pPr>
        <w:rPr>
          <w:lang w:val="en-DE"/>
        </w:rPr>
      </w:pPr>
    </w:p>
    <w:p w14:paraId="6C472C40" w14:textId="77777777" w:rsidR="00532CA8" w:rsidRPr="00D46FFF" w:rsidRDefault="00532CA8" w:rsidP="00D46FFF">
      <w:pPr>
        <w:rPr>
          <w:b/>
          <w:lang w:val="en-DE"/>
        </w:rPr>
      </w:pPr>
      <w:r w:rsidRPr="00D46FFF">
        <w:rPr>
          <w:b/>
          <w:lang w:val="en-DE"/>
        </w:rPr>
        <w:t>Enhanced Weathering</w:t>
      </w:r>
    </w:p>
    <w:p w14:paraId="01797BA1" w14:textId="77777777" w:rsidR="00532CA8" w:rsidRPr="0021732F" w:rsidRDefault="00532CA8" w:rsidP="00532CA8">
      <w:pPr>
        <w:rPr>
          <w:lang w:val="en-DE"/>
        </w:rPr>
      </w:pPr>
    </w:p>
    <w:p w14:paraId="2C888404" w14:textId="77777777" w:rsidR="00532CA8" w:rsidRPr="00D46FFF" w:rsidRDefault="00532CA8" w:rsidP="00D46FFF">
      <w:pPr>
        <w:rPr>
          <w:u w:val="single"/>
          <w:lang w:val="en-US"/>
        </w:rPr>
      </w:pPr>
      <w:r w:rsidRPr="00D46FFF">
        <w:rPr>
          <w:u w:val="single"/>
          <w:lang w:val="en-US"/>
        </w:rPr>
        <w:t>Technology flavors/configurations</w:t>
      </w:r>
    </w:p>
    <w:p w14:paraId="26D691C8" w14:textId="4DF828B9" w:rsidR="00532CA8" w:rsidRDefault="00532CA8" w:rsidP="00532CA8">
      <w:pPr>
        <w:tabs>
          <w:tab w:val="left" w:pos="7725"/>
        </w:tabs>
        <w:rPr>
          <w:lang w:val="en-DE"/>
        </w:rPr>
      </w:pPr>
      <w:r>
        <w:rPr>
          <w:lang w:val="en-DE"/>
        </w:rPr>
        <w:t xml:space="preserve">We base the implemented EW process on the mining, grinding and spreading of basalt exclusively on agricultural cropland. </w:t>
      </w:r>
      <w:r w:rsidR="00D46FFF">
        <w:rPr>
          <w:lang w:val="en-DE"/>
        </w:rPr>
        <w:t>I</w:t>
      </w:r>
      <w:r>
        <w:rPr>
          <w:lang w:val="en-DE"/>
        </w:rPr>
        <w:t>nteractions with agricultural production are not modelled.</w:t>
      </w:r>
    </w:p>
    <w:p w14:paraId="10A3616A" w14:textId="77777777" w:rsidR="00532CA8" w:rsidRPr="00620990" w:rsidRDefault="00532CA8" w:rsidP="00532CA8">
      <w:pPr>
        <w:tabs>
          <w:tab w:val="left" w:pos="7725"/>
        </w:tabs>
        <w:rPr>
          <w:lang w:val="en-DE"/>
        </w:rPr>
      </w:pPr>
    </w:p>
    <w:p w14:paraId="66DCE0BB" w14:textId="77777777" w:rsidR="00532CA8" w:rsidRPr="00D46FFF" w:rsidRDefault="00532CA8" w:rsidP="00D46FFF">
      <w:pPr>
        <w:rPr>
          <w:u w:val="single"/>
          <w:lang w:val="en-US"/>
        </w:rPr>
      </w:pPr>
      <w:r w:rsidRPr="00D46FFF">
        <w:rPr>
          <w:u w:val="single"/>
          <w:lang w:val="en-US"/>
        </w:rPr>
        <w:lastRenderedPageBreak/>
        <w:t>Input</w:t>
      </w:r>
    </w:p>
    <w:p w14:paraId="027727A3" w14:textId="4A35D57E" w:rsidR="00532CA8" w:rsidRPr="00D46FFF" w:rsidRDefault="00532CA8" w:rsidP="00532CA8">
      <w:pPr>
        <w:rPr>
          <w:lang w:val="en-DE"/>
        </w:rPr>
      </w:pPr>
      <w:r>
        <w:rPr>
          <w:lang w:val="en-DE"/>
        </w:rPr>
        <w:t>Basalt</w:t>
      </w:r>
      <w:r w:rsidR="00D46FFF">
        <w:rPr>
          <w:lang w:val="en-DE"/>
        </w:rPr>
        <w:t>, but material f</w:t>
      </w:r>
      <w:r>
        <w:rPr>
          <w:lang w:val="en-DE"/>
        </w:rPr>
        <w:t xml:space="preserve">lows are not endogenized, as it is </w:t>
      </w:r>
      <w:r w:rsidR="00D46FFF">
        <w:rPr>
          <w:lang w:val="en-DE"/>
        </w:rPr>
        <w:t xml:space="preserve">assumed to be </w:t>
      </w:r>
      <w:r>
        <w:rPr>
          <w:lang w:val="en-DE"/>
        </w:rPr>
        <w:t>abundantly available world wide</w:t>
      </w:r>
      <w:r w:rsidR="00D46FFF">
        <w:rPr>
          <w:lang w:val="en-DE"/>
        </w:rPr>
        <w:t>.</w:t>
      </w:r>
    </w:p>
    <w:p w14:paraId="303847CC" w14:textId="77777777" w:rsidR="00532CA8" w:rsidRPr="000F6E35" w:rsidRDefault="00532CA8" w:rsidP="00532CA8">
      <w:pPr>
        <w:rPr>
          <w:lang w:val="en-DE"/>
        </w:rPr>
      </w:pPr>
      <w:r>
        <w:rPr>
          <w:lang w:val="en-DE"/>
        </w:rPr>
        <w:t xml:space="preserve">Electricity for grinding, depending on the grain size. Smaller grain sizes -&gt; higher electricity demand -&gt; faster weathering. Default grain size is 20 </w:t>
      </w:r>
      <w:proofErr w:type="spellStart"/>
      <w:r>
        <w:rPr>
          <w:lang w:val="en-DE"/>
        </w:rPr>
        <w:t>micrometers</w:t>
      </w:r>
      <w:proofErr w:type="spellEnd"/>
      <w:r>
        <w:rPr>
          <w:lang w:val="en-DE"/>
        </w:rPr>
        <w:t>.</w:t>
      </w:r>
    </w:p>
    <w:p w14:paraId="7A271DB2" w14:textId="77777777" w:rsidR="00532CA8" w:rsidRPr="002A0CC8" w:rsidRDefault="00532CA8" w:rsidP="00532CA8">
      <w:pPr>
        <w:rPr>
          <w:lang w:val="en-DE"/>
        </w:rPr>
      </w:pPr>
      <w:r>
        <w:rPr>
          <w:lang w:val="en-DE"/>
        </w:rPr>
        <w:t>Liquid fuels for transportation and spreading on agricultural land</w:t>
      </w:r>
    </w:p>
    <w:p w14:paraId="76BF59D9" w14:textId="77777777" w:rsidR="00532CA8" w:rsidRPr="00620990" w:rsidRDefault="00532CA8" w:rsidP="00532CA8">
      <w:pPr>
        <w:rPr>
          <w:lang w:val="en-DE"/>
        </w:rPr>
      </w:pPr>
    </w:p>
    <w:p w14:paraId="25E6D564" w14:textId="77777777" w:rsidR="00532CA8" w:rsidRPr="00D46FFF" w:rsidRDefault="00532CA8" w:rsidP="00D46FFF">
      <w:pPr>
        <w:rPr>
          <w:u w:val="single"/>
          <w:lang w:val="en-US"/>
        </w:rPr>
      </w:pPr>
      <w:r w:rsidRPr="00D46FFF">
        <w:rPr>
          <w:u w:val="single"/>
          <w:lang w:val="en-US"/>
        </w:rPr>
        <w:t>Timing and permanence</w:t>
      </w:r>
    </w:p>
    <w:p w14:paraId="2BBA9D97" w14:textId="77777777" w:rsidR="00532CA8" w:rsidRDefault="00532CA8" w:rsidP="00532CA8">
      <w:pPr>
        <w:rPr>
          <w:lang w:val="en-DE"/>
        </w:rPr>
      </w:pPr>
      <w:r>
        <w:rPr>
          <w:lang w:val="en-DE"/>
        </w:rPr>
        <w:t>Timing:</w:t>
      </w:r>
    </w:p>
    <w:p w14:paraId="313C8319" w14:textId="77777777" w:rsidR="00532CA8" w:rsidRDefault="00532CA8" w:rsidP="00532CA8">
      <w:pPr>
        <w:rPr>
          <w:lang w:val="en-DE"/>
        </w:rPr>
      </w:pPr>
      <w:r>
        <w:rPr>
          <w:lang w:val="en-DE"/>
        </w:rPr>
        <w:t>The w</w:t>
      </w:r>
      <w:r w:rsidRPr="00465228">
        <w:rPr>
          <w:lang w:val="en-DE"/>
        </w:rPr>
        <w:t xml:space="preserve">eathering process follows </w:t>
      </w:r>
      <w:r>
        <w:rPr>
          <w:lang w:val="en-DE"/>
        </w:rPr>
        <w:t xml:space="preserve">an </w:t>
      </w:r>
      <w:r w:rsidRPr="00465228">
        <w:rPr>
          <w:lang w:val="en-DE"/>
        </w:rPr>
        <w:t xml:space="preserve">exponential decay </w:t>
      </w:r>
      <w:r>
        <w:rPr>
          <w:lang w:val="en-DE"/>
        </w:rPr>
        <w:t xml:space="preserve">that depends on the grain size and climatic conditions. We represent climatic conditions with two stylised weathering </w:t>
      </w:r>
      <w:r w:rsidRPr="00465228">
        <w:rPr>
          <w:lang w:val="en-DE"/>
        </w:rPr>
        <w:t xml:space="preserve">rates that </w:t>
      </w:r>
      <w:r>
        <w:rPr>
          <w:lang w:val="en-DE"/>
        </w:rPr>
        <w:t xml:space="preserve">represent </w:t>
      </w:r>
      <w:r w:rsidRPr="00465228">
        <w:rPr>
          <w:lang w:val="en-DE"/>
        </w:rPr>
        <w:t>“fast decay” in humid and warm climate and “</w:t>
      </w:r>
      <w:r>
        <w:rPr>
          <w:lang w:val="en-DE"/>
        </w:rPr>
        <w:t xml:space="preserve">moderate </w:t>
      </w:r>
      <w:r w:rsidRPr="00465228">
        <w:rPr>
          <w:lang w:val="en-DE"/>
        </w:rPr>
        <w:t xml:space="preserve">decay” in </w:t>
      </w:r>
      <w:r>
        <w:rPr>
          <w:lang w:val="en-DE"/>
        </w:rPr>
        <w:t xml:space="preserve">humid and temperate </w:t>
      </w:r>
      <w:r w:rsidRPr="00465228">
        <w:rPr>
          <w:lang w:val="en-DE"/>
        </w:rPr>
        <w:t>climate.</w:t>
      </w:r>
    </w:p>
    <w:p w14:paraId="797E165E" w14:textId="77777777" w:rsidR="00532CA8" w:rsidRDefault="00532CA8" w:rsidP="00532CA8">
      <w:pPr>
        <w:rPr>
          <w:lang w:val="en-DE"/>
        </w:rPr>
      </w:pPr>
      <w:r>
        <w:rPr>
          <w:lang w:val="en-DE"/>
        </w:rPr>
        <w:t>Permanence:</w:t>
      </w:r>
    </w:p>
    <w:p w14:paraId="752D0E81" w14:textId="77777777" w:rsidR="00532CA8" w:rsidRDefault="00532CA8" w:rsidP="00532CA8">
      <w:pPr>
        <w:rPr>
          <w:lang w:val="en-DE"/>
        </w:rPr>
      </w:pPr>
      <w:r w:rsidRPr="00465228">
        <w:rPr>
          <w:lang w:val="en-DE"/>
        </w:rPr>
        <w:t>We assume CO2 to be stored permanently</w:t>
      </w:r>
      <w:r>
        <w:rPr>
          <w:lang w:val="en-DE"/>
        </w:rPr>
        <w:t xml:space="preserve"> and irreversibly</w:t>
      </w:r>
      <w:r w:rsidRPr="00465228">
        <w:rPr>
          <w:lang w:val="en-DE"/>
        </w:rPr>
        <w:t>.</w:t>
      </w:r>
    </w:p>
    <w:p w14:paraId="5C925C87" w14:textId="77777777" w:rsidR="00532CA8" w:rsidRDefault="00532CA8" w:rsidP="00532CA8">
      <w:pPr>
        <w:rPr>
          <w:lang w:val="en-DE"/>
        </w:rPr>
      </w:pPr>
    </w:p>
    <w:p w14:paraId="75F49602" w14:textId="77777777" w:rsidR="00532CA8" w:rsidRPr="00D46FFF" w:rsidRDefault="00532CA8" w:rsidP="00D46FFF">
      <w:pPr>
        <w:rPr>
          <w:u w:val="single"/>
          <w:lang w:val="en-DE"/>
        </w:rPr>
      </w:pPr>
      <w:r w:rsidRPr="00D46FFF">
        <w:rPr>
          <w:u w:val="single"/>
          <w:lang w:val="en-US"/>
        </w:rPr>
        <w:t>Deployment and resource constraints</w:t>
      </w:r>
    </w:p>
    <w:p w14:paraId="02233D7E" w14:textId="77777777" w:rsidR="00532CA8" w:rsidRDefault="00532CA8" w:rsidP="00532CA8">
      <w:pPr>
        <w:rPr>
          <w:lang w:val="en-DE"/>
        </w:rPr>
      </w:pPr>
      <w:r>
        <w:rPr>
          <w:lang w:val="en-DE"/>
        </w:rPr>
        <w:t xml:space="preserve">Application is limited to 15 kg unweathered ground stone per square meter on a maximum area of 50% of regional cropland. </w:t>
      </w:r>
    </w:p>
    <w:p w14:paraId="1CFAA932" w14:textId="77777777" w:rsidR="00532CA8" w:rsidRPr="000F6E35" w:rsidRDefault="00532CA8" w:rsidP="00532CA8">
      <w:pPr>
        <w:rPr>
          <w:lang w:val="en-DE"/>
        </w:rPr>
      </w:pPr>
      <w:r>
        <w:rPr>
          <w:lang w:val="en-DE"/>
        </w:rPr>
        <w:t>Deployment can scale up at a maximum growth rate of 15% per year.</w:t>
      </w:r>
    </w:p>
    <w:p w14:paraId="5739B343" w14:textId="77777777" w:rsidR="00532CA8" w:rsidRDefault="00532CA8" w:rsidP="00532CA8">
      <w:pPr>
        <w:rPr>
          <w:lang w:val="en-DE"/>
        </w:rPr>
      </w:pPr>
    </w:p>
    <w:p w14:paraId="5B9F08D9" w14:textId="77777777" w:rsidR="00532CA8" w:rsidRPr="00D46FFF" w:rsidRDefault="00532CA8" w:rsidP="00D46FFF">
      <w:pPr>
        <w:rPr>
          <w:u w:val="single"/>
          <w:lang w:val="en-US"/>
        </w:rPr>
      </w:pPr>
      <w:r w:rsidRPr="00D46FFF">
        <w:rPr>
          <w:u w:val="single"/>
          <w:lang w:val="en-US"/>
        </w:rPr>
        <w:t>Regional differentiation</w:t>
      </w:r>
    </w:p>
    <w:p w14:paraId="0B79F6B2" w14:textId="3D0A3A60" w:rsidR="00532CA8" w:rsidRPr="00465228" w:rsidRDefault="00532CA8" w:rsidP="00532CA8">
      <w:pPr>
        <w:rPr>
          <w:lang w:val="en-DE"/>
        </w:rPr>
      </w:pPr>
      <w:r>
        <w:rPr>
          <w:lang w:val="en-DE"/>
        </w:rPr>
        <w:t xml:space="preserve">Regions have varying potentials (resulting from a combination of climate dependent decay rates and cropland availability) depending on total cropland area in warm and humid climate and temperate humid climate respectively. Furthermore, transport costs scale differently depending on regional basalt availabilities in relation to </w:t>
      </w:r>
      <w:r w:rsidR="00210504">
        <w:rPr>
          <w:lang w:val="en-DE"/>
        </w:rPr>
        <w:t xml:space="preserve">suitable </w:t>
      </w:r>
      <w:r>
        <w:rPr>
          <w:lang w:val="en-DE"/>
        </w:rPr>
        <w:t xml:space="preserve">croplands. </w:t>
      </w:r>
    </w:p>
    <w:p w14:paraId="60F9D3DE" w14:textId="77777777" w:rsidR="00532CA8" w:rsidRPr="00532CA8" w:rsidRDefault="00532CA8" w:rsidP="00532CA8">
      <w:pPr>
        <w:rPr>
          <w:lang w:val="en-US"/>
        </w:rPr>
      </w:pPr>
    </w:p>
    <w:p w14:paraId="6B41D73E" w14:textId="77777777" w:rsidR="00532CA8" w:rsidRPr="00210504" w:rsidRDefault="00532CA8" w:rsidP="00210504">
      <w:pPr>
        <w:rPr>
          <w:b/>
          <w:lang w:val="en-DE"/>
        </w:rPr>
      </w:pPr>
      <w:r w:rsidRPr="00210504">
        <w:rPr>
          <w:b/>
          <w:lang w:val="en-DE"/>
        </w:rPr>
        <w:t>Biochar</w:t>
      </w:r>
    </w:p>
    <w:p w14:paraId="7BB8ED2D" w14:textId="77777777" w:rsidR="00532CA8" w:rsidRPr="00210504" w:rsidRDefault="00532CA8" w:rsidP="00210504">
      <w:pPr>
        <w:rPr>
          <w:u w:val="single"/>
          <w:lang w:val="en-US"/>
        </w:rPr>
      </w:pPr>
      <w:r w:rsidRPr="00210504">
        <w:rPr>
          <w:u w:val="single"/>
          <w:lang w:val="en-US"/>
        </w:rPr>
        <w:t>Technology flavors/configurations</w:t>
      </w:r>
    </w:p>
    <w:p w14:paraId="5EC9A13D" w14:textId="2D901D7C" w:rsidR="00532CA8" w:rsidRDefault="00532CA8" w:rsidP="00532CA8">
      <w:pPr>
        <w:rPr>
          <w:lang w:val="en-DE"/>
        </w:rPr>
      </w:pPr>
      <w:r>
        <w:rPr>
          <w:lang w:val="en-DE"/>
        </w:rPr>
        <w:t xml:space="preserve">Biochar is represented by four different industrial scale </w:t>
      </w:r>
      <w:r w:rsidRPr="001F18D0">
        <w:rPr>
          <w:lang w:val="en-DE"/>
        </w:rPr>
        <w:t>pyrolysis</w:t>
      </w:r>
      <w:r>
        <w:rPr>
          <w:lang w:val="en-DE"/>
        </w:rPr>
        <w:t xml:space="preserve"> configurations in the energy system model of REMIND. Biomass feedstock is identical to BECCS feedstock and modelled by </w:t>
      </w:r>
      <w:proofErr w:type="spellStart"/>
      <w:r>
        <w:rPr>
          <w:lang w:val="en-DE"/>
        </w:rPr>
        <w:t>MAgPIE</w:t>
      </w:r>
      <w:proofErr w:type="spellEnd"/>
      <w:r w:rsidR="00210504">
        <w:rPr>
          <w:lang w:val="en-DE"/>
        </w:rPr>
        <w:t xml:space="preserve"> or </w:t>
      </w:r>
      <w:proofErr w:type="spellStart"/>
      <w:r w:rsidR="00210504">
        <w:rPr>
          <w:lang w:val="en-DE"/>
        </w:rPr>
        <w:t>MAgPIE</w:t>
      </w:r>
      <w:proofErr w:type="spellEnd"/>
      <w:r w:rsidR="00210504">
        <w:rPr>
          <w:lang w:val="en-DE"/>
        </w:rPr>
        <w:t xml:space="preserve"> emulator in REMIND stand-alone runs</w:t>
      </w:r>
      <w:r>
        <w:rPr>
          <w:lang w:val="en-DE"/>
        </w:rPr>
        <w:t>.</w:t>
      </w:r>
    </w:p>
    <w:p w14:paraId="21097CAD" w14:textId="77777777" w:rsidR="00532CA8" w:rsidRDefault="00532CA8" w:rsidP="00532CA8">
      <w:pPr>
        <w:rPr>
          <w:lang w:val="en-DE"/>
        </w:rPr>
      </w:pPr>
      <w:r>
        <w:rPr>
          <w:lang w:val="en-DE"/>
        </w:rPr>
        <w:t>There are three system setups that reflect established biochar production processes:</w:t>
      </w:r>
    </w:p>
    <w:p w14:paraId="0400BA1D" w14:textId="77777777" w:rsidR="00532CA8" w:rsidRDefault="00532CA8" w:rsidP="00532CA8">
      <w:pPr>
        <w:rPr>
          <w:lang w:val="en-DE"/>
        </w:rPr>
      </w:pPr>
      <w:r>
        <w:rPr>
          <w:lang w:val="en-DE"/>
        </w:rPr>
        <w:tab/>
        <w:t>biochar without energetic co-production</w:t>
      </w:r>
    </w:p>
    <w:p w14:paraId="2AF0A608" w14:textId="77777777" w:rsidR="00532CA8" w:rsidRDefault="00532CA8" w:rsidP="00532CA8">
      <w:pPr>
        <w:rPr>
          <w:lang w:val="en-DE"/>
        </w:rPr>
      </w:pPr>
      <w:r>
        <w:rPr>
          <w:lang w:val="en-DE"/>
        </w:rPr>
        <w:tab/>
        <w:t>biochar with heat co-production</w:t>
      </w:r>
    </w:p>
    <w:p w14:paraId="6D1E3CEC" w14:textId="77777777" w:rsidR="00532CA8" w:rsidRDefault="00532CA8" w:rsidP="00532CA8">
      <w:pPr>
        <w:rPr>
          <w:lang w:val="en-DE"/>
        </w:rPr>
      </w:pPr>
      <w:r>
        <w:rPr>
          <w:lang w:val="en-DE"/>
        </w:rPr>
        <w:tab/>
        <w:t>biochar with combined heat and power co-production</w:t>
      </w:r>
    </w:p>
    <w:p w14:paraId="3C141688" w14:textId="77777777" w:rsidR="00532CA8" w:rsidRDefault="00532CA8" w:rsidP="00532CA8">
      <w:pPr>
        <w:rPr>
          <w:lang w:val="en-DE"/>
        </w:rPr>
      </w:pPr>
      <w:r>
        <w:rPr>
          <w:lang w:val="en-DE"/>
        </w:rPr>
        <w:t>and one early stage production process:</w:t>
      </w:r>
    </w:p>
    <w:p w14:paraId="69B12F5A" w14:textId="77777777" w:rsidR="00532CA8" w:rsidRDefault="00532CA8" w:rsidP="00532CA8">
      <w:pPr>
        <w:rPr>
          <w:lang w:val="en-DE"/>
        </w:rPr>
      </w:pPr>
      <w:r>
        <w:rPr>
          <w:lang w:val="en-DE"/>
        </w:rPr>
        <w:lastRenderedPageBreak/>
        <w:tab/>
        <w:t>biochar with liquids co-production (integrated with Fischer-</w:t>
      </w:r>
      <w:proofErr w:type="spellStart"/>
      <w:r>
        <w:rPr>
          <w:lang w:val="en-DE"/>
        </w:rPr>
        <w:t>Tropsch</w:t>
      </w:r>
      <w:proofErr w:type="spellEnd"/>
      <w:r>
        <w:rPr>
          <w:lang w:val="en-DE"/>
        </w:rPr>
        <w:t xml:space="preserve"> Synthesis)</w:t>
      </w:r>
    </w:p>
    <w:p w14:paraId="3DF068C6" w14:textId="77777777" w:rsidR="00532CA8" w:rsidRPr="00210504" w:rsidRDefault="00532CA8" w:rsidP="00210504">
      <w:pPr>
        <w:rPr>
          <w:u w:val="single"/>
          <w:lang w:val="en-US"/>
        </w:rPr>
      </w:pPr>
      <w:r w:rsidRPr="00210504">
        <w:rPr>
          <w:u w:val="single"/>
          <w:lang w:val="en-US"/>
        </w:rPr>
        <w:t>Input</w:t>
      </w:r>
    </w:p>
    <w:p w14:paraId="7C7D576C" w14:textId="77777777" w:rsidR="00532CA8" w:rsidRDefault="00532CA8" w:rsidP="00532CA8">
      <w:pPr>
        <w:rPr>
          <w:lang w:val="en-DE"/>
        </w:rPr>
      </w:pPr>
      <w:r>
        <w:rPr>
          <w:lang w:val="en-DE"/>
        </w:rPr>
        <w:t xml:space="preserve">Biomass supply (identical to BECCS) for energetic purposes relevant for biochar is modelled by </w:t>
      </w:r>
      <w:proofErr w:type="spellStart"/>
      <w:r>
        <w:rPr>
          <w:lang w:val="en-DE"/>
        </w:rPr>
        <w:t>MAgPIE</w:t>
      </w:r>
      <w:proofErr w:type="spellEnd"/>
      <w:r>
        <w:rPr>
          <w:lang w:val="en-DE"/>
        </w:rPr>
        <w:t xml:space="preserve"> and can either be</w:t>
      </w:r>
    </w:p>
    <w:p w14:paraId="6F8FB8AD" w14:textId="77777777" w:rsidR="00532CA8" w:rsidRPr="002A0AC9" w:rsidRDefault="00532CA8" w:rsidP="00532CA8">
      <w:pPr>
        <w:pStyle w:val="ListParagraph"/>
        <w:numPr>
          <w:ilvl w:val="0"/>
          <w:numId w:val="20"/>
        </w:numPr>
        <w:spacing w:after="0" w:line="240" w:lineRule="auto"/>
        <w:rPr>
          <w:lang w:val="en-DE"/>
        </w:rPr>
      </w:pPr>
      <w:r w:rsidRPr="002A0AC9">
        <w:rPr>
          <w:lang w:val="en-DE"/>
        </w:rPr>
        <w:t xml:space="preserve">residues (fixed potential with small costs) </w:t>
      </w:r>
    </w:p>
    <w:p w14:paraId="77ACBB28" w14:textId="77777777" w:rsidR="00532CA8" w:rsidRDefault="00532CA8" w:rsidP="00532CA8">
      <w:pPr>
        <w:pStyle w:val="ListParagraph"/>
        <w:numPr>
          <w:ilvl w:val="0"/>
          <w:numId w:val="20"/>
        </w:numPr>
        <w:spacing w:after="0" w:line="240" w:lineRule="auto"/>
        <w:rPr>
          <w:lang w:val="en-DE"/>
        </w:rPr>
      </w:pPr>
      <w:r w:rsidRPr="002A0AC9">
        <w:rPr>
          <w:lang w:val="en-DE"/>
        </w:rPr>
        <w:t>and purpose grown bioenergy crops (</w:t>
      </w:r>
      <w:proofErr w:type="spellStart"/>
      <w:r w:rsidRPr="002A0AC9">
        <w:rPr>
          <w:lang w:val="en-DE"/>
        </w:rPr>
        <w:t>MAgPIE</w:t>
      </w:r>
      <w:proofErr w:type="spellEnd"/>
      <w:r w:rsidRPr="002A0AC9">
        <w:rPr>
          <w:lang w:val="en-DE"/>
        </w:rPr>
        <w:t xml:space="preserve"> has a representation of a generic grassy and a generic tree species). </w:t>
      </w:r>
    </w:p>
    <w:p w14:paraId="3894E68B" w14:textId="77777777" w:rsidR="00532CA8" w:rsidRPr="00557094" w:rsidRDefault="00532CA8" w:rsidP="00532CA8">
      <w:pPr>
        <w:rPr>
          <w:lang w:val="en-DE"/>
        </w:rPr>
      </w:pPr>
    </w:p>
    <w:p w14:paraId="435D2376" w14:textId="77777777" w:rsidR="00532CA8" w:rsidRPr="00210504" w:rsidRDefault="00532CA8" w:rsidP="00210504">
      <w:pPr>
        <w:rPr>
          <w:u w:val="single"/>
          <w:lang w:val="en-US"/>
        </w:rPr>
      </w:pPr>
      <w:r w:rsidRPr="00210504">
        <w:rPr>
          <w:u w:val="single"/>
          <w:lang w:val="en-US"/>
        </w:rPr>
        <w:t>Output</w:t>
      </w:r>
    </w:p>
    <w:p w14:paraId="3E6D16B3" w14:textId="77777777" w:rsidR="00532CA8" w:rsidRPr="00C15B84" w:rsidRDefault="00532CA8" w:rsidP="00532CA8">
      <w:pPr>
        <w:rPr>
          <w:lang w:val="en-DE"/>
        </w:rPr>
      </w:pPr>
      <w:r>
        <w:rPr>
          <w:lang w:val="en-DE"/>
        </w:rPr>
        <w:t>Biochar output:</w:t>
      </w:r>
    </w:p>
    <w:p w14:paraId="7A0C95F5" w14:textId="77777777" w:rsidR="00532CA8" w:rsidRDefault="00532CA8" w:rsidP="00532CA8">
      <w:pPr>
        <w:rPr>
          <w:lang w:val="en-DE"/>
        </w:rPr>
      </w:pPr>
      <w:r>
        <w:rPr>
          <w:lang w:val="en-DE"/>
        </w:rPr>
        <w:t>The produced biochar primarily delivers carbon removal but we also assign a (generic) material value to it that reflects its value in applications in the agricultural or construction sector.</w:t>
      </w:r>
    </w:p>
    <w:p w14:paraId="4FE1DC67" w14:textId="77777777" w:rsidR="00532CA8" w:rsidRPr="00C15B84" w:rsidRDefault="00532CA8" w:rsidP="00532CA8">
      <w:pPr>
        <w:rPr>
          <w:lang w:val="en-DE"/>
        </w:rPr>
      </w:pPr>
      <w:r>
        <w:rPr>
          <w:lang w:val="en-DE"/>
        </w:rPr>
        <w:t>Energy output:</w:t>
      </w:r>
      <w:r>
        <w:rPr>
          <w:lang w:val="en-DE"/>
        </w:rPr>
        <w:br/>
        <w:t xml:space="preserve">Additionally, biochar may co-produce energy depending on the specific technology route (see Technology </w:t>
      </w:r>
      <w:proofErr w:type="spellStart"/>
      <w:r>
        <w:rPr>
          <w:lang w:val="en-DE"/>
        </w:rPr>
        <w:t>flavors</w:t>
      </w:r>
      <w:proofErr w:type="spellEnd"/>
      <w:r>
        <w:rPr>
          <w:lang w:val="en-DE"/>
        </w:rPr>
        <w:t>/configurations)</w:t>
      </w:r>
    </w:p>
    <w:p w14:paraId="26D133C3" w14:textId="77777777" w:rsidR="00532CA8" w:rsidRPr="00C15B84" w:rsidRDefault="00532CA8" w:rsidP="00532CA8">
      <w:pPr>
        <w:rPr>
          <w:lang w:val="en-DE"/>
        </w:rPr>
      </w:pPr>
    </w:p>
    <w:p w14:paraId="42BB793C" w14:textId="77777777" w:rsidR="00532CA8" w:rsidRPr="00210504" w:rsidRDefault="00532CA8" w:rsidP="00210504">
      <w:pPr>
        <w:rPr>
          <w:u w:val="single"/>
          <w:lang w:val="en-US"/>
        </w:rPr>
      </w:pPr>
      <w:r w:rsidRPr="00210504">
        <w:rPr>
          <w:u w:val="single"/>
          <w:lang w:val="en-US"/>
        </w:rPr>
        <w:t>Emissions</w:t>
      </w:r>
    </w:p>
    <w:p w14:paraId="454E91D5" w14:textId="3F8D5244" w:rsidR="00532CA8" w:rsidRDefault="00532CA8" w:rsidP="00532CA8">
      <w:pPr>
        <w:rPr>
          <w:lang w:val="en-DE"/>
        </w:rPr>
      </w:pPr>
      <w:r>
        <w:rPr>
          <w:lang w:val="en-DE"/>
        </w:rPr>
        <w:t xml:space="preserve">Direct and indirect LU and LUC emissions of bioenergy crop production are modelled in </w:t>
      </w:r>
      <w:proofErr w:type="spellStart"/>
      <w:r>
        <w:rPr>
          <w:lang w:val="en-DE"/>
        </w:rPr>
        <w:t>MAgPIE</w:t>
      </w:r>
      <w:proofErr w:type="spellEnd"/>
      <w:r w:rsidR="00210504">
        <w:rPr>
          <w:lang w:val="en-DE"/>
        </w:rPr>
        <w:t xml:space="preserve"> and are reflected in the </w:t>
      </w:r>
      <w:proofErr w:type="spellStart"/>
      <w:r w:rsidR="00210504">
        <w:rPr>
          <w:lang w:val="en-DE"/>
        </w:rPr>
        <w:t>MAgPIE</w:t>
      </w:r>
      <w:proofErr w:type="spellEnd"/>
      <w:r w:rsidR="00210504">
        <w:rPr>
          <w:lang w:val="en-DE"/>
        </w:rPr>
        <w:t xml:space="preserve"> emulator</w:t>
      </w:r>
      <w:r>
        <w:rPr>
          <w:lang w:val="en-DE"/>
        </w:rPr>
        <w:t xml:space="preserve">. </w:t>
      </w:r>
      <w:r w:rsidRPr="00C15B84">
        <w:rPr>
          <w:lang w:val="en-DE"/>
        </w:rPr>
        <w:t xml:space="preserve">No additional </w:t>
      </w:r>
      <w:r>
        <w:rPr>
          <w:lang w:val="en-DE"/>
        </w:rPr>
        <w:t>emissions are represented in the energy system model of REMIND.</w:t>
      </w:r>
    </w:p>
    <w:p w14:paraId="6D142522" w14:textId="77777777" w:rsidR="00532CA8" w:rsidRPr="008338FF" w:rsidRDefault="00532CA8" w:rsidP="00532CA8">
      <w:pPr>
        <w:rPr>
          <w:lang w:val="en-DE"/>
        </w:rPr>
      </w:pPr>
    </w:p>
    <w:p w14:paraId="38E1797C" w14:textId="77777777" w:rsidR="00532CA8" w:rsidRPr="00210504" w:rsidRDefault="00532CA8" w:rsidP="00210504">
      <w:pPr>
        <w:rPr>
          <w:u w:val="single"/>
          <w:lang w:val="en-US"/>
        </w:rPr>
      </w:pPr>
      <w:r w:rsidRPr="00210504">
        <w:rPr>
          <w:u w:val="single"/>
          <w:lang w:val="en-US"/>
        </w:rPr>
        <w:t>Timing and permanence</w:t>
      </w:r>
    </w:p>
    <w:p w14:paraId="026DF9A1" w14:textId="77777777" w:rsidR="00532CA8" w:rsidRPr="00701CCE" w:rsidRDefault="00532CA8" w:rsidP="00532CA8">
      <w:pPr>
        <w:rPr>
          <w:lang w:val="en-DE"/>
        </w:rPr>
      </w:pPr>
      <w:r>
        <w:rPr>
          <w:lang w:val="en-DE"/>
        </w:rPr>
        <w:t xml:space="preserve">Non-permanence of biochar is accounted for in a reduction of the removal efficiency upon biochar production. That is, only the share of carbon that is expected to be stable for 400 years is accounted as removal. </w:t>
      </w:r>
    </w:p>
    <w:p w14:paraId="500E46B7" w14:textId="77777777" w:rsidR="00532CA8" w:rsidRPr="00532CA8" w:rsidRDefault="00532CA8" w:rsidP="00532CA8">
      <w:pPr>
        <w:rPr>
          <w:lang w:val="en-US"/>
        </w:rPr>
      </w:pPr>
    </w:p>
    <w:p w14:paraId="4EBBC149" w14:textId="77777777" w:rsidR="00532CA8" w:rsidRPr="00210504" w:rsidRDefault="00532CA8" w:rsidP="00210504">
      <w:pPr>
        <w:rPr>
          <w:u w:val="single"/>
          <w:lang w:val="en-US"/>
        </w:rPr>
      </w:pPr>
      <w:r w:rsidRPr="00210504">
        <w:rPr>
          <w:u w:val="single"/>
          <w:lang w:val="en-US"/>
        </w:rPr>
        <w:t>Deployment and resource constraints</w:t>
      </w:r>
    </w:p>
    <w:p w14:paraId="678BB2A3" w14:textId="77777777" w:rsidR="00532CA8" w:rsidRPr="00FF30F8" w:rsidRDefault="00532CA8" w:rsidP="00532CA8">
      <w:pPr>
        <w:rPr>
          <w:lang w:val="en-DE"/>
        </w:rPr>
      </w:pPr>
      <w:r>
        <w:rPr>
          <w:lang w:val="en-DE"/>
        </w:rPr>
        <w:t>Competition for biomass resources with BECCS limits biochar deployment (robust endogenous model outcome).</w:t>
      </w:r>
    </w:p>
    <w:p w14:paraId="755100B6" w14:textId="1EB30D84" w:rsidR="00532CA8" w:rsidRPr="00210504" w:rsidRDefault="00532CA8" w:rsidP="00532CA8">
      <w:pPr>
        <w:rPr>
          <w:lang w:val="en-DE"/>
        </w:rPr>
      </w:pPr>
      <w:r>
        <w:rPr>
          <w:lang w:val="en-DE"/>
        </w:rPr>
        <w:t>REMIND suppresses excessive biomass demand with an additional sustainability tax that scales with total biomass use</w:t>
      </w:r>
      <w:r w:rsidR="00210504">
        <w:rPr>
          <w:lang w:val="en-DE"/>
        </w:rPr>
        <w:t>.</w:t>
      </w:r>
    </w:p>
    <w:p w14:paraId="49A65EB0" w14:textId="0FF7F068" w:rsidR="00532CA8" w:rsidRPr="00CB2EEA" w:rsidRDefault="00532CA8" w:rsidP="00532CA8">
      <w:pPr>
        <w:rPr>
          <w:lang w:val="en-DE"/>
        </w:rPr>
      </w:pPr>
      <w:r>
        <w:rPr>
          <w:lang w:val="en-DE"/>
        </w:rPr>
        <w:t>Non-linear upscaling of all technologies comes with “adjustment costs” penalty.</w:t>
      </w:r>
    </w:p>
    <w:p w14:paraId="0E8B53DE" w14:textId="77777777" w:rsidR="00532CA8" w:rsidRPr="00CB2EEA" w:rsidRDefault="00532CA8" w:rsidP="00CB2EEA">
      <w:pPr>
        <w:rPr>
          <w:b/>
          <w:lang w:val="en-DE"/>
        </w:rPr>
      </w:pPr>
      <w:r w:rsidRPr="00CB2EEA">
        <w:rPr>
          <w:b/>
          <w:lang w:val="en-DE"/>
        </w:rPr>
        <w:t>OAE</w:t>
      </w:r>
    </w:p>
    <w:p w14:paraId="01B5E682" w14:textId="77777777" w:rsidR="00532CA8" w:rsidRPr="00CB2EEA" w:rsidRDefault="00532CA8" w:rsidP="00CB2EEA">
      <w:pPr>
        <w:rPr>
          <w:u w:val="single"/>
          <w:lang w:val="en-US"/>
        </w:rPr>
      </w:pPr>
      <w:r w:rsidRPr="00CB2EEA">
        <w:rPr>
          <w:u w:val="single"/>
          <w:lang w:val="en-US"/>
        </w:rPr>
        <w:t>Technology flavors/configurations</w:t>
      </w:r>
    </w:p>
    <w:p w14:paraId="7A20CD7E" w14:textId="2FCB0C47" w:rsidR="00532CA8" w:rsidRDefault="00532CA8" w:rsidP="00532CA8">
      <w:pPr>
        <w:rPr>
          <w:lang w:val="en-DE"/>
        </w:rPr>
      </w:pPr>
      <w:r w:rsidRPr="00532CA8">
        <w:rPr>
          <w:lang w:val="en-US"/>
        </w:rPr>
        <w:t>REMIND considers ocean liming</w:t>
      </w:r>
      <w:r>
        <w:rPr>
          <w:lang w:val="en-DE"/>
        </w:rPr>
        <w:t xml:space="preserve"> with quicklime and application across the exclusive economic zones via ships</w:t>
      </w:r>
      <w:r w:rsidRPr="00532CA8">
        <w:rPr>
          <w:lang w:val="en-US"/>
        </w:rPr>
        <w:t xml:space="preserve">. In this process </w:t>
      </w:r>
      <w:proofErr w:type="spellStart"/>
      <w:r w:rsidRPr="00532CA8">
        <w:rPr>
          <w:lang w:val="en-US"/>
        </w:rPr>
        <w:t>CaO</w:t>
      </w:r>
      <w:proofErr w:type="spellEnd"/>
      <w:r w:rsidRPr="00532CA8">
        <w:rPr>
          <w:lang w:val="en-US"/>
        </w:rPr>
        <w:t xml:space="preserve"> is produced from CaCO3 </w:t>
      </w:r>
      <w:r>
        <w:rPr>
          <w:lang w:val="en-DE"/>
        </w:rPr>
        <w:t xml:space="preserve">(analogue to the </w:t>
      </w:r>
      <w:r w:rsidRPr="00532CA8">
        <w:rPr>
          <w:lang w:val="en-US"/>
        </w:rPr>
        <w:t>cement production</w:t>
      </w:r>
      <w:r>
        <w:rPr>
          <w:lang w:val="en-DE"/>
        </w:rPr>
        <w:t>)</w:t>
      </w:r>
      <w:r w:rsidRPr="00532CA8">
        <w:rPr>
          <w:lang w:val="en-US"/>
        </w:rPr>
        <w:t>.</w:t>
      </w:r>
      <w:r>
        <w:rPr>
          <w:lang w:val="en-DE"/>
        </w:rPr>
        <w:t xml:space="preserve"> For that remind can either use an established off-the-shelf calciner that uses gas for the heat supply. Conventional calciners will be combined with carbon capture (capture rate 90%) to avoid additional </w:t>
      </w:r>
      <w:r>
        <w:rPr>
          <w:lang w:val="en-DE"/>
        </w:rPr>
        <w:lastRenderedPageBreak/>
        <w:t>CO2 emissions. Furthermore</w:t>
      </w:r>
      <w:r w:rsidR="007E0133">
        <w:rPr>
          <w:lang w:val="en-DE"/>
        </w:rPr>
        <w:t>,</w:t>
      </w:r>
      <w:r>
        <w:rPr>
          <w:lang w:val="en-DE"/>
        </w:rPr>
        <w:t xml:space="preserve"> electric calciners, which are currently at a lower TRL, are available with cost reduction due to endogenous learning.</w:t>
      </w:r>
    </w:p>
    <w:p w14:paraId="57784D1D" w14:textId="77777777" w:rsidR="00532CA8" w:rsidRPr="00532CA8" w:rsidRDefault="00532CA8" w:rsidP="00532CA8">
      <w:pPr>
        <w:rPr>
          <w:lang w:val="en-US"/>
        </w:rPr>
      </w:pPr>
    </w:p>
    <w:p w14:paraId="3D333291" w14:textId="01D37DD7" w:rsidR="00532CA8" w:rsidRPr="00532CA8" w:rsidRDefault="00CB2EEA" w:rsidP="00532CA8">
      <w:pPr>
        <w:rPr>
          <w:lang w:val="en-US"/>
        </w:rPr>
      </w:pPr>
      <w:r>
        <w:rPr>
          <w:lang w:val="en-DE"/>
        </w:rPr>
        <w:t>D</w:t>
      </w:r>
      <w:r w:rsidR="00532CA8">
        <w:rPr>
          <w:lang w:val="en-DE"/>
        </w:rPr>
        <w:t xml:space="preserve">uring the calcination, CO2 process emissions occur that are also captured (with 90% capture rate). Captured CO2 </w:t>
      </w:r>
      <w:r w:rsidR="00532CA8" w:rsidRPr="00532CA8">
        <w:rPr>
          <w:lang w:val="en-US"/>
        </w:rPr>
        <w:t xml:space="preserve">can either be used </w:t>
      </w:r>
      <w:r w:rsidR="00532CA8">
        <w:rPr>
          <w:lang w:val="en-DE"/>
        </w:rPr>
        <w:t xml:space="preserve">(CCU) </w:t>
      </w:r>
      <w:r w:rsidR="00532CA8" w:rsidRPr="00532CA8">
        <w:rPr>
          <w:lang w:val="en-US"/>
        </w:rPr>
        <w:t xml:space="preserve">or stored geologically. </w:t>
      </w:r>
      <w:r w:rsidR="00532CA8">
        <w:rPr>
          <w:lang w:val="en-DE"/>
        </w:rPr>
        <w:t>Utilisation and Storage are modelled separately (see description CO2 Utilisation and CO2 Storage respectively).</w:t>
      </w:r>
      <w:r w:rsidR="00532CA8" w:rsidRPr="00532CA8">
        <w:rPr>
          <w:lang w:val="en-US"/>
        </w:rPr>
        <w:t xml:space="preserve"> </w:t>
      </w:r>
    </w:p>
    <w:p w14:paraId="7027C721" w14:textId="77777777" w:rsidR="00532CA8" w:rsidRPr="00532CA8" w:rsidRDefault="00532CA8" w:rsidP="00532CA8">
      <w:pPr>
        <w:rPr>
          <w:lang w:val="en-US"/>
        </w:rPr>
      </w:pPr>
    </w:p>
    <w:p w14:paraId="410F30C1" w14:textId="77777777" w:rsidR="00532CA8" w:rsidRPr="0034751E" w:rsidRDefault="00532CA8" w:rsidP="0034751E">
      <w:pPr>
        <w:rPr>
          <w:u w:val="single"/>
          <w:lang w:val="en-US"/>
        </w:rPr>
      </w:pPr>
      <w:r w:rsidRPr="0034751E">
        <w:rPr>
          <w:u w:val="single"/>
          <w:lang w:val="en-US"/>
        </w:rPr>
        <w:t>Input</w:t>
      </w:r>
    </w:p>
    <w:p w14:paraId="45E1FB5E" w14:textId="77777777" w:rsidR="00532CA8" w:rsidRDefault="00532CA8" w:rsidP="00532CA8">
      <w:pPr>
        <w:rPr>
          <w:lang w:val="en-DE"/>
        </w:rPr>
      </w:pPr>
      <w:r w:rsidRPr="00532CA8">
        <w:rPr>
          <w:lang w:val="en-US"/>
        </w:rPr>
        <w:t>CaCO3</w:t>
      </w:r>
      <w:r>
        <w:rPr>
          <w:lang w:val="en-DE"/>
        </w:rPr>
        <w:t xml:space="preserve"> (Flows are not endogenized, as it is abundantly available world wide)</w:t>
      </w:r>
    </w:p>
    <w:p w14:paraId="09751DCB" w14:textId="77777777" w:rsidR="00532CA8" w:rsidRPr="00532CA8" w:rsidRDefault="00532CA8" w:rsidP="00532CA8">
      <w:pPr>
        <w:rPr>
          <w:lang w:val="en-US"/>
        </w:rPr>
      </w:pPr>
      <w:r w:rsidRPr="00532CA8">
        <w:rPr>
          <w:lang w:val="en-US"/>
        </w:rPr>
        <w:t>Electricity for grinding, air separation, CO2 compression (996 MJ/</w:t>
      </w:r>
      <w:proofErr w:type="spellStart"/>
      <w:r w:rsidRPr="00532CA8">
        <w:rPr>
          <w:lang w:val="en-US"/>
        </w:rPr>
        <w:t>tCaO</w:t>
      </w:r>
      <w:proofErr w:type="spellEnd"/>
      <w:r w:rsidRPr="00532CA8">
        <w:rPr>
          <w:lang w:val="en-US"/>
        </w:rPr>
        <w:t>)</w:t>
      </w:r>
    </w:p>
    <w:p w14:paraId="6D04A3A6" w14:textId="77777777" w:rsidR="00532CA8" w:rsidRPr="00532CA8" w:rsidRDefault="00532CA8" w:rsidP="00532CA8">
      <w:pPr>
        <w:rPr>
          <w:lang w:val="en-US"/>
        </w:rPr>
      </w:pPr>
      <w:r>
        <w:rPr>
          <w:lang w:val="en-DE"/>
        </w:rPr>
        <w:t xml:space="preserve">Liquid fuels for transportation and spreading </w:t>
      </w:r>
      <w:r w:rsidRPr="00532CA8">
        <w:rPr>
          <w:lang w:val="en-US"/>
        </w:rPr>
        <w:t>in the ocean (2600 MJ/</w:t>
      </w:r>
      <w:proofErr w:type="spellStart"/>
      <w:r w:rsidRPr="00532CA8">
        <w:rPr>
          <w:lang w:val="en-US"/>
        </w:rPr>
        <w:t>tCaO</w:t>
      </w:r>
      <w:proofErr w:type="spellEnd"/>
      <w:r w:rsidRPr="00532CA8">
        <w:rPr>
          <w:lang w:val="en-US"/>
        </w:rPr>
        <w:t xml:space="preserve"> in the pessimistic scenario, 770 MJ/</w:t>
      </w:r>
      <w:proofErr w:type="spellStart"/>
      <w:r w:rsidRPr="00532CA8">
        <w:rPr>
          <w:lang w:val="en-US"/>
        </w:rPr>
        <w:t>tCaO</w:t>
      </w:r>
      <w:proofErr w:type="spellEnd"/>
      <w:r w:rsidRPr="00532CA8">
        <w:rPr>
          <w:lang w:val="en-US"/>
        </w:rPr>
        <w:t xml:space="preserve"> in the optimistic scenario)</w:t>
      </w:r>
    </w:p>
    <w:p w14:paraId="66070C44" w14:textId="77777777" w:rsidR="00532CA8" w:rsidRPr="00532CA8" w:rsidRDefault="00532CA8" w:rsidP="00532CA8">
      <w:pPr>
        <w:rPr>
          <w:lang w:val="en-US"/>
        </w:rPr>
      </w:pPr>
      <w:r w:rsidRPr="00532CA8">
        <w:rPr>
          <w:lang w:val="en-US"/>
        </w:rPr>
        <w:t>Either electricity or H2 for novel calciner (3100 MJ/</w:t>
      </w:r>
      <w:proofErr w:type="spellStart"/>
      <w:r w:rsidRPr="00532CA8">
        <w:rPr>
          <w:lang w:val="en-US"/>
        </w:rPr>
        <w:t>tCaO</w:t>
      </w:r>
      <w:proofErr w:type="spellEnd"/>
      <w:r w:rsidRPr="00532CA8">
        <w:rPr>
          <w:lang w:val="en-US"/>
        </w:rPr>
        <w:t>)</w:t>
      </w:r>
    </w:p>
    <w:p w14:paraId="376E7B60" w14:textId="77777777" w:rsidR="00532CA8" w:rsidRPr="00532CA8" w:rsidRDefault="00532CA8" w:rsidP="00532CA8">
      <w:pPr>
        <w:rPr>
          <w:lang w:val="en-US"/>
        </w:rPr>
      </w:pPr>
      <w:r w:rsidRPr="00532CA8">
        <w:rPr>
          <w:lang w:val="en-US"/>
        </w:rPr>
        <w:t>Or gas for traditional calciner (3100 MJ/</w:t>
      </w:r>
      <w:proofErr w:type="spellStart"/>
      <w:r w:rsidRPr="00532CA8">
        <w:rPr>
          <w:lang w:val="en-US"/>
        </w:rPr>
        <w:t>tCaO</w:t>
      </w:r>
      <w:proofErr w:type="spellEnd"/>
      <w:r w:rsidRPr="00532CA8">
        <w:rPr>
          <w:lang w:val="en-US"/>
        </w:rPr>
        <w:t>)</w:t>
      </w:r>
    </w:p>
    <w:p w14:paraId="247FD038" w14:textId="77777777" w:rsidR="00532CA8" w:rsidRPr="00532CA8" w:rsidRDefault="00532CA8" w:rsidP="00532CA8">
      <w:pPr>
        <w:rPr>
          <w:lang w:val="en-US"/>
        </w:rPr>
      </w:pPr>
    </w:p>
    <w:p w14:paraId="5663AC9D" w14:textId="77777777" w:rsidR="00532CA8" w:rsidRPr="0034751E" w:rsidRDefault="00532CA8" w:rsidP="0034751E">
      <w:pPr>
        <w:rPr>
          <w:u w:val="single"/>
          <w:lang w:val="en-US"/>
        </w:rPr>
      </w:pPr>
      <w:r w:rsidRPr="0034751E">
        <w:rPr>
          <w:u w:val="single"/>
          <w:lang w:val="en-US"/>
        </w:rPr>
        <w:t>Output</w:t>
      </w:r>
    </w:p>
    <w:p w14:paraId="1E41D3C3" w14:textId="77777777" w:rsidR="00532CA8" w:rsidRDefault="00532CA8" w:rsidP="00532CA8">
      <w:pPr>
        <w:rPr>
          <w:lang w:val="en-DE"/>
        </w:rPr>
      </w:pPr>
      <w:r w:rsidRPr="00532CA8">
        <w:rPr>
          <w:lang w:val="en-US"/>
        </w:rPr>
        <w:t>OAE</w:t>
      </w:r>
      <w:r>
        <w:rPr>
          <w:lang w:val="en-DE"/>
        </w:rPr>
        <w:t xml:space="preserve"> provides </w:t>
      </w:r>
      <w:r w:rsidRPr="00532CA8">
        <w:rPr>
          <w:lang w:val="en-US"/>
        </w:rPr>
        <w:t>CO</w:t>
      </w:r>
      <w:r w:rsidRPr="00532CA8">
        <w:rPr>
          <w:vertAlign w:val="subscript"/>
          <w:lang w:val="en-US"/>
        </w:rPr>
        <w:t>2</w:t>
      </w:r>
      <w:r w:rsidRPr="00532CA8">
        <w:rPr>
          <w:lang w:val="en-US"/>
        </w:rPr>
        <w:t xml:space="preserve"> for</w:t>
      </w:r>
      <w:r>
        <w:rPr>
          <w:lang w:val="en-DE"/>
        </w:rPr>
        <w:t xml:space="preserve"> the CCUS value chain</w:t>
      </w:r>
      <w:r w:rsidRPr="00532CA8">
        <w:rPr>
          <w:lang w:val="en-US"/>
        </w:rPr>
        <w:t>.</w:t>
      </w:r>
      <w:r>
        <w:rPr>
          <w:lang w:val="en-DE"/>
        </w:rPr>
        <w:t xml:space="preserve"> The model can endogenously decide whether the captured CO2 shall be used for synthetic gases or liquids or if it should be permanently geologically stored.</w:t>
      </w:r>
    </w:p>
    <w:p w14:paraId="5E659FAD" w14:textId="77777777" w:rsidR="00532CA8" w:rsidRPr="00CE108D" w:rsidRDefault="00532CA8" w:rsidP="00532CA8">
      <w:pPr>
        <w:rPr>
          <w:lang w:val="en-DE"/>
        </w:rPr>
      </w:pPr>
    </w:p>
    <w:p w14:paraId="7BABA6C1" w14:textId="77777777" w:rsidR="00532CA8" w:rsidRPr="0034751E" w:rsidRDefault="00532CA8" w:rsidP="0034751E">
      <w:pPr>
        <w:rPr>
          <w:u w:val="single"/>
          <w:lang w:val="en-US"/>
        </w:rPr>
      </w:pPr>
      <w:r w:rsidRPr="0034751E">
        <w:rPr>
          <w:u w:val="single"/>
          <w:lang w:val="en-US"/>
        </w:rPr>
        <w:t>Emissions</w:t>
      </w:r>
    </w:p>
    <w:p w14:paraId="613315C9" w14:textId="77777777" w:rsidR="00532CA8" w:rsidRDefault="00532CA8" w:rsidP="00532CA8">
      <w:pPr>
        <w:rPr>
          <w:lang w:val="en-DE"/>
        </w:rPr>
      </w:pPr>
      <w:r>
        <w:rPr>
          <w:lang w:val="en-DE"/>
        </w:rPr>
        <w:t xml:space="preserve">If heat for </w:t>
      </w:r>
      <w:r w:rsidRPr="00532CA8">
        <w:rPr>
          <w:lang w:val="en-US"/>
        </w:rPr>
        <w:t>the calciner</w:t>
      </w:r>
      <w:r>
        <w:rPr>
          <w:lang w:val="en-DE"/>
        </w:rPr>
        <w:t xml:space="preserve"> is supplied by gas, we assume it is captured with a capture rate of 90%. Other upstream emissions from energy supply are accounted for on the supply side. </w:t>
      </w:r>
    </w:p>
    <w:p w14:paraId="7FD7BA73" w14:textId="77777777" w:rsidR="00532CA8" w:rsidRPr="00532CA8" w:rsidRDefault="00532CA8" w:rsidP="00532CA8">
      <w:pPr>
        <w:rPr>
          <w:lang w:val="en-US"/>
        </w:rPr>
      </w:pPr>
      <w:r w:rsidRPr="00532CA8">
        <w:rPr>
          <w:lang w:val="en-US"/>
        </w:rPr>
        <w:t>Process emissions from calcination are assumed to be captured with a capture rate of 90%.</w:t>
      </w:r>
      <w:r w:rsidRPr="00532CA8">
        <w:rPr>
          <w:lang w:val="en-US"/>
        </w:rPr>
        <w:br/>
      </w:r>
      <w:r>
        <w:rPr>
          <w:lang w:val="en-DE"/>
        </w:rPr>
        <w:t>REMIND does not account for other technology specific emissions</w:t>
      </w:r>
      <w:r w:rsidRPr="00532CA8">
        <w:rPr>
          <w:lang w:val="en-US"/>
        </w:rPr>
        <w:t xml:space="preserve">. </w:t>
      </w:r>
    </w:p>
    <w:p w14:paraId="31DFFDE6" w14:textId="77777777" w:rsidR="00532CA8" w:rsidRDefault="00532CA8" w:rsidP="00532CA8">
      <w:pPr>
        <w:rPr>
          <w:lang w:val="en-DE"/>
        </w:rPr>
      </w:pPr>
    </w:p>
    <w:p w14:paraId="791C2569" w14:textId="77777777" w:rsidR="00532CA8" w:rsidRPr="0034751E" w:rsidRDefault="00532CA8" w:rsidP="0034751E">
      <w:pPr>
        <w:rPr>
          <w:u w:val="single"/>
          <w:lang w:val="en-US"/>
        </w:rPr>
      </w:pPr>
      <w:r w:rsidRPr="0034751E">
        <w:rPr>
          <w:u w:val="single"/>
          <w:lang w:val="en-US"/>
        </w:rPr>
        <w:t>Timing and permanence</w:t>
      </w:r>
    </w:p>
    <w:p w14:paraId="317225F1" w14:textId="77777777" w:rsidR="00532CA8" w:rsidRPr="004838ED" w:rsidRDefault="00532CA8" w:rsidP="00532CA8">
      <w:pPr>
        <w:rPr>
          <w:lang w:val="en-DE"/>
        </w:rPr>
      </w:pPr>
      <w:r>
        <w:rPr>
          <w:lang w:val="en-DE"/>
        </w:rPr>
        <w:t xml:space="preserve">There are two processes that lead to CO2 uptake in the ocean. The shift in alkalinity enhances the diffusion of atmospheric CO2 into the ocean. Second, the quicklime reabsorbs CO2 to go back to CaCO3. </w:t>
      </w:r>
    </w:p>
    <w:p w14:paraId="03264E8B" w14:textId="77777777" w:rsidR="00532CA8" w:rsidRDefault="00532CA8" w:rsidP="00532CA8">
      <w:pPr>
        <w:rPr>
          <w:lang w:val="en-DE"/>
        </w:rPr>
      </w:pPr>
      <w:r>
        <w:rPr>
          <w:lang w:val="en-DE"/>
        </w:rPr>
        <w:t xml:space="preserve">For both processes, absorption </w:t>
      </w:r>
      <w:r w:rsidRPr="00532CA8">
        <w:rPr>
          <w:lang w:val="en-US"/>
        </w:rPr>
        <w:t xml:space="preserve">of atmospheric CO2 </w:t>
      </w:r>
      <w:r>
        <w:rPr>
          <w:lang w:val="en-DE"/>
        </w:rPr>
        <w:t xml:space="preserve">into </w:t>
      </w:r>
      <w:r w:rsidRPr="00532CA8">
        <w:rPr>
          <w:lang w:val="en-US"/>
        </w:rPr>
        <w:t xml:space="preserve">the ocean is currently assumed to happen </w:t>
      </w:r>
      <w:r>
        <w:rPr>
          <w:lang w:val="en-DE"/>
        </w:rPr>
        <w:t xml:space="preserve">within the same time step (i.e. 5 or 10 years). However, we acknowledge that this is an uncertain assumption and equilibration may take longer. </w:t>
      </w:r>
    </w:p>
    <w:p w14:paraId="6F9FE29D" w14:textId="77777777" w:rsidR="00532CA8" w:rsidRPr="00532CA8" w:rsidRDefault="00532CA8" w:rsidP="00532CA8">
      <w:pPr>
        <w:rPr>
          <w:lang w:val="en-US"/>
        </w:rPr>
      </w:pPr>
    </w:p>
    <w:p w14:paraId="63C5A31C" w14:textId="77777777" w:rsidR="00532CA8" w:rsidRPr="0034751E" w:rsidRDefault="00532CA8" w:rsidP="0034751E">
      <w:pPr>
        <w:rPr>
          <w:u w:val="single"/>
          <w:lang w:val="en-US"/>
        </w:rPr>
      </w:pPr>
      <w:r w:rsidRPr="0034751E">
        <w:rPr>
          <w:u w:val="single"/>
          <w:lang w:val="en-US"/>
        </w:rPr>
        <w:t>Deployment and resource constraints</w:t>
      </w:r>
    </w:p>
    <w:p w14:paraId="6F73452F" w14:textId="77777777" w:rsidR="00532CA8" w:rsidRDefault="00532CA8" w:rsidP="00532CA8">
      <w:pPr>
        <w:rPr>
          <w:lang w:val="en-DE"/>
        </w:rPr>
      </w:pPr>
      <w:r>
        <w:rPr>
          <w:lang w:val="en-DE"/>
        </w:rPr>
        <w:t xml:space="preserve">Non-linear upscaling of any technology in REMIND comes with “adjustment costs” penalty. </w:t>
      </w:r>
    </w:p>
    <w:p w14:paraId="52E74D36" w14:textId="10C571E6" w:rsidR="00532CA8" w:rsidRDefault="00AD1C5E" w:rsidP="00532CA8">
      <w:pPr>
        <w:rPr>
          <w:lang w:val="en-DE"/>
        </w:rPr>
      </w:pPr>
      <w:r w:rsidRPr="00AD1C5E">
        <w:rPr>
          <w:lang w:val="en-DE"/>
        </w:rPr>
        <w:lastRenderedPageBreak/>
        <w:t>OAE application is constrained to a critical concentration of 250 µmol Ca(OH)2 discharged per 1 kg seawater, applied to the first two meters of seawater depth, only in the exclusive economic zones, leading to a global maximum of 5 GtCO2 removed from OAE.</w:t>
      </w:r>
    </w:p>
    <w:p w14:paraId="0E89E0DE" w14:textId="77777777" w:rsidR="00532CA8" w:rsidRPr="007D2FD9" w:rsidRDefault="00532CA8" w:rsidP="00532CA8">
      <w:pPr>
        <w:rPr>
          <w:lang w:val="en-DE"/>
        </w:rPr>
      </w:pPr>
    </w:p>
    <w:p w14:paraId="5A846CBA" w14:textId="77777777" w:rsidR="00532CA8" w:rsidRPr="006545A4" w:rsidRDefault="00532CA8" w:rsidP="006545A4">
      <w:pPr>
        <w:rPr>
          <w:u w:val="single"/>
          <w:lang w:val="en-US"/>
        </w:rPr>
      </w:pPr>
      <w:r w:rsidRPr="006545A4">
        <w:rPr>
          <w:u w:val="single"/>
          <w:lang w:val="en-US"/>
        </w:rPr>
        <w:t>Regional differentiation</w:t>
      </w:r>
    </w:p>
    <w:p w14:paraId="72511DEE" w14:textId="77777777" w:rsidR="00532CA8" w:rsidRPr="007D2FD9" w:rsidRDefault="00532CA8" w:rsidP="00532CA8">
      <w:pPr>
        <w:rPr>
          <w:lang w:val="en-DE"/>
        </w:rPr>
      </w:pPr>
      <w:r>
        <w:rPr>
          <w:lang w:val="en-DE"/>
        </w:rPr>
        <w:t xml:space="preserve">Potentials vary depending on the </w:t>
      </w:r>
      <w:proofErr w:type="gramStart"/>
      <w:r>
        <w:rPr>
          <w:lang w:val="en-DE"/>
        </w:rPr>
        <w:t>regions</w:t>
      </w:r>
      <w:proofErr w:type="gramEnd"/>
      <w:r>
        <w:rPr>
          <w:lang w:val="en-DE"/>
        </w:rPr>
        <w:t xml:space="preserve"> geological storage capacities and size of the EEZ.</w:t>
      </w:r>
    </w:p>
    <w:p w14:paraId="2CF61BFD" w14:textId="77777777" w:rsidR="00532CA8" w:rsidRPr="0014738F" w:rsidRDefault="00532CA8" w:rsidP="00532CA8">
      <w:pPr>
        <w:rPr>
          <w:lang w:val="en-DE"/>
        </w:rPr>
      </w:pPr>
    </w:p>
    <w:p w14:paraId="789C7B5E" w14:textId="77777777" w:rsidR="00532CA8" w:rsidRPr="00DA083B" w:rsidRDefault="00532CA8" w:rsidP="00DA083B">
      <w:pPr>
        <w:rPr>
          <w:b/>
          <w:lang w:val="en-DE"/>
        </w:rPr>
      </w:pPr>
      <w:r w:rsidRPr="00DA083B">
        <w:rPr>
          <w:b/>
          <w:lang w:val="en-DE"/>
        </w:rPr>
        <w:t>CO2 Transport and Storage</w:t>
      </w:r>
    </w:p>
    <w:p w14:paraId="788A77E2" w14:textId="77777777" w:rsidR="00532CA8" w:rsidRPr="00DA083B" w:rsidRDefault="00532CA8" w:rsidP="00DA083B">
      <w:pPr>
        <w:rPr>
          <w:u w:val="single"/>
          <w:lang w:val="en-US"/>
        </w:rPr>
      </w:pPr>
      <w:r w:rsidRPr="00DA083B">
        <w:rPr>
          <w:u w:val="single"/>
          <w:lang w:val="en-US"/>
        </w:rPr>
        <w:t>Technology flavors/configurations</w:t>
      </w:r>
    </w:p>
    <w:p w14:paraId="17B9B641" w14:textId="77777777" w:rsidR="00532CA8" w:rsidRPr="00E67193" w:rsidRDefault="00532CA8" w:rsidP="00532CA8">
      <w:pPr>
        <w:rPr>
          <w:lang w:val="en-DE"/>
        </w:rPr>
      </w:pPr>
      <w:r>
        <w:rPr>
          <w:lang w:val="en-DE"/>
        </w:rPr>
        <w:t xml:space="preserve">CO2 transport and storage </w:t>
      </w:r>
      <w:proofErr w:type="gramStart"/>
      <w:r>
        <w:rPr>
          <w:lang w:val="en-DE"/>
        </w:rPr>
        <w:t>is</w:t>
      </w:r>
      <w:proofErr w:type="gramEnd"/>
      <w:r>
        <w:rPr>
          <w:lang w:val="en-DE"/>
        </w:rPr>
        <w:t xml:space="preserve"> represented in REMIND by a generic lump-technology, considering transportation by pipelines and distinguishing storage in onshore and offshore aquifers. </w:t>
      </w:r>
    </w:p>
    <w:p w14:paraId="50A08F32" w14:textId="77777777" w:rsidR="00532CA8" w:rsidRPr="00DA083B" w:rsidRDefault="00532CA8" w:rsidP="00DA083B">
      <w:pPr>
        <w:rPr>
          <w:u w:val="single"/>
          <w:lang w:val="en-US"/>
        </w:rPr>
      </w:pPr>
      <w:r w:rsidRPr="00DA083B">
        <w:rPr>
          <w:u w:val="single"/>
          <w:lang w:val="en-US"/>
        </w:rPr>
        <w:t>Input</w:t>
      </w:r>
    </w:p>
    <w:p w14:paraId="7E947D7F" w14:textId="77777777" w:rsidR="00532CA8" w:rsidRPr="00E67193" w:rsidRDefault="00532CA8" w:rsidP="00532CA8">
      <w:pPr>
        <w:rPr>
          <w:lang w:val="en-DE"/>
        </w:rPr>
      </w:pPr>
      <w:r>
        <w:rPr>
          <w:lang w:val="en-DE"/>
        </w:rPr>
        <w:t>Electricity for CO2 conditioning, transportation and injection.</w:t>
      </w:r>
    </w:p>
    <w:p w14:paraId="2206685B" w14:textId="77777777" w:rsidR="00532CA8" w:rsidRPr="00DA083B" w:rsidRDefault="00532CA8" w:rsidP="00DA083B">
      <w:pPr>
        <w:rPr>
          <w:u w:val="single"/>
          <w:lang w:val="en-US"/>
        </w:rPr>
      </w:pPr>
      <w:r w:rsidRPr="00DA083B">
        <w:rPr>
          <w:u w:val="single"/>
          <w:lang w:val="en-US"/>
        </w:rPr>
        <w:t>Emissions</w:t>
      </w:r>
    </w:p>
    <w:p w14:paraId="696B1B3A" w14:textId="77777777" w:rsidR="00532CA8" w:rsidRPr="00D04634" w:rsidRDefault="00532CA8" w:rsidP="00532CA8">
      <w:pPr>
        <w:rPr>
          <w:lang w:val="en-DE"/>
        </w:rPr>
      </w:pPr>
      <w:r w:rsidRPr="00D04634">
        <w:rPr>
          <w:lang w:val="en-DE"/>
        </w:rPr>
        <w:t>Leakage from CO2 capture and transportation:</w:t>
      </w:r>
    </w:p>
    <w:p w14:paraId="49742D9C" w14:textId="1B2B32DE" w:rsidR="00532CA8" w:rsidRPr="00DA083B" w:rsidRDefault="00532CA8" w:rsidP="00532CA8">
      <w:pPr>
        <w:rPr>
          <w:lang w:val="en-DE"/>
        </w:rPr>
      </w:pPr>
      <w:r>
        <w:rPr>
          <w:lang w:val="en-DE"/>
        </w:rPr>
        <w:t xml:space="preserve">We assume </w:t>
      </w:r>
      <w:r w:rsidRPr="00D04634">
        <w:rPr>
          <w:lang w:val="en-DE"/>
        </w:rPr>
        <w:t>1</w:t>
      </w:r>
      <w:r>
        <w:rPr>
          <w:lang w:val="en-DE"/>
        </w:rPr>
        <w:t xml:space="preserve">% </w:t>
      </w:r>
      <w:r w:rsidRPr="00D04634">
        <w:rPr>
          <w:lang w:val="en-DE"/>
        </w:rPr>
        <w:t>of captured CO2 leaks back to the atmosphere</w:t>
      </w:r>
      <w:r>
        <w:rPr>
          <w:lang w:val="en-DE"/>
        </w:rPr>
        <w:t>. We do not consider leakage from the geological reservoir back to the atmosphere. Justification (see Timing and Permanence subsection)</w:t>
      </w:r>
      <w:r>
        <w:rPr>
          <w:lang w:val="en-DE"/>
        </w:rPr>
        <w:br/>
      </w:r>
    </w:p>
    <w:p w14:paraId="09069DEE" w14:textId="77777777" w:rsidR="00532CA8" w:rsidRPr="00DA083B" w:rsidRDefault="00532CA8" w:rsidP="00DA083B">
      <w:pPr>
        <w:rPr>
          <w:u w:val="single"/>
          <w:lang w:val="en-DE"/>
        </w:rPr>
      </w:pPr>
      <w:r w:rsidRPr="00DA083B">
        <w:rPr>
          <w:u w:val="single"/>
          <w:lang w:val="en-US"/>
        </w:rPr>
        <w:t>Infrastructure</w:t>
      </w:r>
    </w:p>
    <w:p w14:paraId="5DE56849" w14:textId="77777777" w:rsidR="00532CA8" w:rsidRDefault="00532CA8" w:rsidP="00532CA8">
      <w:pPr>
        <w:rPr>
          <w:lang w:val="en-DE"/>
        </w:rPr>
      </w:pPr>
    </w:p>
    <w:p w14:paraId="44DE9488" w14:textId="77777777" w:rsidR="00532CA8" w:rsidRPr="00A60525" w:rsidRDefault="00532CA8" w:rsidP="00532CA8">
      <w:pPr>
        <w:rPr>
          <w:lang w:val="en-DE"/>
        </w:rPr>
      </w:pPr>
      <w:r>
        <w:rPr>
          <w:lang w:val="en-DE"/>
        </w:rPr>
        <w:t xml:space="preserve">We assume CO2 transportation in pipelines and full cooperation within a REMIND region. However, there is no inter-regional CO2 transport. CO2 that is captured in one region cannot be transported to and stored in another region. </w:t>
      </w:r>
    </w:p>
    <w:p w14:paraId="29F50158" w14:textId="77777777" w:rsidR="00532CA8" w:rsidRDefault="00532CA8" w:rsidP="00532CA8">
      <w:pPr>
        <w:rPr>
          <w:lang w:val="en-DE"/>
        </w:rPr>
      </w:pPr>
    </w:p>
    <w:p w14:paraId="374161F0" w14:textId="77777777" w:rsidR="00532CA8" w:rsidRPr="00ED185E" w:rsidRDefault="00532CA8" w:rsidP="00ED185E">
      <w:pPr>
        <w:rPr>
          <w:u w:val="single"/>
          <w:lang w:val="en-US"/>
        </w:rPr>
      </w:pPr>
      <w:r w:rsidRPr="00ED185E">
        <w:rPr>
          <w:u w:val="single"/>
          <w:lang w:val="en-US"/>
        </w:rPr>
        <w:t>Timing and permanence</w:t>
      </w:r>
    </w:p>
    <w:p w14:paraId="40A53582" w14:textId="77777777" w:rsidR="00532CA8" w:rsidRPr="00D04634" w:rsidRDefault="00532CA8" w:rsidP="00532CA8">
      <w:pPr>
        <w:rPr>
          <w:lang w:val="en-DE"/>
        </w:rPr>
      </w:pPr>
      <w:r>
        <w:rPr>
          <w:lang w:val="en-DE"/>
        </w:rPr>
        <w:t>We do not consider leakage from the geological reservoir back to the atmosphere. Justification:</w:t>
      </w:r>
      <w:r>
        <w:rPr>
          <w:lang w:val="en-DE"/>
        </w:rPr>
        <w:br/>
        <w:t>While there is the risk of leakage, the quantifiable effect for mitigation pathways appears to be small a</w:t>
      </w:r>
      <w:r w:rsidRPr="00D04634">
        <w:rPr>
          <w:lang w:val="en-DE"/>
        </w:rPr>
        <w:t xml:space="preserve">ccording to Alcalde et al. </w:t>
      </w:r>
      <w:proofErr w:type="gramStart"/>
      <w:r w:rsidRPr="00D04634">
        <w:rPr>
          <w:lang w:val="en-DE"/>
        </w:rPr>
        <w:t>2018  DOI</w:t>
      </w:r>
      <w:proofErr w:type="gramEnd"/>
      <w:r w:rsidRPr="00D04634">
        <w:rPr>
          <w:lang w:val="en-DE"/>
        </w:rPr>
        <w:t>: 10.1038/s41467-018-04423-1</w:t>
      </w:r>
      <w:r>
        <w:rPr>
          <w:lang w:val="en-DE"/>
        </w:rPr>
        <w:t xml:space="preserve">. </w:t>
      </w:r>
      <w:r w:rsidRPr="00D04634">
        <w:rPr>
          <w:lang w:val="en-DE"/>
        </w:rPr>
        <w:t>"An unrealistic scenario, where CO2 storage is inadequately regulated, estimates that more than 78% will be retained over 10,000 years." Relating these numbers to REMIND scenarios:</w:t>
      </w:r>
      <w:r>
        <w:rPr>
          <w:lang w:val="en-DE"/>
        </w:rPr>
        <w:br/>
      </w:r>
      <w:r w:rsidRPr="00D04634">
        <w:rPr>
          <w:lang w:val="en-DE"/>
        </w:rPr>
        <w:t>Let R(t) be the fraction remaining after time t with (simplified) constant leakage rate k:</w:t>
      </w:r>
    </w:p>
    <w:p w14:paraId="1D029877" w14:textId="77777777" w:rsidR="00532CA8" w:rsidRPr="00D04634" w:rsidRDefault="00532CA8" w:rsidP="00532CA8">
      <w:pPr>
        <w:rPr>
          <w:lang w:val="en-DE"/>
        </w:rPr>
      </w:pPr>
      <w:r w:rsidRPr="00D04634">
        <w:rPr>
          <w:lang w:val="en-DE"/>
        </w:rPr>
        <w:t>R(t)=e^(</w:t>
      </w:r>
      <w:proofErr w:type="spellStart"/>
      <w:r w:rsidRPr="00D04634">
        <w:rPr>
          <w:lang w:val="en-DE"/>
        </w:rPr>
        <w:t>kt</w:t>
      </w:r>
      <w:proofErr w:type="spellEnd"/>
      <w:r w:rsidRPr="00D04634">
        <w:rPr>
          <w:lang w:val="en-DE"/>
        </w:rPr>
        <w:t>)</w:t>
      </w:r>
    </w:p>
    <w:p w14:paraId="079FD7B7" w14:textId="77777777" w:rsidR="00532CA8" w:rsidRPr="00D04634" w:rsidRDefault="00532CA8" w:rsidP="00532CA8">
      <w:pPr>
        <w:rPr>
          <w:lang w:val="en-DE"/>
        </w:rPr>
      </w:pPr>
      <w:r w:rsidRPr="00D04634">
        <w:rPr>
          <w:lang w:val="en-DE"/>
        </w:rPr>
        <w:t xml:space="preserve">with </w:t>
      </w:r>
      <w:proofErr w:type="gramStart"/>
      <w:r w:rsidRPr="00D04634">
        <w:rPr>
          <w:lang w:val="en-DE"/>
        </w:rPr>
        <w:t>R(</w:t>
      </w:r>
      <w:proofErr w:type="gramEnd"/>
      <w:r w:rsidRPr="00D04634">
        <w:rPr>
          <w:lang w:val="en-DE"/>
        </w:rPr>
        <w:t>10 000) = 0.78</w:t>
      </w:r>
    </w:p>
    <w:p w14:paraId="1A2329BA" w14:textId="77777777" w:rsidR="00532CA8" w:rsidRPr="00D04634" w:rsidRDefault="00532CA8" w:rsidP="00532CA8">
      <w:pPr>
        <w:rPr>
          <w:lang w:val="en-DE"/>
        </w:rPr>
      </w:pPr>
      <w:r w:rsidRPr="00D04634">
        <w:rPr>
          <w:lang w:val="en-DE"/>
        </w:rPr>
        <w:t xml:space="preserve">leakage rate k = 0.0025% / </w:t>
      </w:r>
      <w:proofErr w:type="spellStart"/>
      <w:r w:rsidRPr="00D04634">
        <w:rPr>
          <w:lang w:val="en-DE"/>
        </w:rPr>
        <w:t>yr</w:t>
      </w:r>
      <w:proofErr w:type="spellEnd"/>
    </w:p>
    <w:p w14:paraId="5204786B" w14:textId="77777777" w:rsidR="00532CA8" w:rsidRPr="00D04634" w:rsidRDefault="00532CA8" w:rsidP="00532CA8">
      <w:pPr>
        <w:rPr>
          <w:lang w:val="en-DE"/>
        </w:rPr>
      </w:pPr>
      <w:r w:rsidRPr="00D04634">
        <w:rPr>
          <w:lang w:val="en-DE"/>
        </w:rPr>
        <w:t>After 100 years, this leads to a loss of 0.25% from the reservoirs</w:t>
      </w:r>
    </w:p>
    <w:p w14:paraId="108C9563" w14:textId="77777777" w:rsidR="00532CA8" w:rsidRDefault="00532CA8" w:rsidP="00532CA8">
      <w:pPr>
        <w:rPr>
          <w:lang w:val="en-DE"/>
        </w:rPr>
      </w:pPr>
      <w:proofErr w:type="gramStart"/>
      <w:r w:rsidRPr="00D04634">
        <w:rPr>
          <w:lang w:val="en-DE"/>
        </w:rPr>
        <w:t>so</w:t>
      </w:r>
      <w:proofErr w:type="gramEnd"/>
      <w:r w:rsidRPr="00D04634">
        <w:rPr>
          <w:lang w:val="en-DE"/>
        </w:rPr>
        <w:t xml:space="preserve"> in the "unrealistic scenario" for every 400 GtCO2 stored, 1 GtCO2 leaks after 100 years.</w:t>
      </w:r>
    </w:p>
    <w:p w14:paraId="3834A571" w14:textId="77777777" w:rsidR="00532CA8" w:rsidRPr="00532CA8" w:rsidRDefault="00532CA8" w:rsidP="00532CA8">
      <w:pPr>
        <w:rPr>
          <w:lang w:val="en-DE"/>
        </w:rPr>
      </w:pPr>
    </w:p>
    <w:sectPr w:rsidR="00532CA8" w:rsidRPr="00532CA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FBD2A" w14:textId="77777777" w:rsidR="003D1777" w:rsidRDefault="003D1777" w:rsidP="00BE7615">
      <w:pPr>
        <w:spacing w:after="0" w:line="240" w:lineRule="auto"/>
      </w:pPr>
      <w:r>
        <w:separator/>
      </w:r>
    </w:p>
  </w:endnote>
  <w:endnote w:type="continuationSeparator" w:id="0">
    <w:p w14:paraId="76A0D583" w14:textId="77777777" w:rsidR="003D1777" w:rsidRDefault="003D1777" w:rsidP="00BE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CD0BB" w14:textId="77777777" w:rsidR="003D1777" w:rsidRDefault="003D1777" w:rsidP="00BE7615">
      <w:pPr>
        <w:spacing w:after="0" w:line="240" w:lineRule="auto"/>
      </w:pPr>
      <w:r>
        <w:separator/>
      </w:r>
    </w:p>
  </w:footnote>
  <w:footnote w:type="continuationSeparator" w:id="0">
    <w:p w14:paraId="7A5B3A5B" w14:textId="77777777" w:rsidR="003D1777" w:rsidRDefault="003D1777" w:rsidP="00BE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05873"/>
    <w:multiLevelType w:val="multilevel"/>
    <w:tmpl w:val="DDC0C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F4442A"/>
    <w:multiLevelType w:val="hybridMultilevel"/>
    <w:tmpl w:val="9976EDE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8C81273"/>
    <w:multiLevelType w:val="hybridMultilevel"/>
    <w:tmpl w:val="EC58A13E"/>
    <w:lvl w:ilvl="0" w:tplc="F03E2BE6">
      <w:numFmt w:val="bullet"/>
      <w:lvlText w:val="-"/>
      <w:lvlJc w:val="left"/>
      <w:pPr>
        <w:ind w:left="36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E0A40E1"/>
    <w:multiLevelType w:val="hybridMultilevel"/>
    <w:tmpl w:val="7AF8DF7A"/>
    <w:lvl w:ilvl="0" w:tplc="F03E2BE6">
      <w:numFmt w:val="bullet"/>
      <w:lvlText w:val="-"/>
      <w:lvlJc w:val="left"/>
      <w:pPr>
        <w:ind w:left="36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23C149B"/>
    <w:multiLevelType w:val="hybridMultilevel"/>
    <w:tmpl w:val="74BE38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4BF64B2"/>
    <w:multiLevelType w:val="multilevel"/>
    <w:tmpl w:val="85CC496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6926ECD"/>
    <w:multiLevelType w:val="hybridMultilevel"/>
    <w:tmpl w:val="D05847D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2DD215D6"/>
    <w:multiLevelType w:val="hybridMultilevel"/>
    <w:tmpl w:val="6D6AF27A"/>
    <w:lvl w:ilvl="0" w:tplc="4034823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FB61506"/>
    <w:multiLevelType w:val="hybridMultilevel"/>
    <w:tmpl w:val="8132C70C"/>
    <w:lvl w:ilvl="0" w:tplc="F03E2BE6">
      <w:numFmt w:val="bullet"/>
      <w:lvlText w:val="-"/>
      <w:lvlJc w:val="left"/>
      <w:pPr>
        <w:ind w:left="360" w:hanging="360"/>
      </w:pPr>
      <w:rPr>
        <w:rFonts w:ascii="Times New Roman" w:eastAsiaTheme="minorHAnsi" w:hAnsi="Times New Roman" w:cs="Times New Roman"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303B000A"/>
    <w:multiLevelType w:val="hybridMultilevel"/>
    <w:tmpl w:val="A280BAD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DF06DCD"/>
    <w:multiLevelType w:val="hybridMultilevel"/>
    <w:tmpl w:val="4D7AA4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E3E18C9"/>
    <w:multiLevelType w:val="hybridMultilevel"/>
    <w:tmpl w:val="264CB0F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5AC0D4A"/>
    <w:multiLevelType w:val="hybridMultilevel"/>
    <w:tmpl w:val="B89A8EF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5C735D9"/>
    <w:multiLevelType w:val="hybridMultilevel"/>
    <w:tmpl w:val="0B843960"/>
    <w:lvl w:ilvl="0" w:tplc="F03E2BE6">
      <w:numFmt w:val="bullet"/>
      <w:lvlText w:val="-"/>
      <w:lvlJc w:val="left"/>
      <w:pPr>
        <w:ind w:left="36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F5C39B5"/>
    <w:multiLevelType w:val="hybridMultilevel"/>
    <w:tmpl w:val="25F213E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7297EB3"/>
    <w:multiLevelType w:val="hybridMultilevel"/>
    <w:tmpl w:val="381CF2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94D2542"/>
    <w:multiLevelType w:val="hybridMultilevel"/>
    <w:tmpl w:val="251605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8717CEC"/>
    <w:multiLevelType w:val="hybridMultilevel"/>
    <w:tmpl w:val="753C115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897383D"/>
    <w:multiLevelType w:val="hybridMultilevel"/>
    <w:tmpl w:val="91781FF0"/>
    <w:lvl w:ilvl="0" w:tplc="F03E2BE6">
      <w:numFmt w:val="bullet"/>
      <w:lvlText w:val="-"/>
      <w:lvlJc w:val="left"/>
      <w:pPr>
        <w:ind w:left="36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1366DA6"/>
    <w:multiLevelType w:val="multilevel"/>
    <w:tmpl w:val="A670A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E37D38"/>
    <w:multiLevelType w:val="hybridMultilevel"/>
    <w:tmpl w:val="B89A8EF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6"/>
  </w:num>
  <w:num w:numId="5">
    <w:abstractNumId w:val="18"/>
  </w:num>
  <w:num w:numId="6">
    <w:abstractNumId w:val="13"/>
  </w:num>
  <w:num w:numId="7">
    <w:abstractNumId w:val="10"/>
  </w:num>
  <w:num w:numId="8">
    <w:abstractNumId w:val="14"/>
  </w:num>
  <w:num w:numId="9">
    <w:abstractNumId w:val="9"/>
  </w:num>
  <w:num w:numId="10">
    <w:abstractNumId w:val="11"/>
  </w:num>
  <w:num w:numId="11">
    <w:abstractNumId w:val="1"/>
  </w:num>
  <w:num w:numId="12">
    <w:abstractNumId w:val="16"/>
  </w:num>
  <w:num w:numId="13">
    <w:abstractNumId w:val="17"/>
  </w:num>
  <w:num w:numId="14">
    <w:abstractNumId w:val="0"/>
  </w:num>
  <w:num w:numId="15">
    <w:abstractNumId w:val="19"/>
  </w:num>
  <w:num w:numId="16">
    <w:abstractNumId w:val="5"/>
  </w:num>
  <w:num w:numId="17">
    <w:abstractNumId w:val="4"/>
  </w:num>
  <w:num w:numId="18">
    <w:abstractNumId w:val="15"/>
  </w:num>
  <w:num w:numId="19">
    <w:abstractNumId w:val="20"/>
  </w:num>
  <w:num w:numId="20">
    <w:abstractNumId w:val="12"/>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689"/>
    <w:rsid w:val="00012085"/>
    <w:rsid w:val="00026D6A"/>
    <w:rsid w:val="00031439"/>
    <w:rsid w:val="00034F67"/>
    <w:rsid w:val="00037780"/>
    <w:rsid w:val="00063A7D"/>
    <w:rsid w:val="000A0914"/>
    <w:rsid w:val="000D173D"/>
    <w:rsid w:val="000E73F0"/>
    <w:rsid w:val="000F1CBD"/>
    <w:rsid w:val="00120E2B"/>
    <w:rsid w:val="00133706"/>
    <w:rsid w:val="00142E48"/>
    <w:rsid w:val="001444CE"/>
    <w:rsid w:val="001448F3"/>
    <w:rsid w:val="001500D9"/>
    <w:rsid w:val="00161363"/>
    <w:rsid w:val="00181CF0"/>
    <w:rsid w:val="001905BF"/>
    <w:rsid w:val="001918D7"/>
    <w:rsid w:val="001A5945"/>
    <w:rsid w:val="001A6CFA"/>
    <w:rsid w:val="001B6C0D"/>
    <w:rsid w:val="001C342E"/>
    <w:rsid w:val="001E34B9"/>
    <w:rsid w:val="0020794F"/>
    <w:rsid w:val="00210504"/>
    <w:rsid w:val="00212BC4"/>
    <w:rsid w:val="0022093D"/>
    <w:rsid w:val="002249A1"/>
    <w:rsid w:val="00224F6C"/>
    <w:rsid w:val="00246A22"/>
    <w:rsid w:val="00260B00"/>
    <w:rsid w:val="00285128"/>
    <w:rsid w:val="002A76EC"/>
    <w:rsid w:val="002B4DC6"/>
    <w:rsid w:val="002C6221"/>
    <w:rsid w:val="002D7AA7"/>
    <w:rsid w:val="003025CB"/>
    <w:rsid w:val="00302CE5"/>
    <w:rsid w:val="00317F40"/>
    <w:rsid w:val="00327375"/>
    <w:rsid w:val="0034082D"/>
    <w:rsid w:val="00345B2A"/>
    <w:rsid w:val="0034751E"/>
    <w:rsid w:val="00380788"/>
    <w:rsid w:val="003B565D"/>
    <w:rsid w:val="003B7C5E"/>
    <w:rsid w:val="003D1777"/>
    <w:rsid w:val="003D3D9F"/>
    <w:rsid w:val="003E3265"/>
    <w:rsid w:val="003F50E3"/>
    <w:rsid w:val="00474117"/>
    <w:rsid w:val="004B08B0"/>
    <w:rsid w:val="004B2B44"/>
    <w:rsid w:val="004B2ECB"/>
    <w:rsid w:val="004B4343"/>
    <w:rsid w:val="004B7C7A"/>
    <w:rsid w:val="004C4B6F"/>
    <w:rsid w:val="004C53A0"/>
    <w:rsid w:val="004F7537"/>
    <w:rsid w:val="00532CA8"/>
    <w:rsid w:val="00551B5E"/>
    <w:rsid w:val="00554B29"/>
    <w:rsid w:val="0058595D"/>
    <w:rsid w:val="00591526"/>
    <w:rsid w:val="005970EA"/>
    <w:rsid w:val="005A6541"/>
    <w:rsid w:val="005D56C2"/>
    <w:rsid w:val="005D5C7A"/>
    <w:rsid w:val="005E27AE"/>
    <w:rsid w:val="00620472"/>
    <w:rsid w:val="006545A4"/>
    <w:rsid w:val="0065749B"/>
    <w:rsid w:val="00662F98"/>
    <w:rsid w:val="00672788"/>
    <w:rsid w:val="00672DDF"/>
    <w:rsid w:val="006748F8"/>
    <w:rsid w:val="00691622"/>
    <w:rsid w:val="006A1C07"/>
    <w:rsid w:val="006A4631"/>
    <w:rsid w:val="006B7302"/>
    <w:rsid w:val="006C00BA"/>
    <w:rsid w:val="006C2D26"/>
    <w:rsid w:val="006C5101"/>
    <w:rsid w:val="006C7C8F"/>
    <w:rsid w:val="006D173E"/>
    <w:rsid w:val="006D56B3"/>
    <w:rsid w:val="006D639F"/>
    <w:rsid w:val="006E3626"/>
    <w:rsid w:val="006E74B5"/>
    <w:rsid w:val="007357B1"/>
    <w:rsid w:val="00744AAE"/>
    <w:rsid w:val="00753CEF"/>
    <w:rsid w:val="007565C4"/>
    <w:rsid w:val="00765442"/>
    <w:rsid w:val="00796ADF"/>
    <w:rsid w:val="007B61EA"/>
    <w:rsid w:val="007B658B"/>
    <w:rsid w:val="007C3F83"/>
    <w:rsid w:val="007D0A7B"/>
    <w:rsid w:val="007E0133"/>
    <w:rsid w:val="007E2305"/>
    <w:rsid w:val="007E4D39"/>
    <w:rsid w:val="007F16C8"/>
    <w:rsid w:val="008276EC"/>
    <w:rsid w:val="008319BC"/>
    <w:rsid w:val="00840E12"/>
    <w:rsid w:val="00844304"/>
    <w:rsid w:val="008603AD"/>
    <w:rsid w:val="0087335A"/>
    <w:rsid w:val="00887E5D"/>
    <w:rsid w:val="008929FF"/>
    <w:rsid w:val="00894CF7"/>
    <w:rsid w:val="008A121D"/>
    <w:rsid w:val="008D4BF7"/>
    <w:rsid w:val="00907D07"/>
    <w:rsid w:val="00913389"/>
    <w:rsid w:val="009206C6"/>
    <w:rsid w:val="00930E90"/>
    <w:rsid w:val="0095198A"/>
    <w:rsid w:val="0097016D"/>
    <w:rsid w:val="00984014"/>
    <w:rsid w:val="00994756"/>
    <w:rsid w:val="009B6B91"/>
    <w:rsid w:val="009C526B"/>
    <w:rsid w:val="009D2AF8"/>
    <w:rsid w:val="009E294C"/>
    <w:rsid w:val="009E3CA7"/>
    <w:rsid w:val="009F3B3C"/>
    <w:rsid w:val="00A1474C"/>
    <w:rsid w:val="00A52175"/>
    <w:rsid w:val="00A71C17"/>
    <w:rsid w:val="00A852A9"/>
    <w:rsid w:val="00A94383"/>
    <w:rsid w:val="00AC1EF1"/>
    <w:rsid w:val="00AD1C5E"/>
    <w:rsid w:val="00AD41DF"/>
    <w:rsid w:val="00AE302D"/>
    <w:rsid w:val="00AF28B6"/>
    <w:rsid w:val="00B067EE"/>
    <w:rsid w:val="00B16689"/>
    <w:rsid w:val="00B3176F"/>
    <w:rsid w:val="00B33B5C"/>
    <w:rsid w:val="00B50237"/>
    <w:rsid w:val="00B55504"/>
    <w:rsid w:val="00B61C57"/>
    <w:rsid w:val="00B71857"/>
    <w:rsid w:val="00B72B1D"/>
    <w:rsid w:val="00B8295E"/>
    <w:rsid w:val="00B833CC"/>
    <w:rsid w:val="00B8422D"/>
    <w:rsid w:val="00B933B5"/>
    <w:rsid w:val="00BA5928"/>
    <w:rsid w:val="00BC284F"/>
    <w:rsid w:val="00BC7253"/>
    <w:rsid w:val="00BD2609"/>
    <w:rsid w:val="00BE272B"/>
    <w:rsid w:val="00BE7615"/>
    <w:rsid w:val="00C025E6"/>
    <w:rsid w:val="00C10FFA"/>
    <w:rsid w:val="00C12593"/>
    <w:rsid w:val="00C30CD1"/>
    <w:rsid w:val="00C452BB"/>
    <w:rsid w:val="00C542F2"/>
    <w:rsid w:val="00C663D3"/>
    <w:rsid w:val="00C671E8"/>
    <w:rsid w:val="00C71A60"/>
    <w:rsid w:val="00C81D33"/>
    <w:rsid w:val="00CA5740"/>
    <w:rsid w:val="00CA7D0C"/>
    <w:rsid w:val="00CB2EEA"/>
    <w:rsid w:val="00CC3749"/>
    <w:rsid w:val="00CD0F27"/>
    <w:rsid w:val="00D011AF"/>
    <w:rsid w:val="00D4275E"/>
    <w:rsid w:val="00D46FFF"/>
    <w:rsid w:val="00D5504A"/>
    <w:rsid w:val="00DA083B"/>
    <w:rsid w:val="00DA4DE5"/>
    <w:rsid w:val="00DA70B3"/>
    <w:rsid w:val="00DB1939"/>
    <w:rsid w:val="00DD6025"/>
    <w:rsid w:val="00DE2B45"/>
    <w:rsid w:val="00DE308E"/>
    <w:rsid w:val="00DE7B28"/>
    <w:rsid w:val="00DF7203"/>
    <w:rsid w:val="00E33BAA"/>
    <w:rsid w:val="00E76A7F"/>
    <w:rsid w:val="00E91268"/>
    <w:rsid w:val="00E96046"/>
    <w:rsid w:val="00E966BD"/>
    <w:rsid w:val="00EA1FE2"/>
    <w:rsid w:val="00EA3BDB"/>
    <w:rsid w:val="00EB69DA"/>
    <w:rsid w:val="00ED185E"/>
    <w:rsid w:val="00ED2CA4"/>
    <w:rsid w:val="00EE60FB"/>
    <w:rsid w:val="00EF2AA6"/>
    <w:rsid w:val="00EF3CD7"/>
    <w:rsid w:val="00F05E55"/>
    <w:rsid w:val="00F10768"/>
    <w:rsid w:val="00F1298E"/>
    <w:rsid w:val="00F176D7"/>
    <w:rsid w:val="00F17E0C"/>
    <w:rsid w:val="00F24C87"/>
    <w:rsid w:val="00F41010"/>
    <w:rsid w:val="00F41B75"/>
    <w:rsid w:val="00F7412E"/>
    <w:rsid w:val="00F77C8E"/>
    <w:rsid w:val="00F81CD9"/>
    <w:rsid w:val="00FA11AE"/>
    <w:rsid w:val="00FA3CF5"/>
    <w:rsid w:val="00FC758A"/>
  </w:rsids>
  <m:mathPr>
    <m:mathFont m:val="Cambria Math"/>
    <m:brkBin m:val="before"/>
    <m:brkBinSub m:val="--"/>
    <m:smallFrac m:val="0"/>
    <m:dispDef/>
    <m:lMargin m:val="0"/>
    <m:rMargin m:val="0"/>
    <m:defJc m:val="centerGroup"/>
    <m:wrapIndent m:val="1440"/>
    <m:intLim m:val="subSup"/>
    <m:naryLim m:val="undOvr"/>
  </m:mathPr>
  <w:themeFontLang w:val="en-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92FA9"/>
  <w15:chartTrackingRefBased/>
  <w15:docId w15:val="{F9A79F51-9EE2-414C-BEBF-C069F9CCA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DE"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7C8E"/>
    <w:rPr>
      <w:rFonts w:ascii="Times New Roman" w:hAnsi="Times New Roman"/>
      <w:lang w:val="de-DE"/>
    </w:rPr>
  </w:style>
  <w:style w:type="paragraph" w:styleId="Heading1">
    <w:name w:val="heading 1"/>
    <w:basedOn w:val="Normal"/>
    <w:next w:val="Normal"/>
    <w:link w:val="Heading1Char"/>
    <w:uiPriority w:val="9"/>
    <w:qFormat/>
    <w:rsid w:val="009519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B73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198A"/>
    <w:rPr>
      <w:rFonts w:asciiTheme="majorHAnsi" w:eastAsiaTheme="majorEastAsia" w:hAnsiTheme="majorHAnsi" w:cstheme="majorBidi"/>
      <w:color w:val="2F5496" w:themeColor="accent1" w:themeShade="BF"/>
      <w:sz w:val="32"/>
      <w:szCs w:val="32"/>
      <w:lang w:val="de-DE"/>
    </w:rPr>
  </w:style>
  <w:style w:type="character" w:customStyle="1" w:styleId="Heading2Char">
    <w:name w:val="Heading 2 Char"/>
    <w:basedOn w:val="DefaultParagraphFont"/>
    <w:link w:val="Heading2"/>
    <w:uiPriority w:val="9"/>
    <w:rsid w:val="006B7302"/>
    <w:rPr>
      <w:rFonts w:asciiTheme="majorHAnsi" w:eastAsiaTheme="majorEastAsia" w:hAnsiTheme="majorHAnsi" w:cstheme="majorBidi"/>
      <w:color w:val="2F5496" w:themeColor="accent1" w:themeShade="BF"/>
      <w:sz w:val="26"/>
      <w:szCs w:val="26"/>
      <w:lang w:val="de-DE"/>
    </w:rPr>
  </w:style>
  <w:style w:type="paragraph" w:customStyle="1" w:styleId="IOPAff">
    <w:name w:val="IOPAff"/>
    <w:basedOn w:val="Normal"/>
    <w:link w:val="IOPAffChar"/>
    <w:rsid w:val="007E4D39"/>
    <w:pPr>
      <w:spacing w:after="0"/>
      <w:ind w:right="2552"/>
    </w:pPr>
    <w:rPr>
      <w:rFonts w:eastAsiaTheme="minorHAnsi" w:cs="Times New Roman"/>
      <w:sz w:val="18"/>
      <w:szCs w:val="18"/>
      <w:lang w:val="en-GB" w:eastAsia="en-US"/>
    </w:rPr>
  </w:style>
  <w:style w:type="character" w:customStyle="1" w:styleId="IOPAffChar">
    <w:name w:val="IOPAff Char"/>
    <w:basedOn w:val="DefaultParagraphFont"/>
    <w:link w:val="IOPAff"/>
    <w:rsid w:val="007E4D39"/>
    <w:rPr>
      <w:rFonts w:ascii="Times New Roman" w:eastAsiaTheme="minorHAnsi" w:hAnsi="Times New Roman" w:cs="Times New Roman"/>
      <w:sz w:val="18"/>
      <w:szCs w:val="18"/>
      <w:lang w:val="en-GB" w:eastAsia="en-US"/>
    </w:rPr>
  </w:style>
  <w:style w:type="paragraph" w:customStyle="1" w:styleId="IOPH1">
    <w:name w:val="IOPH1"/>
    <w:basedOn w:val="IOPAff"/>
    <w:link w:val="IOPH1Char"/>
    <w:rsid w:val="00E33BAA"/>
    <w:pPr>
      <w:spacing w:before="200" w:after="120"/>
      <w:ind w:right="0"/>
    </w:pPr>
    <w:rPr>
      <w:b/>
    </w:rPr>
  </w:style>
  <w:style w:type="character" w:customStyle="1" w:styleId="IOPH1Char">
    <w:name w:val="IOPH1 Char"/>
    <w:basedOn w:val="IOPAffChar"/>
    <w:link w:val="IOPH1"/>
    <w:rsid w:val="00E33BAA"/>
    <w:rPr>
      <w:rFonts w:ascii="Times New Roman" w:eastAsiaTheme="minorHAnsi" w:hAnsi="Times New Roman" w:cs="Times New Roman"/>
      <w:b/>
      <w:sz w:val="18"/>
      <w:szCs w:val="18"/>
      <w:lang w:val="en-GB" w:eastAsia="en-US"/>
    </w:rPr>
  </w:style>
  <w:style w:type="paragraph" w:customStyle="1" w:styleId="IOPKwd">
    <w:name w:val="IOPKwd"/>
    <w:basedOn w:val="Normal"/>
    <w:link w:val="IOPKwdChar"/>
    <w:rsid w:val="00E33BAA"/>
    <w:pPr>
      <w:pBdr>
        <w:bottom w:val="single" w:sz="4" w:space="1" w:color="auto"/>
      </w:pBdr>
      <w:spacing w:before="240" w:after="240"/>
    </w:pPr>
    <w:rPr>
      <w:rFonts w:eastAsiaTheme="minorHAnsi"/>
      <w:sz w:val="20"/>
      <w:lang w:val="en-GB" w:eastAsia="en-US"/>
    </w:rPr>
  </w:style>
  <w:style w:type="character" w:customStyle="1" w:styleId="IOPKwdChar">
    <w:name w:val="IOPKwd Char"/>
    <w:basedOn w:val="DefaultParagraphFont"/>
    <w:link w:val="IOPKwd"/>
    <w:rsid w:val="00E33BAA"/>
    <w:rPr>
      <w:rFonts w:ascii="Times New Roman" w:eastAsiaTheme="minorHAnsi" w:hAnsi="Times New Roman"/>
      <w:sz w:val="20"/>
      <w:lang w:val="en-GB" w:eastAsia="en-US"/>
    </w:rPr>
  </w:style>
  <w:style w:type="paragraph" w:styleId="Title">
    <w:name w:val="Title"/>
    <w:basedOn w:val="Normal"/>
    <w:next w:val="Normal"/>
    <w:link w:val="TitleChar"/>
    <w:uiPriority w:val="10"/>
    <w:qFormat/>
    <w:rsid w:val="006B73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302"/>
    <w:rPr>
      <w:rFonts w:asciiTheme="majorHAnsi" w:eastAsiaTheme="majorEastAsia" w:hAnsiTheme="majorHAnsi" w:cstheme="majorBidi"/>
      <w:spacing w:val="-10"/>
      <w:kern w:val="28"/>
      <w:sz w:val="56"/>
      <w:szCs w:val="56"/>
      <w:lang w:val="de-DE"/>
    </w:rPr>
  </w:style>
  <w:style w:type="paragraph" w:styleId="Caption">
    <w:name w:val="caption"/>
    <w:basedOn w:val="Normal"/>
    <w:next w:val="Normal"/>
    <w:uiPriority w:val="35"/>
    <w:unhideWhenUsed/>
    <w:qFormat/>
    <w:rsid w:val="00317F40"/>
    <w:pPr>
      <w:spacing w:after="200" w:line="240" w:lineRule="auto"/>
    </w:pPr>
    <w:rPr>
      <w:rFonts w:eastAsiaTheme="minorHAnsi"/>
      <w:i/>
      <w:iCs/>
      <w:color w:val="44546A" w:themeColor="text2"/>
      <w:sz w:val="18"/>
      <w:szCs w:val="18"/>
      <w:lang w:val="en-DE" w:eastAsia="en-US"/>
    </w:rPr>
  </w:style>
  <w:style w:type="paragraph" w:styleId="ListParagraph">
    <w:name w:val="List Paragraph"/>
    <w:basedOn w:val="Normal"/>
    <w:uiPriority w:val="34"/>
    <w:qFormat/>
    <w:rsid w:val="00F77C8E"/>
    <w:pPr>
      <w:ind w:left="720"/>
      <w:contextualSpacing/>
    </w:pPr>
  </w:style>
  <w:style w:type="paragraph" w:styleId="FootnoteText">
    <w:name w:val="footnote text"/>
    <w:basedOn w:val="Normal"/>
    <w:link w:val="FootnoteTextChar"/>
    <w:uiPriority w:val="99"/>
    <w:semiHidden/>
    <w:unhideWhenUsed/>
    <w:rsid w:val="00BE7615"/>
    <w:pPr>
      <w:spacing w:after="0" w:line="240" w:lineRule="auto"/>
    </w:pPr>
    <w:rPr>
      <w:rFonts w:asciiTheme="minorHAnsi" w:eastAsiaTheme="minorHAnsi" w:hAnsiTheme="minorHAnsi"/>
      <w:sz w:val="20"/>
      <w:szCs w:val="20"/>
      <w:lang w:val="en-DE" w:eastAsia="en-US"/>
    </w:rPr>
  </w:style>
  <w:style w:type="character" w:customStyle="1" w:styleId="FootnoteTextChar">
    <w:name w:val="Footnote Text Char"/>
    <w:basedOn w:val="DefaultParagraphFont"/>
    <w:link w:val="FootnoteText"/>
    <w:uiPriority w:val="99"/>
    <w:semiHidden/>
    <w:rsid w:val="00BE7615"/>
    <w:rPr>
      <w:rFonts w:eastAsiaTheme="minorHAnsi"/>
      <w:sz w:val="20"/>
      <w:szCs w:val="20"/>
      <w:lang w:eastAsia="en-US"/>
    </w:rPr>
  </w:style>
  <w:style w:type="character" w:styleId="FootnoteReference">
    <w:name w:val="footnote reference"/>
    <w:basedOn w:val="DefaultParagraphFont"/>
    <w:uiPriority w:val="99"/>
    <w:semiHidden/>
    <w:unhideWhenUsed/>
    <w:rsid w:val="00BE7615"/>
    <w:rPr>
      <w:vertAlign w:val="superscript"/>
    </w:rPr>
  </w:style>
  <w:style w:type="character" w:styleId="CommentReference">
    <w:name w:val="annotation reference"/>
    <w:basedOn w:val="DefaultParagraphFont"/>
    <w:uiPriority w:val="99"/>
    <w:semiHidden/>
    <w:unhideWhenUsed/>
    <w:rsid w:val="006D56B3"/>
    <w:rPr>
      <w:sz w:val="16"/>
      <w:szCs w:val="16"/>
    </w:rPr>
  </w:style>
  <w:style w:type="paragraph" w:styleId="CommentText">
    <w:name w:val="annotation text"/>
    <w:basedOn w:val="Normal"/>
    <w:link w:val="CommentTextChar"/>
    <w:uiPriority w:val="99"/>
    <w:unhideWhenUsed/>
    <w:rsid w:val="006D56B3"/>
    <w:pPr>
      <w:spacing w:line="240" w:lineRule="auto"/>
    </w:pPr>
    <w:rPr>
      <w:sz w:val="20"/>
      <w:szCs w:val="20"/>
    </w:rPr>
  </w:style>
  <w:style w:type="character" w:customStyle="1" w:styleId="CommentTextChar">
    <w:name w:val="Comment Text Char"/>
    <w:basedOn w:val="DefaultParagraphFont"/>
    <w:link w:val="CommentText"/>
    <w:uiPriority w:val="99"/>
    <w:rsid w:val="006D56B3"/>
    <w:rPr>
      <w:rFonts w:ascii="Times New Roman" w:hAnsi="Times New Roman"/>
      <w:sz w:val="20"/>
      <w:szCs w:val="20"/>
      <w:lang w:val="de-DE"/>
    </w:rPr>
  </w:style>
  <w:style w:type="paragraph" w:styleId="CommentSubject">
    <w:name w:val="annotation subject"/>
    <w:basedOn w:val="CommentText"/>
    <w:next w:val="CommentText"/>
    <w:link w:val="CommentSubjectChar"/>
    <w:uiPriority w:val="99"/>
    <w:semiHidden/>
    <w:unhideWhenUsed/>
    <w:rsid w:val="006D56B3"/>
    <w:rPr>
      <w:b/>
      <w:bCs/>
    </w:rPr>
  </w:style>
  <w:style w:type="character" w:customStyle="1" w:styleId="CommentSubjectChar">
    <w:name w:val="Comment Subject Char"/>
    <w:basedOn w:val="CommentTextChar"/>
    <w:link w:val="CommentSubject"/>
    <w:uiPriority w:val="99"/>
    <w:semiHidden/>
    <w:rsid w:val="006D56B3"/>
    <w:rPr>
      <w:rFonts w:ascii="Times New Roman" w:hAnsi="Times New Roman"/>
      <w:b/>
      <w:bCs/>
      <w:sz w:val="20"/>
      <w:szCs w:val="20"/>
      <w:lang w:val="de-DE"/>
    </w:rPr>
  </w:style>
  <w:style w:type="paragraph" w:styleId="BalloonText">
    <w:name w:val="Balloon Text"/>
    <w:basedOn w:val="Normal"/>
    <w:link w:val="BalloonTextChar"/>
    <w:uiPriority w:val="99"/>
    <w:semiHidden/>
    <w:unhideWhenUsed/>
    <w:rsid w:val="006D56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6B3"/>
    <w:rPr>
      <w:rFonts w:ascii="Segoe UI" w:hAnsi="Segoe UI" w:cs="Segoe UI"/>
      <w:sz w:val="18"/>
      <w:szCs w:val="18"/>
      <w:lang w:val="de-DE"/>
    </w:rPr>
  </w:style>
  <w:style w:type="paragraph" w:styleId="NormalWeb">
    <w:name w:val="Normal (Web)"/>
    <w:basedOn w:val="Normal"/>
    <w:uiPriority w:val="99"/>
    <w:semiHidden/>
    <w:unhideWhenUsed/>
    <w:rsid w:val="00913389"/>
    <w:pPr>
      <w:spacing w:before="100" w:beforeAutospacing="1" w:after="100" w:afterAutospacing="1" w:line="240" w:lineRule="auto"/>
    </w:pPr>
    <w:rPr>
      <w:rFonts w:eastAsia="Times New Roman" w:cs="Times New Roman"/>
      <w:sz w:val="24"/>
      <w:szCs w:val="24"/>
      <w:lang w:val="en-DE"/>
    </w:rPr>
  </w:style>
  <w:style w:type="table" w:styleId="TableGrid">
    <w:name w:val="Table Grid"/>
    <w:basedOn w:val="TableNormal"/>
    <w:uiPriority w:val="39"/>
    <w:rsid w:val="00EF2A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57583">
      <w:bodyDiv w:val="1"/>
      <w:marLeft w:val="0"/>
      <w:marRight w:val="0"/>
      <w:marTop w:val="0"/>
      <w:marBottom w:val="0"/>
      <w:divBdr>
        <w:top w:val="none" w:sz="0" w:space="0" w:color="auto"/>
        <w:left w:val="none" w:sz="0" w:space="0" w:color="auto"/>
        <w:bottom w:val="none" w:sz="0" w:space="0" w:color="auto"/>
        <w:right w:val="none" w:sz="0" w:space="0" w:color="auto"/>
      </w:divBdr>
    </w:div>
    <w:div w:id="271666841">
      <w:bodyDiv w:val="1"/>
      <w:marLeft w:val="0"/>
      <w:marRight w:val="0"/>
      <w:marTop w:val="0"/>
      <w:marBottom w:val="0"/>
      <w:divBdr>
        <w:top w:val="none" w:sz="0" w:space="0" w:color="auto"/>
        <w:left w:val="none" w:sz="0" w:space="0" w:color="auto"/>
        <w:bottom w:val="none" w:sz="0" w:space="0" w:color="auto"/>
        <w:right w:val="none" w:sz="0" w:space="0" w:color="auto"/>
      </w:divBdr>
    </w:div>
    <w:div w:id="468941575">
      <w:bodyDiv w:val="1"/>
      <w:marLeft w:val="0"/>
      <w:marRight w:val="0"/>
      <w:marTop w:val="0"/>
      <w:marBottom w:val="0"/>
      <w:divBdr>
        <w:top w:val="none" w:sz="0" w:space="0" w:color="auto"/>
        <w:left w:val="none" w:sz="0" w:space="0" w:color="auto"/>
        <w:bottom w:val="none" w:sz="0" w:space="0" w:color="auto"/>
        <w:right w:val="none" w:sz="0" w:space="0" w:color="auto"/>
      </w:divBdr>
    </w:div>
    <w:div w:id="536091786">
      <w:bodyDiv w:val="1"/>
      <w:marLeft w:val="0"/>
      <w:marRight w:val="0"/>
      <w:marTop w:val="0"/>
      <w:marBottom w:val="0"/>
      <w:divBdr>
        <w:top w:val="none" w:sz="0" w:space="0" w:color="auto"/>
        <w:left w:val="none" w:sz="0" w:space="0" w:color="auto"/>
        <w:bottom w:val="none" w:sz="0" w:space="0" w:color="auto"/>
        <w:right w:val="none" w:sz="0" w:space="0" w:color="auto"/>
      </w:divBdr>
    </w:div>
    <w:div w:id="583338184">
      <w:bodyDiv w:val="1"/>
      <w:marLeft w:val="0"/>
      <w:marRight w:val="0"/>
      <w:marTop w:val="0"/>
      <w:marBottom w:val="0"/>
      <w:divBdr>
        <w:top w:val="none" w:sz="0" w:space="0" w:color="auto"/>
        <w:left w:val="none" w:sz="0" w:space="0" w:color="auto"/>
        <w:bottom w:val="none" w:sz="0" w:space="0" w:color="auto"/>
        <w:right w:val="none" w:sz="0" w:space="0" w:color="auto"/>
      </w:divBdr>
    </w:div>
    <w:div w:id="604384606">
      <w:bodyDiv w:val="1"/>
      <w:marLeft w:val="0"/>
      <w:marRight w:val="0"/>
      <w:marTop w:val="0"/>
      <w:marBottom w:val="0"/>
      <w:divBdr>
        <w:top w:val="none" w:sz="0" w:space="0" w:color="auto"/>
        <w:left w:val="none" w:sz="0" w:space="0" w:color="auto"/>
        <w:bottom w:val="none" w:sz="0" w:space="0" w:color="auto"/>
        <w:right w:val="none" w:sz="0" w:space="0" w:color="auto"/>
      </w:divBdr>
    </w:div>
    <w:div w:id="712118751">
      <w:bodyDiv w:val="1"/>
      <w:marLeft w:val="0"/>
      <w:marRight w:val="0"/>
      <w:marTop w:val="0"/>
      <w:marBottom w:val="0"/>
      <w:divBdr>
        <w:top w:val="none" w:sz="0" w:space="0" w:color="auto"/>
        <w:left w:val="none" w:sz="0" w:space="0" w:color="auto"/>
        <w:bottom w:val="none" w:sz="0" w:space="0" w:color="auto"/>
        <w:right w:val="none" w:sz="0" w:space="0" w:color="auto"/>
      </w:divBdr>
    </w:div>
    <w:div w:id="1002665823">
      <w:bodyDiv w:val="1"/>
      <w:marLeft w:val="0"/>
      <w:marRight w:val="0"/>
      <w:marTop w:val="0"/>
      <w:marBottom w:val="0"/>
      <w:divBdr>
        <w:top w:val="none" w:sz="0" w:space="0" w:color="auto"/>
        <w:left w:val="none" w:sz="0" w:space="0" w:color="auto"/>
        <w:bottom w:val="none" w:sz="0" w:space="0" w:color="auto"/>
        <w:right w:val="none" w:sz="0" w:space="0" w:color="auto"/>
      </w:divBdr>
    </w:div>
    <w:div w:id="1047872778">
      <w:bodyDiv w:val="1"/>
      <w:marLeft w:val="0"/>
      <w:marRight w:val="0"/>
      <w:marTop w:val="0"/>
      <w:marBottom w:val="0"/>
      <w:divBdr>
        <w:top w:val="none" w:sz="0" w:space="0" w:color="auto"/>
        <w:left w:val="none" w:sz="0" w:space="0" w:color="auto"/>
        <w:bottom w:val="none" w:sz="0" w:space="0" w:color="auto"/>
        <w:right w:val="none" w:sz="0" w:space="0" w:color="auto"/>
      </w:divBdr>
    </w:div>
    <w:div w:id="1070036354">
      <w:bodyDiv w:val="1"/>
      <w:marLeft w:val="0"/>
      <w:marRight w:val="0"/>
      <w:marTop w:val="0"/>
      <w:marBottom w:val="0"/>
      <w:divBdr>
        <w:top w:val="none" w:sz="0" w:space="0" w:color="auto"/>
        <w:left w:val="none" w:sz="0" w:space="0" w:color="auto"/>
        <w:bottom w:val="none" w:sz="0" w:space="0" w:color="auto"/>
        <w:right w:val="none" w:sz="0" w:space="0" w:color="auto"/>
      </w:divBdr>
    </w:div>
    <w:div w:id="1239049326">
      <w:bodyDiv w:val="1"/>
      <w:marLeft w:val="0"/>
      <w:marRight w:val="0"/>
      <w:marTop w:val="0"/>
      <w:marBottom w:val="0"/>
      <w:divBdr>
        <w:top w:val="none" w:sz="0" w:space="0" w:color="auto"/>
        <w:left w:val="none" w:sz="0" w:space="0" w:color="auto"/>
        <w:bottom w:val="none" w:sz="0" w:space="0" w:color="auto"/>
        <w:right w:val="none" w:sz="0" w:space="0" w:color="auto"/>
      </w:divBdr>
    </w:div>
    <w:div w:id="1346400170">
      <w:bodyDiv w:val="1"/>
      <w:marLeft w:val="0"/>
      <w:marRight w:val="0"/>
      <w:marTop w:val="0"/>
      <w:marBottom w:val="0"/>
      <w:divBdr>
        <w:top w:val="none" w:sz="0" w:space="0" w:color="auto"/>
        <w:left w:val="none" w:sz="0" w:space="0" w:color="auto"/>
        <w:bottom w:val="none" w:sz="0" w:space="0" w:color="auto"/>
        <w:right w:val="none" w:sz="0" w:space="0" w:color="auto"/>
      </w:divBdr>
    </w:div>
    <w:div w:id="1425107437">
      <w:bodyDiv w:val="1"/>
      <w:marLeft w:val="0"/>
      <w:marRight w:val="0"/>
      <w:marTop w:val="0"/>
      <w:marBottom w:val="0"/>
      <w:divBdr>
        <w:top w:val="none" w:sz="0" w:space="0" w:color="auto"/>
        <w:left w:val="none" w:sz="0" w:space="0" w:color="auto"/>
        <w:bottom w:val="none" w:sz="0" w:space="0" w:color="auto"/>
        <w:right w:val="none" w:sz="0" w:space="0" w:color="auto"/>
      </w:divBdr>
    </w:div>
    <w:div w:id="214650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D748E-91ED-43F8-BA5B-A8257B27E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12</Pages>
  <Words>3234</Words>
  <Characters>18435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Merfort</dc:creator>
  <cp:keywords/>
  <dc:description/>
  <cp:lastModifiedBy>Anne Merfort</cp:lastModifiedBy>
  <cp:revision>86</cp:revision>
  <dcterms:created xsi:type="dcterms:W3CDTF">2025-08-08T16:01:00Z</dcterms:created>
  <dcterms:modified xsi:type="dcterms:W3CDTF">2026-08-29T13:05:00Z</dcterms:modified>
</cp:coreProperties>
</file>