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spacing w:before="0" w:after="120"/>
      </w:pPr>
      <w:r>
        <w:rPr>
          <w:rFonts w:ascii="Times New Roman" w:hAnsi="Times New Roman" w:eastAsia="Times New Roman"/>
          <w:b/>
          <w:sz w:val="22"/>
        </w:rPr>
        <w:t>Supplementary Table 2. Variance inflation factor diagnosis for candidate predictors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4320"/>
        <w:gridCol w:w="4320"/>
      </w:tblGrid>
      <w:tr>
        <w:tc>
          <w:tcPr>
            <w:tcW w:type="dxa" w:w="5000"/>
            <w:tcBorders>
              <w:top w:val="single" w:sz="12" w:space="0" w:color="000000"/>
              <w:bottom w:val="single" w:sz="6"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sz w:val="20"/>
              </w:rPr>
              <w:t>Variable</w:t>
            </w:r>
          </w:p>
        </w:tc>
        <w:tc>
          <w:tcPr>
            <w:tcW w:type="dxa" w:w="1600"/>
            <w:tcBorders>
              <w:top w:val="single" w:sz="12" w:space="0" w:color="000000"/>
              <w:bottom w:val="single" w:sz="6"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sz w:val="20"/>
              </w:rPr>
              <w:t>VIF</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Oocytes retrieved (n)</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4.87</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≥14 mm follicles (n)</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4.63</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PFI (trigger-day P / ≥14 mm follicles)</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4.08</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Trigger-day P (ng/mL)</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3.77</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POI (trigger-day P / oocytes)</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3.55</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Trigger-day E₂ (pg/mL)</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2.44</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AFC (n)</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2.43</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Available embryos (n)</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2.17</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AMH (ng/mL)</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2.09</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Total Gn dose (IU)</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1.54</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Female age (years)</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1.40</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bFSH (IU/L)</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1.21</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Infertility duration (years)</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1.08</w:t>
            </w:r>
          </w:p>
        </w:tc>
      </w:tr>
      <w:tr>
        <w:tc>
          <w:tcPr>
            <w:tcW w:type="dxa" w:w="5000"/>
            <w:tcBorders>
              <w:top w:val="nil" w:sz="4"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Embryos transferred (n)</w:t>
            </w:r>
          </w:p>
        </w:tc>
        <w:tc>
          <w:tcPr>
            <w:tcW w:type="dxa" w:w="1600"/>
            <w:tcBorders>
              <w:top w:val="nil" w:sz="4"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1.08</w:t>
            </w:r>
          </w:p>
        </w:tc>
      </w:tr>
      <w:tr>
        <w:tc>
          <w:tcPr>
            <w:tcW w:type="dxa" w:w="5000"/>
            <w:tcBorders>
              <w:top w:val="nil" w:sz="4" w:space="0" w:color="000000"/>
              <w:bottom w:val="single" w:sz="12" w:space="0" w:color="000000"/>
              <w:left w:val="nil" w:sz="4" w:space="0" w:color="000000"/>
              <w:right w:val="nil" w:sz="4" w:space="0" w:color="000000"/>
            </w:tcBorders>
          </w:tcPr>
          <w:p>
            <w:pPr>
              <w:jc w:val="left"/>
              <w:spacing w:before="0" w:after="0" w:line="240" w:lineRule="auto"/>
            </w:pPr>
            <w:r/>
            <w:r>
              <w:rPr>
                <w:rFonts w:ascii="Times New Roman" w:hAnsi="Times New Roman" w:eastAsia="Times New Roman"/>
                <w:b w:val="0"/>
                <w:sz w:val="20"/>
              </w:rPr>
              <w:t>Endometrial thickness (mm)</w:t>
            </w:r>
          </w:p>
        </w:tc>
        <w:tc>
          <w:tcPr>
            <w:tcW w:type="dxa" w:w="1600"/>
            <w:tcBorders>
              <w:top w:val="nil" w:sz="4" w:space="0" w:color="000000"/>
              <w:bottom w:val="single" w:sz="12" w:space="0" w:color="000000"/>
              <w:left w:val="nil" w:sz="4" w:space="0" w:color="000000"/>
              <w:right w:val="nil" w:sz="4" w:space="0" w:color="000000"/>
            </w:tcBorders>
          </w:tcPr>
          <w:p>
            <w:pPr>
              <w:jc w:val="center"/>
              <w:spacing w:before="0" w:after="0" w:line="240" w:lineRule="auto"/>
            </w:pPr>
            <w:r/>
            <w:r>
              <w:rPr>
                <w:rFonts w:ascii="Times New Roman" w:hAnsi="Times New Roman" w:eastAsia="Times New Roman"/>
                <w:b w:val="0"/>
                <w:sz w:val="20"/>
              </w:rPr>
              <w:t>1.04</w:t>
            </w:r>
          </w:p>
        </w:tc>
      </w:tr>
    </w:tbl>
    <w:p>
      <w:pPr>
        <w:jc w:val="left"/>
        <w:spacing w:before="60" w:after="0" w:line="240" w:lineRule="auto"/>
      </w:pPr>
      <w:r>
        <w:rPr>
          <w:rFonts w:ascii="Times New Roman" w:hAnsi="Times New Roman" w:eastAsia="Times New Roman"/>
          <w:sz w:val="18"/>
        </w:rPr>
        <w:t>Variance inflation factors (VIF) were computed for all 15 candidate predictors retained after univariable screening. All VIF values were below 5, indicating absence of substantial multicollinearity. Variables are ordered by descending VIF.</w:t>
      </w:r>
    </w:p>
    <w:p>
      <w:pPr>
        <w:jc w:val="left"/>
        <w:spacing w:before="60" w:after="0" w:line="240" w:lineRule="auto"/>
      </w:pPr>
      <w:r>
        <w:rPr>
          <w:rFonts w:ascii="Times New Roman" w:hAnsi="Times New Roman" w:eastAsia="Times New Roman"/>
          <w:sz w:val="18"/>
        </w:rPr>
        <w:t>Abbreviations: AFC, antral follicle count; AMH, anti-Müllerian hormone; bFSH, basal follicle-stimulating hormone; E₂, estradiol; Gn, gonadotropin; IU, international units; P, progesterone; PFI, progesterone-to-follicle index; POI, progesterone-to-oocyte index; VIF, variance inflation factor.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