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spacing w:before="0" w:after="120"/>
      </w:pPr>
      <w:r>
        <w:rPr>
          <w:rFonts w:ascii="Times New Roman" w:hAnsi="Times New Roman" w:eastAsia="Times New Roman"/>
          <w:b/>
          <w:sz w:val="22"/>
        </w:rPr>
        <w:t>Supplementary Table 1. Univariable logistic regression analysis for live birth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3600"/>
            <w:tcBorders>
              <w:top w:val="single" w:sz="12" w:space="0" w:color="000000"/>
              <w:bottom w:val="single" w:sz="6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left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/>
                <w:sz w:val="20"/>
              </w:rPr>
              <w:t>Variable</w:t>
            </w:r>
          </w:p>
        </w:tc>
        <w:tc>
          <w:tcPr>
            <w:tcW w:type="dxa" w:w="2800"/>
            <w:tcBorders>
              <w:top w:val="single" w:sz="12" w:space="0" w:color="000000"/>
              <w:bottom w:val="single" w:sz="6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/>
                <w:sz w:val="20"/>
              </w:rPr>
              <w:t>OR (95% CI)</w:t>
            </w:r>
          </w:p>
        </w:tc>
        <w:tc>
          <w:tcPr>
            <w:tcW w:type="dxa" w:w="1300"/>
            <w:tcBorders>
              <w:top w:val="single" w:sz="12" w:space="0" w:color="000000"/>
              <w:bottom w:val="single" w:sz="6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/>
                <w:sz w:val="20"/>
              </w:rPr>
              <w:t>P-value</w:t>
            </w:r>
          </w:p>
        </w:tc>
        <w:tc>
          <w:tcPr>
            <w:tcW w:type="dxa" w:w="1100"/>
            <w:tcBorders>
              <w:top w:val="single" w:sz="12" w:space="0" w:color="000000"/>
              <w:bottom w:val="single" w:sz="6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/>
                <w:sz w:val="20"/>
              </w:rPr>
              <w:t>AUC</w:t>
            </w:r>
          </w:p>
        </w:tc>
        <w:tc>
          <w:tcPr>
            <w:tcW w:type="dxa" w:w="1900"/>
            <w:tcBorders>
              <w:top w:val="single" w:sz="12" w:space="0" w:color="000000"/>
              <w:bottom w:val="single" w:sz="6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/>
                <w:sz w:val="20"/>
              </w:rPr>
              <w:t>Candidate (P &lt; 0.10)</w:t>
            </w:r>
          </w:p>
        </w:tc>
      </w:tr>
      <w:tr>
        <w:tc>
          <w:tcPr>
            <w:tcW w:type="dxa" w:w="36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left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Female age (years)</w:t>
            </w:r>
          </w:p>
        </w:tc>
        <w:tc>
          <w:tcPr>
            <w:tcW w:type="dxa" w:w="28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0.921 (0.902–0.940)</w:t>
            </w:r>
          </w:p>
        </w:tc>
        <w:tc>
          <w:tcPr>
            <w:tcW w:type="dxa" w:w="13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&lt;0.001</w:t>
            </w:r>
          </w:p>
        </w:tc>
        <w:tc>
          <w:tcPr>
            <w:tcW w:type="dxa" w:w="11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0.603</w:t>
            </w:r>
          </w:p>
        </w:tc>
        <w:tc>
          <w:tcPr>
            <w:tcW w:type="dxa" w:w="19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Yes</w:t>
            </w:r>
          </w:p>
        </w:tc>
      </w:tr>
      <w:tr>
        <w:tc>
          <w:tcPr>
            <w:tcW w:type="dxa" w:w="36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left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Available embryos (n)</w:t>
            </w:r>
          </w:p>
        </w:tc>
        <w:tc>
          <w:tcPr>
            <w:tcW w:type="dxa" w:w="28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1.170 (1.123–1.220)</w:t>
            </w:r>
          </w:p>
        </w:tc>
        <w:tc>
          <w:tcPr>
            <w:tcW w:type="dxa" w:w="13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&lt;0.001</w:t>
            </w:r>
          </w:p>
        </w:tc>
        <w:tc>
          <w:tcPr>
            <w:tcW w:type="dxa" w:w="11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0.621</w:t>
            </w:r>
          </w:p>
        </w:tc>
        <w:tc>
          <w:tcPr>
            <w:tcW w:type="dxa" w:w="19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Yes</w:t>
            </w:r>
          </w:p>
        </w:tc>
      </w:tr>
      <w:tr>
        <w:tc>
          <w:tcPr>
            <w:tcW w:type="dxa" w:w="36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left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POI (trigger-day P / oocytes)</w:t>
            </w:r>
          </w:p>
        </w:tc>
        <w:tc>
          <w:tcPr>
            <w:tcW w:type="dxa" w:w="28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0.004 (0.001–0.034)</w:t>
            </w:r>
          </w:p>
        </w:tc>
        <w:tc>
          <w:tcPr>
            <w:tcW w:type="dxa" w:w="13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&lt;0.001</w:t>
            </w:r>
          </w:p>
        </w:tc>
        <w:tc>
          <w:tcPr>
            <w:tcW w:type="dxa" w:w="11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0.573</w:t>
            </w:r>
          </w:p>
        </w:tc>
        <w:tc>
          <w:tcPr>
            <w:tcW w:type="dxa" w:w="19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Yes</w:t>
            </w:r>
          </w:p>
        </w:tc>
      </w:tr>
      <w:tr>
        <w:tc>
          <w:tcPr>
            <w:tcW w:type="dxa" w:w="36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left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Oocytes retrieved (n)</w:t>
            </w:r>
          </w:p>
        </w:tc>
        <w:tc>
          <w:tcPr>
            <w:tcW w:type="dxa" w:w="28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1.059 (1.035–1.083)</w:t>
            </w:r>
          </w:p>
        </w:tc>
        <w:tc>
          <w:tcPr>
            <w:tcW w:type="dxa" w:w="13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&lt;0.001</w:t>
            </w:r>
          </w:p>
        </w:tc>
        <w:tc>
          <w:tcPr>
            <w:tcW w:type="dxa" w:w="11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0.582</w:t>
            </w:r>
          </w:p>
        </w:tc>
        <w:tc>
          <w:tcPr>
            <w:tcW w:type="dxa" w:w="19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Yes</w:t>
            </w:r>
          </w:p>
        </w:tc>
      </w:tr>
      <w:tr>
        <w:tc>
          <w:tcPr>
            <w:tcW w:type="dxa" w:w="36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left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≥14 mm follicles (n)</w:t>
            </w:r>
          </w:p>
        </w:tc>
        <w:tc>
          <w:tcPr>
            <w:tcW w:type="dxa" w:w="28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1.072 (1.041–1.104)</w:t>
            </w:r>
          </w:p>
        </w:tc>
        <w:tc>
          <w:tcPr>
            <w:tcW w:type="dxa" w:w="13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&lt;0.001</w:t>
            </w:r>
          </w:p>
        </w:tc>
        <w:tc>
          <w:tcPr>
            <w:tcW w:type="dxa" w:w="11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0.571</w:t>
            </w:r>
          </w:p>
        </w:tc>
        <w:tc>
          <w:tcPr>
            <w:tcW w:type="dxa" w:w="19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Yes</w:t>
            </w:r>
          </w:p>
        </w:tc>
      </w:tr>
      <w:tr>
        <w:tc>
          <w:tcPr>
            <w:tcW w:type="dxa" w:w="36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left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PFI (trigger-day P / ≥14 mm follicles)</w:t>
            </w:r>
          </w:p>
        </w:tc>
        <w:tc>
          <w:tcPr>
            <w:tcW w:type="dxa" w:w="28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0.013 (0.002–0.084)</w:t>
            </w:r>
          </w:p>
        </w:tc>
        <w:tc>
          <w:tcPr>
            <w:tcW w:type="dxa" w:w="13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&lt;0.001</w:t>
            </w:r>
          </w:p>
        </w:tc>
        <w:tc>
          <w:tcPr>
            <w:tcW w:type="dxa" w:w="11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0.564</w:t>
            </w:r>
          </w:p>
        </w:tc>
        <w:tc>
          <w:tcPr>
            <w:tcW w:type="dxa" w:w="19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Yes</w:t>
            </w:r>
          </w:p>
        </w:tc>
      </w:tr>
      <w:tr>
        <w:tc>
          <w:tcPr>
            <w:tcW w:type="dxa" w:w="36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left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AFC (n)</w:t>
            </w:r>
          </w:p>
        </w:tc>
        <w:tc>
          <w:tcPr>
            <w:tcW w:type="dxa" w:w="28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1.037 (1.019–1.055)</w:t>
            </w:r>
          </w:p>
        </w:tc>
        <w:tc>
          <w:tcPr>
            <w:tcW w:type="dxa" w:w="13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&lt;0.001</w:t>
            </w:r>
          </w:p>
        </w:tc>
        <w:tc>
          <w:tcPr>
            <w:tcW w:type="dxa" w:w="11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0.563</w:t>
            </w:r>
          </w:p>
        </w:tc>
        <w:tc>
          <w:tcPr>
            <w:tcW w:type="dxa" w:w="19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Yes</w:t>
            </w:r>
          </w:p>
        </w:tc>
      </w:tr>
      <w:tr>
        <w:tc>
          <w:tcPr>
            <w:tcW w:type="dxa" w:w="36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left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Trigger-day E₂ (pg/mL)</w:t>
            </w:r>
          </w:p>
        </w:tc>
        <w:tc>
          <w:tcPr>
            <w:tcW w:type="dxa" w:w="28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1.000 (1.000–1.000)</w:t>
            </w:r>
          </w:p>
        </w:tc>
        <w:tc>
          <w:tcPr>
            <w:tcW w:type="dxa" w:w="13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&lt;0.001</w:t>
            </w:r>
          </w:p>
        </w:tc>
        <w:tc>
          <w:tcPr>
            <w:tcW w:type="dxa" w:w="11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0.560</w:t>
            </w:r>
          </w:p>
        </w:tc>
        <w:tc>
          <w:tcPr>
            <w:tcW w:type="dxa" w:w="19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Yes</w:t>
            </w:r>
          </w:p>
        </w:tc>
      </w:tr>
      <w:tr>
        <w:tc>
          <w:tcPr>
            <w:tcW w:type="dxa" w:w="36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left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Infertility duration (years)</w:t>
            </w:r>
          </w:p>
        </w:tc>
        <w:tc>
          <w:tcPr>
            <w:tcW w:type="dxa" w:w="28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0.933 (0.898–0.969)</w:t>
            </w:r>
          </w:p>
        </w:tc>
        <w:tc>
          <w:tcPr>
            <w:tcW w:type="dxa" w:w="13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&lt;0.001</w:t>
            </w:r>
          </w:p>
        </w:tc>
        <w:tc>
          <w:tcPr>
            <w:tcW w:type="dxa" w:w="11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0.541</w:t>
            </w:r>
          </w:p>
        </w:tc>
        <w:tc>
          <w:tcPr>
            <w:tcW w:type="dxa" w:w="19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Yes</w:t>
            </w:r>
          </w:p>
        </w:tc>
      </w:tr>
      <w:tr>
        <w:tc>
          <w:tcPr>
            <w:tcW w:type="dxa" w:w="36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left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Endometrial thickness (mm)</w:t>
            </w:r>
          </w:p>
        </w:tc>
        <w:tc>
          <w:tcPr>
            <w:tcW w:type="dxa" w:w="28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1.103 (1.044–1.164)</w:t>
            </w:r>
          </w:p>
        </w:tc>
        <w:tc>
          <w:tcPr>
            <w:tcW w:type="dxa" w:w="13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&lt;0.001</w:t>
            </w:r>
          </w:p>
        </w:tc>
        <w:tc>
          <w:tcPr>
            <w:tcW w:type="dxa" w:w="11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0.549</w:t>
            </w:r>
          </w:p>
        </w:tc>
        <w:tc>
          <w:tcPr>
            <w:tcW w:type="dxa" w:w="19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Yes</w:t>
            </w:r>
          </w:p>
        </w:tc>
      </w:tr>
      <w:tr>
        <w:tc>
          <w:tcPr>
            <w:tcW w:type="dxa" w:w="36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left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Total Gn dose (IU)</w:t>
            </w:r>
          </w:p>
        </w:tc>
        <w:tc>
          <w:tcPr>
            <w:tcW w:type="dxa" w:w="28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1.000 (1.000–1.000)</w:t>
            </w:r>
          </w:p>
        </w:tc>
        <w:tc>
          <w:tcPr>
            <w:tcW w:type="dxa" w:w="13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0.012</w:t>
            </w:r>
          </w:p>
        </w:tc>
        <w:tc>
          <w:tcPr>
            <w:tcW w:type="dxa" w:w="11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0.538</w:t>
            </w:r>
          </w:p>
        </w:tc>
        <w:tc>
          <w:tcPr>
            <w:tcW w:type="dxa" w:w="19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Yes</w:t>
            </w:r>
          </w:p>
        </w:tc>
      </w:tr>
      <w:tr>
        <w:tc>
          <w:tcPr>
            <w:tcW w:type="dxa" w:w="36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left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AMH (ng/mL)</w:t>
            </w:r>
          </w:p>
        </w:tc>
        <w:tc>
          <w:tcPr>
            <w:tcW w:type="dxa" w:w="28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1.038 (1.006–1.071)</w:t>
            </w:r>
          </w:p>
        </w:tc>
        <w:tc>
          <w:tcPr>
            <w:tcW w:type="dxa" w:w="13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0.021</w:t>
            </w:r>
          </w:p>
        </w:tc>
        <w:tc>
          <w:tcPr>
            <w:tcW w:type="dxa" w:w="11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0.556</w:t>
            </w:r>
          </w:p>
        </w:tc>
        <w:tc>
          <w:tcPr>
            <w:tcW w:type="dxa" w:w="19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Yes</w:t>
            </w:r>
          </w:p>
        </w:tc>
      </w:tr>
      <w:tr>
        <w:tc>
          <w:tcPr>
            <w:tcW w:type="dxa" w:w="36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left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bFSH (IU/L)</w:t>
            </w:r>
          </w:p>
        </w:tc>
        <w:tc>
          <w:tcPr>
            <w:tcW w:type="dxa" w:w="28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0.955 (0.915–0.997)</w:t>
            </w:r>
          </w:p>
        </w:tc>
        <w:tc>
          <w:tcPr>
            <w:tcW w:type="dxa" w:w="13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0.034</w:t>
            </w:r>
          </w:p>
        </w:tc>
        <w:tc>
          <w:tcPr>
            <w:tcW w:type="dxa" w:w="11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0.537</w:t>
            </w:r>
          </w:p>
        </w:tc>
        <w:tc>
          <w:tcPr>
            <w:tcW w:type="dxa" w:w="19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Yes</w:t>
            </w:r>
          </w:p>
        </w:tc>
      </w:tr>
      <w:tr>
        <w:tc>
          <w:tcPr>
            <w:tcW w:type="dxa" w:w="36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left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Embryos transferred (n)</w:t>
            </w:r>
          </w:p>
        </w:tc>
        <w:tc>
          <w:tcPr>
            <w:tcW w:type="dxa" w:w="28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1.223 (1.004–1.489)</w:t>
            </w:r>
          </w:p>
        </w:tc>
        <w:tc>
          <w:tcPr>
            <w:tcW w:type="dxa" w:w="13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0.045</w:t>
            </w:r>
          </w:p>
        </w:tc>
        <w:tc>
          <w:tcPr>
            <w:tcW w:type="dxa" w:w="11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0.528</w:t>
            </w:r>
          </w:p>
        </w:tc>
        <w:tc>
          <w:tcPr>
            <w:tcW w:type="dxa" w:w="19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Yes</w:t>
            </w:r>
          </w:p>
        </w:tc>
      </w:tr>
      <w:tr>
        <w:tc>
          <w:tcPr>
            <w:tcW w:type="dxa" w:w="36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left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Trigger-day LH (IU/L)</w:t>
            </w:r>
          </w:p>
        </w:tc>
        <w:tc>
          <w:tcPr>
            <w:tcW w:type="dxa" w:w="28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0.967 (0.928–1.008)</w:t>
            </w:r>
          </w:p>
        </w:tc>
        <w:tc>
          <w:tcPr>
            <w:tcW w:type="dxa" w:w="13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0.109</w:t>
            </w:r>
          </w:p>
        </w:tc>
        <w:tc>
          <w:tcPr>
            <w:tcW w:type="dxa" w:w="11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0.514</w:t>
            </w:r>
          </w:p>
        </w:tc>
        <w:tc>
          <w:tcPr>
            <w:tcW w:type="dxa" w:w="19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No</w:t>
            </w:r>
          </w:p>
        </w:tc>
      </w:tr>
      <w:tr>
        <w:tc>
          <w:tcPr>
            <w:tcW w:type="dxa" w:w="36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left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BMI (kg/m²)</w:t>
            </w:r>
          </w:p>
        </w:tc>
        <w:tc>
          <w:tcPr>
            <w:tcW w:type="dxa" w:w="28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0.979 (0.946–1.013)</w:t>
            </w:r>
          </w:p>
        </w:tc>
        <w:tc>
          <w:tcPr>
            <w:tcW w:type="dxa" w:w="13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0.228</w:t>
            </w:r>
          </w:p>
        </w:tc>
        <w:tc>
          <w:tcPr>
            <w:tcW w:type="dxa" w:w="11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0.517</w:t>
            </w:r>
          </w:p>
        </w:tc>
        <w:tc>
          <w:tcPr>
            <w:tcW w:type="dxa" w:w="1900"/>
            <w:tcBorders>
              <w:top w:val="nil" w:sz="4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No</w:t>
            </w:r>
          </w:p>
        </w:tc>
      </w:tr>
      <w:tr>
        <w:tc>
          <w:tcPr>
            <w:tcW w:type="dxa" w:w="3600"/>
            <w:tcBorders>
              <w:top w:val="nil" w:sz="4" w:space="0" w:color="000000"/>
              <w:bottom w:val="single" w:sz="12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left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Trigger-day P (ng/mL)</w:t>
            </w:r>
          </w:p>
        </w:tc>
        <w:tc>
          <w:tcPr>
            <w:tcW w:type="dxa" w:w="2800"/>
            <w:tcBorders>
              <w:top w:val="nil" w:sz="4" w:space="0" w:color="000000"/>
              <w:bottom w:val="single" w:sz="12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1.018 (0.728–1.424)</w:t>
            </w:r>
          </w:p>
        </w:tc>
        <w:tc>
          <w:tcPr>
            <w:tcW w:type="dxa" w:w="1300"/>
            <w:tcBorders>
              <w:top w:val="nil" w:sz="4" w:space="0" w:color="000000"/>
              <w:bottom w:val="single" w:sz="12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0.916</w:t>
            </w:r>
          </w:p>
        </w:tc>
        <w:tc>
          <w:tcPr>
            <w:tcW w:type="dxa" w:w="1100"/>
            <w:tcBorders>
              <w:top w:val="nil" w:sz="4" w:space="0" w:color="000000"/>
              <w:bottom w:val="single" w:sz="12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0.502</w:t>
            </w:r>
          </w:p>
        </w:tc>
        <w:tc>
          <w:tcPr>
            <w:tcW w:type="dxa" w:w="1900"/>
            <w:tcBorders>
              <w:top w:val="nil" w:sz="4" w:space="0" w:color="000000"/>
              <w:bottom w:val="single" w:sz="12" w:space="0" w:color="000000"/>
              <w:left w:val="nil" w:sz="4" w:space="0" w:color="000000"/>
              <w:right w:val="nil" w:sz="4" w:space="0" w:color="000000"/>
            </w:tcBorders>
          </w:tcPr>
          <w:p>
            <w:pPr>
              <w:jc w:val="center"/>
              <w:spacing w:before="0"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No</w:t>
            </w:r>
          </w:p>
        </w:tc>
      </w:tr>
    </w:tbl>
    <w:p>
      <w:pPr>
        <w:jc w:val="left"/>
        <w:spacing w:before="60" w:after="0" w:line="240" w:lineRule="auto"/>
      </w:pPr>
      <w:r>
        <w:rPr>
          <w:rFonts w:ascii="Times New Roman" w:hAnsi="Times New Roman" w:eastAsia="Times New Roman"/>
          <w:sz w:val="18"/>
        </w:rPr>
        <w:t>Univariable logistic regression was performed for each candidate predictor against live birth. Variables with P &lt; 0.10 in univariable analysis were retained as candidates for multivariable model building. AUC values were computed from the single-predictor logistic model.</w:t>
      </w:r>
    </w:p>
    <w:p>
      <w:pPr>
        <w:jc w:val="left"/>
        <w:spacing w:before="60" w:after="0" w:line="240" w:lineRule="auto"/>
      </w:pPr>
      <w:r>
        <w:rPr>
          <w:rFonts w:ascii="Times New Roman" w:hAnsi="Times New Roman" w:eastAsia="Times New Roman"/>
          <w:sz w:val="18"/>
        </w:rPr>
        <w:t>Abbreviations: AFC, antral follicle count; AMH, anti-Müllerian hormone; AUC, area under the receiver operating characteristic curve; bFSH, basal follicle-stimulating hormone; BMI, body mass index; CI, confidence interval; E₂, estradiol; Gn, gonadotropin; IU, international units; LH, luteinizing hormone; OR, odds ratio; P, progesterone; PFI, progesterone-to-follicle index; POI, progesterone-to-oocyte index.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