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spacing w:before="0" w:after="120"/>
      </w:pPr>
      <w:r>
        <w:rPr>
          <w:rFonts w:ascii="Times New Roman" w:hAnsi="Times New Roman" w:eastAsia="Times New Roman"/>
          <w:b/>
          <w:sz w:val="22"/>
        </w:rPr>
        <w:t>Supplementary Table 5. Incremental value of POI: net reclassification improvement and integrated discrimination improvement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320"/>
        <w:gridCol w:w="4320"/>
      </w:tblGrid>
      <w:tr>
        <w:tc>
          <w:tcPr>
            <w:tcW w:type="dxa" w:w="3200"/>
            <w:tcBorders>
              <w:top w:val="single" w:sz="12" w:space="0" w:color="000000"/>
              <w:bottom w:val="single" w:sz="6"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sz w:val="20"/>
              </w:rPr>
              <w:t>Metric</w:t>
            </w:r>
          </w:p>
        </w:tc>
        <w:tc>
          <w:tcPr>
            <w:tcW w:type="dxa" w:w="1600"/>
            <w:tcBorders>
              <w:top w:val="single" w:sz="12" w:space="0" w:color="000000"/>
              <w:bottom w:val="single" w:sz="6"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sz w:val="20"/>
              </w:rPr>
              <w:t>Value</w:t>
            </w:r>
          </w:p>
        </w:tc>
      </w:tr>
      <w:tr>
        <w:tc>
          <w:tcPr>
            <w:tcW w:type="dxa" w:w="32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NRI (events)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0.017</w:t>
            </w:r>
          </w:p>
        </w:tc>
      </w:tr>
      <w:tr>
        <w:tc>
          <w:tcPr>
            <w:tcW w:type="dxa" w:w="32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NRI (non-events)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0.016</w:t>
            </w:r>
          </w:p>
        </w:tc>
      </w:tr>
      <w:tr>
        <w:tc>
          <w:tcPr>
            <w:tcW w:type="dxa" w:w="32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NRI (total)</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0.033</w:t>
            </w:r>
          </w:p>
        </w:tc>
      </w:tr>
      <w:tr>
        <w:tc>
          <w:tcPr>
            <w:tcW w:type="dxa" w:w="32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IDI (events)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0.003</w:t>
            </w:r>
          </w:p>
        </w:tc>
      </w:tr>
      <w:tr>
        <w:tc>
          <w:tcPr>
            <w:tcW w:type="dxa" w:w="32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IDI (non-events)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0.002</w:t>
            </w:r>
          </w:p>
        </w:tc>
      </w:tr>
      <w:tr>
        <w:tc>
          <w:tcPr>
            <w:tcW w:type="dxa" w:w="3200"/>
            <w:tcBorders>
              <w:top w:val="nil" w:sz="4" w:space="0" w:color="000000"/>
              <w:bottom w:val="single" w:sz="12"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IDI (total)</w:t>
            </w:r>
          </w:p>
        </w:tc>
        <w:tc>
          <w:tcPr>
            <w:tcW w:type="dxa" w:w="1600"/>
            <w:tcBorders>
              <w:top w:val="nil" w:sz="4" w:space="0" w:color="000000"/>
              <w:bottom w:val="single" w:sz="12"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0.005</w:t>
            </w:r>
          </w:p>
        </w:tc>
      </w:tr>
    </w:tbl>
    <w:p>
      <w:pPr>
        <w:jc w:val="left"/>
        <w:spacing w:before="60" w:after="0" w:line="240" w:lineRule="auto"/>
      </w:pPr>
      <w:r>
        <w:rPr>
          <w:rFonts w:ascii="Times New Roman" w:hAnsi="Times New Roman" w:eastAsia="Times New Roman"/>
          <w:sz w:val="18"/>
        </w:rPr>
        <w:t>The base model comprised the seven non-progesterone predictors (female age, endometrial thickness, oocytes retrieved, infertility duration, total Gn dose, available embryos, and embryos transferred). The full model added POI. NRI and IDI were computed to quantify the incremental prognostic value of POI beyond the base model. Positive values indicate that adding POI correctly reclassified patients toward their observed outcomes.</w:t>
      </w:r>
    </w:p>
    <w:p>
      <w:pPr>
        <w:jc w:val="left"/>
        <w:spacing w:before="60" w:after="0" w:line="240" w:lineRule="auto"/>
      </w:pPr>
      <w:r>
        <w:rPr>
          <w:rFonts w:ascii="Times New Roman" w:hAnsi="Times New Roman" w:eastAsia="Times New Roman"/>
          <w:sz w:val="18"/>
        </w:rPr>
        <w:t>Abbreviations: IDI, integrated discrimination improvement; NRI, net reclassification improvement; POI, progesterone-to-oocyte index.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