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spacing w:before="0" w:after="120"/>
      </w:pPr>
      <w:r>
        <w:rPr>
          <w:rFonts w:ascii="Times New Roman" w:hAnsi="Times New Roman" w:eastAsia="Times New Roman"/>
          <w:b/>
          <w:sz w:val="22"/>
        </w:rPr>
        <w:t>Supplementary Table 3. AIC-based comparison of progesterone parameters for model inclusion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80"/>
        <w:gridCol w:w="2880"/>
        <w:gridCol w:w="2880"/>
      </w:tblGrid>
      <w:tr>
        <w:tc>
          <w:tcPr>
            <w:tcW w:type="dxa" w:w="50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Progesterone parameter</w:t>
            </w:r>
          </w:p>
        </w:tc>
        <w:tc>
          <w:tcPr>
            <w:tcW w:type="dxa" w:w="16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AIC</w:t>
            </w:r>
          </w:p>
        </w:tc>
        <w:tc>
          <w:tcPr>
            <w:tcW w:type="dxa" w:w="14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AUC</w:t>
            </w:r>
          </w:p>
        </w:tc>
      </w:tr>
      <w:tr>
        <w:tc>
          <w:tcPr>
            <w:tcW w:type="dxa" w:w="50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POI (trigger-day P / oocytes)</w:t>
            </w:r>
          </w:p>
        </w:tc>
        <w:tc>
          <w:tcPr>
            <w:tcW w:type="dxa" w:w="1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2,041.45</w:t>
            </w:r>
          </w:p>
        </w:tc>
        <w:tc>
          <w:tcPr>
            <w:tcW w:type="dxa" w:w="14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0.665</w:t>
            </w:r>
          </w:p>
        </w:tc>
      </w:tr>
      <w:tr>
        <w:tc>
          <w:tcPr>
            <w:tcW w:type="dxa" w:w="50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PFI (trigger-day P / ≥14 mm follicles)</w:t>
            </w:r>
          </w:p>
        </w:tc>
        <w:tc>
          <w:tcPr>
            <w:tcW w:type="dxa" w:w="1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2,042.24</w:t>
            </w:r>
          </w:p>
        </w:tc>
        <w:tc>
          <w:tcPr>
            <w:tcW w:type="dxa" w:w="14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0.664</w:t>
            </w:r>
          </w:p>
        </w:tc>
      </w:tr>
      <w:tr>
        <w:tc>
          <w:tcPr>
            <w:tcW w:type="dxa" w:w="50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Absolute P (ng/mL)</w:t>
            </w:r>
          </w:p>
        </w:tc>
        <w:tc>
          <w:tcPr>
            <w:tcW w:type="dxa" w:w="16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2,046.44</w:t>
            </w:r>
          </w:p>
        </w:tc>
        <w:tc>
          <w:tcPr>
            <w:tcW w:type="dxa" w:w="14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0.662</w:t>
            </w:r>
          </w:p>
        </w:tc>
      </w:tr>
    </w:tbl>
    <w:p>
      <w:pPr>
        <w:jc w:val="left"/>
        <w:spacing w:before="60" w:after="0" w:line="240" w:lineRule="auto"/>
      </w:pPr>
      <w:r>
        <w:rPr>
          <w:rFonts w:ascii="Times New Roman" w:hAnsi="Times New Roman" w:eastAsia="Times New Roman"/>
          <w:sz w:val="18"/>
        </w:rPr>
        <w:t>Each progesterone parameter was evaluated in a multivariable logistic regression model containing the same set of seven non-progesterone predictors. The parameter yielding the lowest AIC was selected for the final model. POI (AIC = 2,041.45) outperformed both PFI (AIC = 2,042.24) and absolute P (AIC = 2,046.44), and was therefore retained.</w:t>
      </w:r>
    </w:p>
    <w:p>
      <w:pPr>
        <w:jc w:val="left"/>
        <w:spacing w:before="60" w:after="0" w:line="240" w:lineRule="auto"/>
      </w:pPr>
      <w:r>
        <w:rPr>
          <w:rFonts w:ascii="Times New Roman" w:hAnsi="Times New Roman" w:eastAsia="Times New Roman"/>
          <w:sz w:val="18"/>
        </w:rPr>
        <w:t>Abbreviations: AIC, Akaike information criterion; AUC, area under the receiver operating characteristic curve; P, progesterone; PFI, progesterone-to-follicle index; POI, progesterone-to-oocyte index.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