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spacing w:before="0" w:after="120"/>
      </w:pPr>
      <w:r>
        <w:rPr>
          <w:rFonts w:ascii="Times New Roman" w:hAnsi="Times New Roman" w:eastAsia="Times New Roman"/>
          <w:b/>
          <w:sz w:val="22"/>
        </w:rPr>
        <w:t>Supplementary Table 4. Variable selection: LASSO and AIC stepwise comparison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880"/>
        <w:gridCol w:w="2880"/>
        <w:gridCol w:w="2880"/>
      </w:tblGrid>
      <w:tr>
        <w:tc>
          <w:tcPr>
            <w:tcW w:type="dxa" w:w="20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Method</w:t>
            </w:r>
          </w:p>
        </w:tc>
        <w:tc>
          <w:tcPr>
            <w:tcW w:type="dxa" w:w="64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Selected variables</w:t>
            </w:r>
          </w:p>
        </w:tc>
        <w:tc>
          <w:tcPr>
            <w:tcW w:type="dxa" w:w="14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No. of variables</w:t>
            </w:r>
          </w:p>
        </w:tc>
      </w:tr>
      <w:tr>
        <w:tc>
          <w:tcPr>
            <w:tcW w:type="dxa" w:w="20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LASSO (λ_min)</w:t>
            </w:r>
          </w:p>
        </w:tc>
        <w:tc>
          <w:tcPr>
            <w:tcW w:type="dxa" w:w="64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Female age, AFC, Endometrial thickness, Oocytes retrieved, Infertility duration, AMH, bFSH, Trigger-day E₂, POI, Total Gn dose, ≥14 mm follicles, Available embryos, Embryos transferred</w:t>
            </w:r>
          </w:p>
        </w:tc>
        <w:tc>
          <w:tcPr>
            <w:tcW w:type="dxa" w:w="14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13</w:t>
            </w:r>
          </w:p>
        </w:tc>
      </w:tr>
      <w:tr>
        <w:tc>
          <w:tcPr>
            <w:tcW w:type="dxa" w:w="20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AIC stepwise</w:t>
            </w:r>
          </w:p>
        </w:tc>
        <w:tc>
          <w:tcPr>
            <w:tcW w:type="dxa" w:w="64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Female age, Endometrial thickness, Oocytes retrieved, Infertility duration, POI, Total Gn dose, Available embryos, Embryos transferred</w:t>
            </w:r>
          </w:p>
        </w:tc>
        <w:tc>
          <w:tcPr>
            <w:tcW w:type="dxa" w:w="14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8</w:t>
            </w:r>
          </w:p>
        </w:tc>
      </w:tr>
      <w:tr>
        <w:tc>
          <w:tcPr>
            <w:tcW w:type="dxa" w:w="20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Final model</w:t>
            </w:r>
          </w:p>
        </w:tc>
        <w:tc>
          <w:tcPr>
            <w:tcW w:type="dxa" w:w="64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Female age, Endometrial thickness, Oocytes retrieved, Infertility duration, POI, Total Gn dose, Available embryos, Embryos transferred</w:t>
            </w:r>
          </w:p>
        </w:tc>
        <w:tc>
          <w:tcPr>
            <w:tcW w:type="dxa" w:w="14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8</w:t>
            </w:r>
          </w:p>
        </w:tc>
      </w:tr>
    </w:tbl>
    <w:p>
      <w:pPr>
        <w:jc w:val="left"/>
        <w:spacing w:before="60" w:after="0" w:line="240" w:lineRule="auto"/>
      </w:pPr>
      <w:r>
        <w:rPr>
          <w:rFonts w:ascii="Times New Roman" w:hAnsi="Times New Roman" w:eastAsia="Times New Roman"/>
          <w:sz w:val="18"/>
        </w:rPr>
        <w:t>LASSO regression with 10-fold cross-validation selected 13 variables at λ_min. AIC stepwise selection (direction = both) identified 8 variables. The intersection of both methods yielded the final 8-variable model. LASSO additionally retained AFC, AMH, bFSH, Trigger-day E₂, and ≥14 mm follicles, which were excluded by AIC stepwise.</w:t>
      </w:r>
    </w:p>
    <w:p>
      <w:pPr>
        <w:jc w:val="left"/>
        <w:spacing w:before="60" w:after="0" w:line="240" w:lineRule="auto"/>
      </w:pPr>
      <w:r>
        <w:rPr>
          <w:rFonts w:ascii="Times New Roman" w:hAnsi="Times New Roman" w:eastAsia="Times New Roman"/>
          <w:sz w:val="18"/>
        </w:rPr>
        <w:t>Abbreviations: AFC, antral follicle count; AIC, Akaike information criterion; AMH, anti-Müllerian hormone; bFSH, basal follicle-stimulating hormone; E₂, estradiol; Gn, gonadotropin; LASSO, least absolute shrinkage and selection operator; POI, progesterone-to-oocyte index; λ, penalty parameter.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