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additional-file-1-supplementary-tables"/>
    <w:p>
      <w:pPr>
        <w:pStyle w:val="Heading1"/>
      </w:pPr>
      <w:r>
        <w:t xml:space="preserve">Additional file 1: Supplementary tables</w:t>
      </w:r>
    </w:p>
    <w:p>
      <w:pPr>
        <w:pStyle w:val="FirstParagraph"/>
      </w:pPr>
      <w:r>
        <w:rPr>
          <w:bCs/>
          <w:b/>
        </w:rPr>
        <w:t xml:space="preserve">Table S1. Baseline characteristics by parity (live births)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Characteristic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 (n=148)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(n=492)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(n=1574)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(n=2088)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≥4 (n=2555)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Age, yr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61.5±13.1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53.4±7.0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53.9±7.2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55.8±7.6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64.3±9.3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BMI, kg/m²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23.8±3.7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24.7±3.9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24.5±4.0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24.1±3.8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23.3±4.1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Live births, 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0.0±0.0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1.0±0.0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2.0±0.0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3.0±0.0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4.9±1.1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 at menarche, yr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16.0±2.2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15.6±2.0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16.0±2.1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16.1±2.1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16.6±2.2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PEF, L/min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244.1±93.8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286.6±94.5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272.7±89.1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263.8±88.8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231.4±91.3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Education:1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124(83.8%)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387(78.7%)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1388(88.2%)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1968(94.3%)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2511(98.3%)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Education:2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19(12.8%)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90(18.3%)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163(10.4%)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115(5.5%)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36(1.4%)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Education:3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5(3.4%)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15(3.0%)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23(1.5%)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5(0.2%)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8(0.3%)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Rural residence:0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80(54.1%)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332(67.5%)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714(45.4%)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696(33.3%)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735(28.8%)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Rural residence:1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68(45.9%)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160(32.5%)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860(54.6%)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1392(66.7%)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1820(71.2%)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Married:0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43(29.1%)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67(13.6%)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260(16.5%)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338(16.2%)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740(29.0%)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Married:1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105(70.9%)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425(86.4%)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1314(83.5%)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1750(83.8%)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1815(71.0%)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Smoking status:0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136(91.9%)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458(93.1%)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1466(93.1%)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1946(93.2%)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2293(89.7%)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Smoking status:1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5(3.4%)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7(1.4%)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29(1.8%)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37(1.8%)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68(2.7%)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Smoking status:2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5(3.4%)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27(5.5%)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77(4.9%)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105(5.0%)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193(7.6%)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Solid fuel use:0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69(46.6%)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334(67.9%)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814(51.7%)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867(41.5%)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903(35.3%)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Solid fuel use:1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74(50.0%)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155(31.5%)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748(47.5%)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1211(58.0%)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1642(64.3%)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Ever drinker:0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117(79.1%)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416(84.6%)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1355(86.1%)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1806(86.5%)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2166(84.8%)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Ever drinker:1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28(18.9%)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75(15.2%)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217(13.8%)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280(13.4%)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387(15.1%)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Hypertension:0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102(68.9%)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369(75.0%)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1202(76.4%)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1539(73.7%)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1743(68.2%)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Hypertension:1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45(30.4%)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122(24.8%)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367(23.3%)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529(25.3%)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798(31.2%)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Diabetes:0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139(93.9%)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446(90.7%)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1450(92.1%)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1941(93.0%)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2375(93.0%)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0.204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Diabetes:1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8(5.4%)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42(8.5%)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110(7.0%)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128(6.1%)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152(5.9%)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0.204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Heart disease:0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124(83.8%)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430(87.4%)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1363(86.6%)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1808(86.6%)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2199(86.1%)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0.784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Heart disease:1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23(15.5%)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60(12.2%)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204(13.0%)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265(12.7%)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344(13.5%)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0.784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Table S2. Baseline characteristics of women with and without baseline PEF measurement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Characteristic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 PEF (n=6518)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Without PEF (n=2127)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Age, yr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58.5±9.5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60.0±11.3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BMI, kg/m²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24.0±4.0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22.8±3.8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Live births, 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3.3±1.5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3.2±1.7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 at menarche, yr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16.2±2.1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16.0±2.2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PEF, L/min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252.0±93.2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nan±nan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Pregnancy losses, 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0.3±0.5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0.3±0.5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Education:1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6077(93.2%)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1833(86.2%)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Education:2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392(6.0%)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243(11.4%)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Education:3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49(0.8%)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51(2.4%)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Rural residence:0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2478(38.0%)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1099(51.7%)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Rural residence:1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4040(62.0%)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1028(48.3%)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Married:0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1401(21.5%)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595(28.0%)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Married:1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5117(78.5%)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1531(72.0%)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Smoking status:0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5980(91.7%)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1903(89.5%)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Smoking status:1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136(2.1%)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68(3.2%)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Smoking status:2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397(6.1%)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98(4.6%)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Solid fuel use:0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2833(43.5%)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1126(52.9%)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Solid fuel use:1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3671(56.3%)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913(42.9%)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&lt;0.001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Ever drinker:0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5552(85.2%)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1786(84.0%)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0.202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Ever drinker:1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958(14.7%)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280(13.2%)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0.202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Hypertension:0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4673(71.7%)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1467(69.0%)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0.451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Hypertension:1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1805(27.7%)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592(27.8%)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0.451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Diabetes:0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5985(91.8%)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1932(90.8%)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0.109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Diabetes:1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460(7.1%)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125(5.9%)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0.109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Heart disease:0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5593(85.8%)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1733(81.5%)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Heart disease:1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882(13.5%)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332(15.6%)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0.006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Table S3. Complete MICE-pooled Cox results for all exposure–outcome pairs (m=5; age as time scale, fully adjusted)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Exposure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Outcome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95% CI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Parity (ref: 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Asthma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0.37–2.27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Parity (ref: 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Asthma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0.98–2.75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Parity (ref: 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Asthma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0.71–1.47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0.925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Parity (ref: 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≥4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Asthma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0.83–1.74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0.334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Parity (ref: 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0.55–1.67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Parity (ref: 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0.89–1.70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Parity (ref: 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0.87–1.32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0.542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Parity (ref: 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≥4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0.85–1.35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0.536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Any pregnancy loss (ref: 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Asthma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0.97–1.76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Adjusted for parity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Any pregnancy loss (ref: 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≥2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Asthma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0.85–2.55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0.166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Adjusted for parity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Any pregnancy loss (ref: 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0.93–1.35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Adjusted for parity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Any pregnancy loss (ref: 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≥2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0.78–1.83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Adjusted for parity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Miscarriage (ref: 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Asthma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0.67–1.64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Mutually adjusted with other loss subtypes + parity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Miscarriage (ref: 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≥2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Asthma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0.34–2.19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Mutually adjusted with other loss subtypes + parity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Induced abortion (ref: 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Asthma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1.04–2.14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Mutually adjusted with other loss subtypes + parity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Induced abortion (ref: 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≥2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Asthma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1.66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0.94–2.96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Mutually adjusted with other loss subtypes + parity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Stillbirth (ref: 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≥1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Asthma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0.60–1.97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0.788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Mutually adjusted with other loss subtypes + parity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 at menarche (ref: 13 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Asthma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0.26–1.77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0.431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 at menarche (ref: 13 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Asthma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0.51–1.50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0.629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 at menarche (ref: 13 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Asthma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0.50–1.64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0.754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 at menarche (ref: 13 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≤11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Asthma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0.00–10653.27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 at menarche (ref: 13 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≥16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Asthma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0.50–1.35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0.429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 at menarche (ref: 13 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0.73–2.06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0.431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 at menarche (ref: 13 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0.96–2.09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0.079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 at menarche (ref: 13 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0.77–1.65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0.529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 at menarche (ref: 13 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≤11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0.15–2.58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0.517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 at menarche (ref: 13 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≥16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0.82–1.52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0.492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 at menopause (ref: ≥54 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40-44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0.61–1.19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0.343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 at menopause (ref: ≥54 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45-49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0.58–0.99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0.043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 at menopause (ref: ≥54 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50-53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0.54–1.03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0.072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 at menopause (ref: ≥54 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0.42–0.99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0.042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 at menopause (ref: ≥54 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40-44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Asthma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0.49–2.15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0.944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 at menopause (ref: ≥54 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45-49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Asthma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0.77–2.17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0.339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 at menopause (ref: ≥54 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50-53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Asthma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0.62–1.85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0.816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 at menopause (ref: ≥54 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Asthma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0.63–2.50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0.516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Reproductive lifespan (ref: 36–38 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31-35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0.79–1.28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Reproductive lifespan (ref: 36–38 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≤30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0.78–1.27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0.988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Reproductive lifespan (ref: 36–38 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≥39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0.84–1.60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0.368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Reproductive lifespan (ref: 36–38 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31-35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Asthma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0.64–1.58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Reproductive lifespan (ref: 36–38 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≤30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Asthma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0.61–1.57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0.916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Reproductive lifespan (ref: 36–38 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≥39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Asthma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0.54–1.68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Miscarriage (ref: 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0.88–1.50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Mutually adjusted with other loss subtypes + parity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Miscarriage (ref: 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≥2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0.62–1.69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Mutually adjusted with other loss subtypes + parity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Induced abortion (ref: 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0.86–1.37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Mutually adjusted with other loss subtypes + parity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Induced abortion (ref: 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≥2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0.69–1.51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0.897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Mutually adjusted with other loss subtypes + parity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Stillbirth (ref: 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≥1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0.65–1.37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Mutually adjusted with other loss subtypes + parity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Table S4. High-sensitivity C-reactive protein (hs-CRP) and the abortion–asthma association in the baseline blood-sampling subset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95% CI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Abortion (any vs none) and log hs-CRP, adjusted beta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0.067 log mg/L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-0.010 to 0.143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n=4,030 with complete covariates; hs-CRP&gt;10 mg/L excluded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hs-CRP (per SD log) and incident asthma,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0.84-1.17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Same model + abortion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Abortion (any vs none) and incident asthma, HR without hs-CRP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1.77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1.14-2.75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Blood-sampling subset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Abortion (any vs none) and incident asthma, HR with hs-CRP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1.77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1.14-2.76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Adds hs-CRP (per SD)</w:t>
            </w:r>
          </w:p>
        </w:tc>
      </w:tr>
    </w:tbl>
    <w:p>
      <w:pPr>
        <w:pStyle w:val="BodyText"/>
      </w:pPr>
      <w:r>
        <w:t xml:space="preserve">Values above 10 mg/L hs-CRP were excluded as probable acute inflammation. Estimates are fully adjusted (age, education, residence, marital status, BMI, smoking, solid fuel, alcohol, hypertension, diabetes, heart disease, parity).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2026-08-29T08:18:46Z</dcterms:created>
  <dcterms:modified xsi:type="dcterms:W3CDTF">2026-08-29T08:18:46Z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