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E4ECA" w14:textId="77777777" w:rsidR="007A709C" w:rsidRPr="00324D98" w:rsidRDefault="007A709C" w:rsidP="003E688E">
      <w:pPr>
        <w:spacing w:line="480" w:lineRule="auto"/>
        <w:jc w:val="both"/>
        <w:rPr>
          <w:rFonts w:ascii="Arial" w:hAnsi="Arial" w:cs="Arial"/>
          <w:b/>
          <w:bCs/>
          <w:sz w:val="32"/>
          <w:szCs w:val="32"/>
          <w:lang w:val="en-US"/>
        </w:rPr>
      </w:pPr>
      <w:r w:rsidRPr="00324D98">
        <w:rPr>
          <w:rFonts w:ascii="Arial" w:hAnsi="Arial" w:cs="Arial"/>
          <w:b/>
          <w:bCs/>
          <w:sz w:val="32"/>
          <w:szCs w:val="32"/>
          <w:lang w:val="en-US"/>
        </w:rPr>
        <w:t xml:space="preserve">Selenium nanoparticles as slow-release fertilizers </w:t>
      </w:r>
      <w:r w:rsidRPr="00324D98">
        <w:rPr>
          <w:rFonts w:ascii="Arial" w:hAnsi="Arial" w:cs="Arial"/>
          <w:b/>
          <w:bCs/>
          <w:sz w:val="32"/>
          <w:szCs w:val="32"/>
          <w:lang w:val="en-US"/>
        </w:rPr>
        <w:br/>
        <w:t>for mustard plants</w:t>
      </w:r>
    </w:p>
    <w:p w14:paraId="50016F27" w14:textId="77777777" w:rsidR="007A709C" w:rsidRPr="00324D98" w:rsidRDefault="007A709C" w:rsidP="003E688E">
      <w:pPr>
        <w:spacing w:line="480" w:lineRule="auto"/>
        <w:jc w:val="both"/>
        <w:rPr>
          <w:rFonts w:ascii="Arial" w:hAnsi="Arial" w:cs="Arial"/>
          <w:sz w:val="28"/>
          <w:szCs w:val="28"/>
          <w:lang w:val="en-US"/>
        </w:rPr>
      </w:pPr>
    </w:p>
    <w:p w14:paraId="621207DA" w14:textId="0BED1A4E" w:rsidR="007A709C" w:rsidRPr="00324D98" w:rsidRDefault="007A709C" w:rsidP="003E688E">
      <w:pPr>
        <w:spacing w:line="480" w:lineRule="auto"/>
        <w:jc w:val="both"/>
        <w:rPr>
          <w:rFonts w:ascii="Arial" w:hAnsi="Arial" w:cs="Arial"/>
          <w:sz w:val="28"/>
          <w:szCs w:val="28"/>
          <w:lang w:val="sv-SE"/>
        </w:rPr>
      </w:pPr>
      <w:r w:rsidRPr="00324D98">
        <w:rPr>
          <w:rFonts w:ascii="Arial" w:hAnsi="Arial" w:cs="Arial"/>
          <w:sz w:val="28"/>
          <w:szCs w:val="28"/>
          <w:lang w:val="sv-SE"/>
        </w:rPr>
        <w:t xml:space="preserve">Rewati </w:t>
      </w:r>
      <w:proofErr w:type="spellStart"/>
      <w:r w:rsidRPr="00324D98">
        <w:rPr>
          <w:rFonts w:ascii="Arial" w:hAnsi="Arial" w:cs="Arial"/>
          <w:sz w:val="28"/>
          <w:szCs w:val="28"/>
          <w:lang w:val="sv-SE"/>
        </w:rPr>
        <w:t>Dixit</w:t>
      </w:r>
      <w:r w:rsidR="001A4502">
        <w:rPr>
          <w:rFonts w:ascii="Arial" w:hAnsi="Arial" w:cs="Arial"/>
          <w:sz w:val="28"/>
          <w:szCs w:val="28"/>
          <w:vertAlign w:val="superscript"/>
          <w:lang w:val="sv-SE"/>
        </w:rPr>
        <w:t>a</w:t>
      </w:r>
      <w:proofErr w:type="spellEnd"/>
      <w:r w:rsidRPr="00324D98">
        <w:rPr>
          <w:rFonts w:ascii="Arial" w:hAnsi="Arial" w:cs="Arial"/>
          <w:sz w:val="28"/>
          <w:szCs w:val="28"/>
          <w:lang w:val="sv-SE"/>
        </w:rPr>
        <w:t xml:space="preserve">, Norbert </w:t>
      </w:r>
      <w:proofErr w:type="spellStart"/>
      <w:r w:rsidRPr="00324D98">
        <w:rPr>
          <w:rFonts w:ascii="Arial" w:hAnsi="Arial" w:cs="Arial"/>
          <w:sz w:val="28"/>
          <w:szCs w:val="28"/>
          <w:lang w:val="sv-SE"/>
        </w:rPr>
        <w:t>Jordan</w:t>
      </w:r>
      <w:r w:rsidR="001A4502">
        <w:rPr>
          <w:rFonts w:ascii="Arial" w:hAnsi="Arial" w:cs="Arial"/>
          <w:sz w:val="28"/>
          <w:szCs w:val="28"/>
          <w:vertAlign w:val="superscript"/>
          <w:lang w:val="sv-SE"/>
        </w:rPr>
        <w:t>b</w:t>
      </w:r>
      <w:proofErr w:type="spellEnd"/>
      <w:r w:rsidRPr="00324D98">
        <w:rPr>
          <w:rFonts w:ascii="Arial" w:hAnsi="Arial" w:cs="Arial"/>
          <w:sz w:val="28"/>
          <w:szCs w:val="28"/>
          <w:lang w:val="sv-SE"/>
        </w:rPr>
        <w:t xml:space="preserve">, </w:t>
      </w:r>
      <w:proofErr w:type="spellStart"/>
      <w:r w:rsidRPr="00324D98">
        <w:rPr>
          <w:rFonts w:ascii="Arial" w:hAnsi="Arial" w:cs="Arial"/>
          <w:sz w:val="28"/>
          <w:szCs w:val="28"/>
          <w:lang w:val="sv-SE"/>
        </w:rPr>
        <w:t>Rohan</w:t>
      </w:r>
      <w:proofErr w:type="spellEnd"/>
      <w:r w:rsidRPr="00324D98">
        <w:rPr>
          <w:rFonts w:ascii="Arial" w:hAnsi="Arial" w:cs="Arial"/>
          <w:sz w:val="28"/>
          <w:szCs w:val="28"/>
          <w:lang w:val="sv-SE"/>
        </w:rPr>
        <w:t xml:space="preserve"> </w:t>
      </w:r>
      <w:proofErr w:type="spellStart"/>
      <w:proofErr w:type="gramStart"/>
      <w:r w:rsidRPr="00324D98">
        <w:rPr>
          <w:rFonts w:ascii="Arial" w:hAnsi="Arial" w:cs="Arial"/>
          <w:sz w:val="28"/>
          <w:szCs w:val="28"/>
          <w:lang w:val="sv-SE"/>
        </w:rPr>
        <w:t>Jain</w:t>
      </w:r>
      <w:r w:rsidR="001A4502">
        <w:rPr>
          <w:rFonts w:ascii="Arial" w:hAnsi="Arial" w:cs="Arial"/>
          <w:sz w:val="28"/>
          <w:szCs w:val="28"/>
          <w:vertAlign w:val="superscript"/>
          <w:lang w:val="sv-SE"/>
        </w:rPr>
        <w:t>c</w:t>
      </w:r>
      <w:proofErr w:type="spellEnd"/>
      <w:r w:rsidRPr="00324D98">
        <w:rPr>
          <w:rFonts w:ascii="Arial" w:hAnsi="Arial" w:cs="Arial"/>
          <w:sz w:val="28"/>
          <w:szCs w:val="28"/>
          <w:vertAlign w:val="superscript"/>
          <w:lang w:val="sv-SE"/>
        </w:rPr>
        <w:t>,*</w:t>
      </w:r>
      <w:proofErr w:type="gramEnd"/>
    </w:p>
    <w:p w14:paraId="68C42A7B" w14:textId="77777777" w:rsidR="007A709C" w:rsidRPr="00324D98" w:rsidRDefault="007A709C" w:rsidP="003E688E">
      <w:pPr>
        <w:spacing w:line="480" w:lineRule="auto"/>
        <w:jc w:val="both"/>
        <w:rPr>
          <w:rFonts w:ascii="Arial" w:hAnsi="Arial" w:cs="Arial"/>
          <w:lang w:val="sv-SE"/>
        </w:rPr>
      </w:pPr>
    </w:p>
    <w:p w14:paraId="489EAD4A" w14:textId="6068E5FE" w:rsidR="007A709C" w:rsidRPr="00324D98" w:rsidRDefault="001A4502" w:rsidP="003E688E">
      <w:pPr>
        <w:spacing w:line="480" w:lineRule="auto"/>
        <w:jc w:val="both"/>
        <w:rPr>
          <w:rFonts w:ascii="Arial" w:hAnsi="Arial" w:cs="Arial"/>
        </w:rPr>
      </w:pPr>
      <w:r>
        <w:rPr>
          <w:rFonts w:ascii="Arial" w:hAnsi="Arial" w:cs="Arial"/>
          <w:vertAlign w:val="superscript"/>
        </w:rPr>
        <w:t>a</w:t>
      </w:r>
      <w:r w:rsidR="007A709C" w:rsidRPr="00324D98">
        <w:rPr>
          <w:rFonts w:ascii="Arial" w:hAnsi="Arial" w:cs="Arial"/>
        </w:rPr>
        <w:t>Waste Treatment Laboratory, Department of Biochemical Engineering and Biotechnology, Indian Institute of Technology Delhi, Hauz-Khas, New Delhi, India – 110016</w:t>
      </w:r>
    </w:p>
    <w:p w14:paraId="0A6ACC59" w14:textId="0C371C80" w:rsidR="007A709C" w:rsidRPr="00324D98" w:rsidRDefault="001A4502" w:rsidP="003E688E">
      <w:pPr>
        <w:spacing w:line="480" w:lineRule="auto"/>
        <w:jc w:val="both"/>
        <w:rPr>
          <w:rFonts w:ascii="Arial" w:hAnsi="Arial" w:cs="Arial"/>
        </w:rPr>
      </w:pPr>
      <w:proofErr w:type="spellStart"/>
      <w:r>
        <w:rPr>
          <w:rFonts w:ascii="Arial" w:hAnsi="Arial" w:cs="Arial"/>
          <w:vertAlign w:val="superscript"/>
        </w:rPr>
        <w:t>b</w:t>
      </w:r>
      <w:r w:rsidR="007A709C" w:rsidRPr="00324D98">
        <w:rPr>
          <w:rFonts w:ascii="Arial" w:hAnsi="Arial" w:cs="Arial"/>
        </w:rPr>
        <w:t>Helmholtz</w:t>
      </w:r>
      <w:proofErr w:type="spellEnd"/>
      <w:r w:rsidR="007A709C" w:rsidRPr="00324D98">
        <w:rPr>
          <w:rFonts w:ascii="Arial" w:hAnsi="Arial" w:cs="Arial"/>
        </w:rPr>
        <w:t>-Zentrum Dresden-Rossendorf e.V., Institute of Resource Ecology, Bautzner Landstrasse 400, 01328, Dresden, Germany</w:t>
      </w:r>
    </w:p>
    <w:p w14:paraId="3E2E2B5A" w14:textId="5CECF82E" w:rsidR="007A709C" w:rsidRPr="00A55F4A" w:rsidRDefault="001A4502" w:rsidP="003E688E">
      <w:pPr>
        <w:spacing w:line="480" w:lineRule="auto"/>
        <w:jc w:val="both"/>
        <w:rPr>
          <w:rFonts w:ascii="Arial" w:hAnsi="Arial" w:cs="Arial"/>
        </w:rPr>
      </w:pPr>
      <w:proofErr w:type="spellStart"/>
      <w:r>
        <w:rPr>
          <w:rFonts w:ascii="Arial" w:hAnsi="Arial" w:cs="Arial"/>
          <w:vertAlign w:val="superscript"/>
        </w:rPr>
        <w:t>c</w:t>
      </w:r>
      <w:r w:rsidR="007A709C" w:rsidRPr="00A55F4A">
        <w:rPr>
          <w:rFonts w:ascii="Arial" w:hAnsi="Arial" w:cs="Arial"/>
        </w:rPr>
        <w:t>Helmholtz</w:t>
      </w:r>
      <w:proofErr w:type="spellEnd"/>
      <w:r w:rsidR="007A709C" w:rsidRPr="00A55F4A">
        <w:rPr>
          <w:rFonts w:ascii="Arial" w:hAnsi="Arial" w:cs="Arial"/>
        </w:rPr>
        <w:t>-Zentrum Dresden-Rossendorf e.V., Helmholtz Institute Freiberg for Resource Technology, Bautzner Landstrasse 400, 01328, Dresden, Germany</w:t>
      </w:r>
    </w:p>
    <w:p w14:paraId="0C41FE4E" w14:textId="77777777" w:rsidR="007A709C" w:rsidRPr="00A55F4A" w:rsidRDefault="007A709C" w:rsidP="003E688E">
      <w:pPr>
        <w:spacing w:line="480" w:lineRule="auto"/>
        <w:jc w:val="both"/>
        <w:rPr>
          <w:rFonts w:ascii="Arial" w:hAnsi="Arial" w:cs="Arial"/>
        </w:rPr>
      </w:pPr>
    </w:p>
    <w:p w14:paraId="5AC5AB4F" w14:textId="77777777" w:rsidR="007A709C" w:rsidRPr="00A55F4A" w:rsidRDefault="007A709C" w:rsidP="003E688E">
      <w:pPr>
        <w:spacing w:line="480" w:lineRule="auto"/>
        <w:jc w:val="both"/>
        <w:rPr>
          <w:rFonts w:ascii="Arial" w:hAnsi="Arial" w:cs="Arial"/>
        </w:rPr>
      </w:pPr>
    </w:p>
    <w:p w14:paraId="6C49DFA5" w14:textId="77777777" w:rsidR="007A709C" w:rsidRPr="00A55F4A" w:rsidRDefault="007A709C" w:rsidP="003E688E">
      <w:pPr>
        <w:spacing w:line="480" w:lineRule="auto"/>
        <w:jc w:val="both"/>
        <w:rPr>
          <w:rFonts w:ascii="Arial" w:hAnsi="Arial" w:cs="Arial"/>
        </w:rPr>
      </w:pPr>
    </w:p>
    <w:p w14:paraId="6915B6FF" w14:textId="77777777" w:rsidR="007A709C" w:rsidRPr="00A55F4A" w:rsidRDefault="007A709C" w:rsidP="003E688E">
      <w:pPr>
        <w:spacing w:line="480" w:lineRule="auto"/>
        <w:jc w:val="both"/>
        <w:rPr>
          <w:rFonts w:ascii="Arial" w:hAnsi="Arial" w:cs="Arial"/>
        </w:rPr>
      </w:pPr>
      <w:r w:rsidRPr="00A55F4A">
        <w:rPr>
          <w:rFonts w:ascii="Arial" w:hAnsi="Arial" w:cs="Arial"/>
        </w:rPr>
        <w:t>*Corresponding Author</w:t>
      </w:r>
    </w:p>
    <w:p w14:paraId="011A50CC" w14:textId="77777777" w:rsidR="007A709C" w:rsidRPr="00A55F4A" w:rsidRDefault="007A709C" w:rsidP="003E688E">
      <w:pPr>
        <w:spacing w:line="480" w:lineRule="auto"/>
        <w:jc w:val="both"/>
        <w:rPr>
          <w:rFonts w:ascii="Arial" w:hAnsi="Arial" w:cs="Arial"/>
        </w:rPr>
      </w:pPr>
      <w:r w:rsidRPr="00A55F4A">
        <w:rPr>
          <w:rFonts w:ascii="Arial" w:hAnsi="Arial" w:cs="Arial"/>
        </w:rPr>
        <w:t>Name: Rohan Jain</w:t>
      </w:r>
    </w:p>
    <w:p w14:paraId="699A54C2" w14:textId="77777777" w:rsidR="007A709C" w:rsidRPr="00A55F4A" w:rsidRDefault="007A709C" w:rsidP="003E688E">
      <w:pPr>
        <w:spacing w:line="480" w:lineRule="auto"/>
        <w:jc w:val="both"/>
        <w:rPr>
          <w:rFonts w:ascii="Arial" w:hAnsi="Arial" w:cs="Arial"/>
        </w:rPr>
      </w:pPr>
      <w:r w:rsidRPr="00A55F4A">
        <w:rPr>
          <w:rFonts w:ascii="Arial" w:hAnsi="Arial" w:cs="Arial"/>
        </w:rPr>
        <w:t>Address: Helmholtz-Zentrum Dresden-Rossendorf e.V., Helmholtz Institute Freiberg for Resource Technology, Bautzner Landstrasse 400, 01328, Dresden, Germany</w:t>
      </w:r>
    </w:p>
    <w:p w14:paraId="60B28E96" w14:textId="77777777" w:rsidR="007A709C" w:rsidRPr="00324D98" w:rsidRDefault="007A709C" w:rsidP="003E688E">
      <w:pPr>
        <w:spacing w:line="480" w:lineRule="auto"/>
        <w:jc w:val="both"/>
        <w:rPr>
          <w:rFonts w:ascii="Arial" w:hAnsi="Arial" w:cs="Arial"/>
          <w:lang w:val="en-US"/>
        </w:rPr>
      </w:pPr>
      <w:r w:rsidRPr="00324D98">
        <w:rPr>
          <w:rFonts w:ascii="Arial" w:hAnsi="Arial" w:cs="Arial"/>
          <w:lang w:val="en-US"/>
        </w:rPr>
        <w:t xml:space="preserve">Email: </w:t>
      </w:r>
      <w:hyperlink r:id="rId7" w:history="1">
        <w:r w:rsidRPr="00324D98">
          <w:rPr>
            <w:rStyle w:val="Hyperlink"/>
            <w:rFonts w:ascii="Arial" w:hAnsi="Arial" w:cs="Arial"/>
            <w:lang w:val="en-US"/>
          </w:rPr>
          <w:t>r.jain@hzdr.de</w:t>
        </w:r>
      </w:hyperlink>
      <w:r>
        <w:rPr>
          <w:rFonts w:ascii="Arial" w:hAnsi="Arial" w:cs="Arial"/>
        </w:rPr>
        <w:t>; rohanjain.iitd@gmail.com</w:t>
      </w:r>
    </w:p>
    <w:p w14:paraId="3D14FC51" w14:textId="77777777" w:rsidR="007A709C" w:rsidRPr="00324D98" w:rsidRDefault="007A709C" w:rsidP="003E688E">
      <w:pPr>
        <w:spacing w:line="480" w:lineRule="auto"/>
        <w:jc w:val="both"/>
        <w:rPr>
          <w:rFonts w:ascii="Arial" w:hAnsi="Arial" w:cs="Arial"/>
          <w:lang w:val="en-US"/>
        </w:rPr>
      </w:pPr>
      <w:hyperlink r:id="rId8" w:history="1"/>
    </w:p>
    <w:p w14:paraId="65FF9457" w14:textId="594095E5" w:rsidR="007A709C" w:rsidRDefault="007A709C" w:rsidP="003E688E">
      <w:pPr>
        <w:jc w:val="both"/>
      </w:pPr>
    </w:p>
    <w:p w14:paraId="1DC363A3" w14:textId="77777777" w:rsidR="007A709C" w:rsidRDefault="007A709C" w:rsidP="003E688E">
      <w:pPr>
        <w:jc w:val="both"/>
      </w:pPr>
      <w:r>
        <w:br w:type="page"/>
      </w:r>
    </w:p>
    <w:p w14:paraId="40A01B35" w14:textId="75E972B6" w:rsidR="00C21A1E" w:rsidRDefault="007A709C" w:rsidP="003E688E">
      <w:pPr>
        <w:jc w:val="both"/>
      </w:pPr>
      <w:r>
        <w:rPr>
          <w:noProof/>
        </w:rPr>
        <w:lastRenderedPageBreak/>
        <w:drawing>
          <wp:inline distT="0" distB="0" distL="0" distR="0" wp14:anchorId="17E2A7A1" wp14:editId="1E1608B1">
            <wp:extent cx="5731510" cy="2273935"/>
            <wp:effectExtent l="0" t="0" r="0" b="0"/>
            <wp:docPr id="2051047663" name="Picture 1" descr="A graph of a number of parti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47663" name="Picture 1" descr="A graph of a number of particl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273935"/>
                    </a:xfrm>
                    <a:prstGeom prst="rect">
                      <a:avLst/>
                    </a:prstGeom>
                  </pic:spPr>
                </pic:pic>
              </a:graphicData>
            </a:graphic>
          </wp:inline>
        </w:drawing>
      </w:r>
    </w:p>
    <w:p w14:paraId="78253083" w14:textId="582C3247" w:rsidR="007A709C" w:rsidRDefault="007A709C" w:rsidP="003E688E">
      <w:pPr>
        <w:jc w:val="both"/>
        <w:rPr>
          <w:rFonts w:ascii="Arial" w:hAnsi="Arial" w:cs="Arial"/>
        </w:rPr>
      </w:pPr>
      <w:r w:rsidRPr="001C0C85">
        <w:rPr>
          <w:rFonts w:ascii="Arial" w:hAnsi="Arial" w:cs="Arial"/>
        </w:rPr>
        <w:t>Figure S1.</w:t>
      </w:r>
      <w:r w:rsidRPr="007A709C">
        <w:rPr>
          <w:rFonts w:ascii="Arial" w:hAnsi="Arial" w:cs="Arial"/>
        </w:rPr>
        <w:t xml:space="preserve"> Particle size distribution of biogenic selenium nanoparticles (BioSeNPs) produced by (a) </w:t>
      </w:r>
      <w:r w:rsidRPr="007A709C">
        <w:rPr>
          <w:rFonts w:ascii="Arial" w:hAnsi="Arial" w:cs="Arial"/>
          <w:i/>
          <w:iCs/>
        </w:rPr>
        <w:t>E. coli</w:t>
      </w:r>
      <w:r w:rsidRPr="007A709C">
        <w:rPr>
          <w:rFonts w:ascii="Arial" w:hAnsi="Arial" w:cs="Arial"/>
        </w:rPr>
        <w:t xml:space="preserve"> and (b) Anaerobic granular sludge.</w:t>
      </w:r>
    </w:p>
    <w:p w14:paraId="6D563C3A" w14:textId="77777777" w:rsidR="00E31B63" w:rsidRDefault="00E31B63" w:rsidP="003E688E">
      <w:pPr>
        <w:jc w:val="both"/>
        <w:rPr>
          <w:rFonts w:ascii="Arial" w:hAnsi="Arial" w:cs="Arial"/>
        </w:rPr>
      </w:pPr>
    </w:p>
    <w:p w14:paraId="11C0E068" w14:textId="3E9A8676" w:rsidR="00E31B63" w:rsidRDefault="00E31B63" w:rsidP="003E688E">
      <w:pPr>
        <w:jc w:val="both"/>
        <w:rPr>
          <w:rFonts w:ascii="Arial" w:hAnsi="Arial" w:cs="Arial"/>
        </w:rPr>
      </w:pPr>
      <w:r>
        <w:rPr>
          <w:rFonts w:ascii="Arial" w:hAnsi="Arial" w:cs="Arial"/>
        </w:rPr>
        <w:t>Table S1. Mass balance for Se release kinetics</w:t>
      </w:r>
    </w:p>
    <w:tbl>
      <w:tblPr>
        <w:tblW w:w="7873" w:type="dxa"/>
        <w:tblLook w:val="04A0" w:firstRow="1" w:lastRow="0" w:firstColumn="1" w:lastColumn="0" w:noHBand="0" w:noVBand="1"/>
      </w:tblPr>
      <w:tblGrid>
        <w:gridCol w:w="1209"/>
        <w:gridCol w:w="1084"/>
        <w:gridCol w:w="1164"/>
        <w:gridCol w:w="1781"/>
        <w:gridCol w:w="2635"/>
      </w:tblGrid>
      <w:tr w:rsidR="00185E22" w14:paraId="72591F58" w14:textId="77777777" w:rsidTr="00185E22">
        <w:trPr>
          <w:trHeight w:val="680"/>
        </w:trPr>
        <w:tc>
          <w:tcPr>
            <w:tcW w:w="1843" w:type="dxa"/>
            <w:tcBorders>
              <w:top w:val="single" w:sz="4" w:space="0" w:color="auto"/>
              <w:bottom w:val="single" w:sz="4" w:space="0" w:color="auto"/>
            </w:tcBorders>
            <w:vAlign w:val="center"/>
            <w:hideMark/>
          </w:tcPr>
          <w:p w14:paraId="10B9D588" w14:textId="77777777" w:rsidR="00185E22" w:rsidRDefault="00185E22">
            <w:pPr>
              <w:jc w:val="both"/>
              <w:rPr>
                <w:rFonts w:ascii="Arial" w:hAnsi="Arial" w:cs="Arial"/>
                <w:color w:val="000000"/>
              </w:rPr>
            </w:pPr>
            <w:r>
              <w:rPr>
                <w:rFonts w:ascii="Arial" w:hAnsi="Arial" w:cs="Arial"/>
                <w:color w:val="000000"/>
              </w:rPr>
              <w:t>Se</w:t>
            </w:r>
          </w:p>
        </w:tc>
        <w:tc>
          <w:tcPr>
            <w:tcW w:w="450" w:type="dxa"/>
            <w:tcBorders>
              <w:top w:val="single" w:sz="4" w:space="0" w:color="auto"/>
              <w:bottom w:val="single" w:sz="4" w:space="0" w:color="auto"/>
            </w:tcBorders>
            <w:vAlign w:val="center"/>
            <w:hideMark/>
          </w:tcPr>
          <w:p w14:paraId="444189F7" w14:textId="77777777" w:rsidR="00185E22" w:rsidRDefault="00185E22">
            <w:pPr>
              <w:jc w:val="both"/>
              <w:rPr>
                <w:rFonts w:ascii="Arial" w:hAnsi="Arial" w:cs="Arial"/>
                <w:color w:val="000000"/>
              </w:rPr>
            </w:pPr>
            <w:r>
              <w:rPr>
                <w:rFonts w:ascii="Arial" w:hAnsi="Arial" w:cs="Arial"/>
                <w:color w:val="000000"/>
              </w:rPr>
              <w:t>Selenite</w:t>
            </w:r>
          </w:p>
        </w:tc>
        <w:tc>
          <w:tcPr>
            <w:tcW w:w="1164" w:type="dxa"/>
            <w:tcBorders>
              <w:top w:val="single" w:sz="4" w:space="0" w:color="auto"/>
              <w:bottom w:val="single" w:sz="4" w:space="0" w:color="auto"/>
            </w:tcBorders>
            <w:vAlign w:val="center"/>
            <w:hideMark/>
          </w:tcPr>
          <w:p w14:paraId="2156A51F" w14:textId="77777777" w:rsidR="00185E22" w:rsidRDefault="00185E22">
            <w:pPr>
              <w:jc w:val="both"/>
              <w:rPr>
                <w:rFonts w:ascii="Arial" w:hAnsi="Arial" w:cs="Arial"/>
                <w:color w:val="000000"/>
              </w:rPr>
            </w:pPr>
            <w:r>
              <w:rPr>
                <w:rFonts w:ascii="Arial" w:hAnsi="Arial" w:cs="Arial"/>
                <w:color w:val="000000"/>
              </w:rPr>
              <w:t>Selenate</w:t>
            </w:r>
          </w:p>
        </w:tc>
        <w:tc>
          <w:tcPr>
            <w:tcW w:w="1781" w:type="dxa"/>
            <w:tcBorders>
              <w:top w:val="single" w:sz="4" w:space="0" w:color="auto"/>
              <w:bottom w:val="single" w:sz="4" w:space="0" w:color="auto"/>
            </w:tcBorders>
            <w:vAlign w:val="center"/>
            <w:hideMark/>
          </w:tcPr>
          <w:p w14:paraId="14094851" w14:textId="77777777" w:rsidR="00185E22" w:rsidRDefault="00185E22">
            <w:pPr>
              <w:jc w:val="both"/>
              <w:rPr>
                <w:rFonts w:ascii="Arial" w:hAnsi="Arial" w:cs="Arial"/>
                <w:color w:val="000000"/>
              </w:rPr>
            </w:pPr>
            <w:proofErr w:type="spellStart"/>
            <w:r>
              <w:rPr>
                <w:rFonts w:ascii="Arial" w:hAnsi="Arial" w:cs="Arial"/>
                <w:color w:val="000000"/>
              </w:rPr>
              <w:t>BioSeNPs@</w:t>
            </w:r>
            <w:r>
              <w:rPr>
                <w:rFonts w:ascii="Arial" w:hAnsi="Arial" w:cs="Arial"/>
                <w:i/>
                <w:iCs/>
                <w:color w:val="000000"/>
              </w:rPr>
              <w:t>E</w:t>
            </w:r>
            <w:proofErr w:type="spellEnd"/>
            <w:r>
              <w:rPr>
                <w:rFonts w:ascii="Arial" w:hAnsi="Arial" w:cs="Arial"/>
                <w:i/>
                <w:iCs/>
                <w:color w:val="000000"/>
              </w:rPr>
              <w:t>. coli</w:t>
            </w:r>
          </w:p>
        </w:tc>
        <w:tc>
          <w:tcPr>
            <w:tcW w:w="2635" w:type="dxa"/>
            <w:tcBorders>
              <w:top w:val="single" w:sz="4" w:space="0" w:color="auto"/>
              <w:bottom w:val="single" w:sz="4" w:space="0" w:color="auto"/>
            </w:tcBorders>
            <w:vAlign w:val="center"/>
            <w:hideMark/>
          </w:tcPr>
          <w:p w14:paraId="43280BCA" w14:textId="77777777" w:rsidR="00185E22" w:rsidRDefault="00185E22">
            <w:pPr>
              <w:jc w:val="both"/>
              <w:rPr>
                <w:rFonts w:ascii="Arial" w:hAnsi="Arial" w:cs="Arial"/>
                <w:color w:val="000000"/>
              </w:rPr>
            </w:pPr>
            <w:proofErr w:type="spellStart"/>
            <w:r>
              <w:rPr>
                <w:rFonts w:ascii="Arial" w:hAnsi="Arial" w:cs="Arial"/>
                <w:color w:val="000000"/>
              </w:rPr>
              <w:t>BioSeNPs@Anaerobic</w:t>
            </w:r>
            <w:proofErr w:type="spellEnd"/>
            <w:r>
              <w:rPr>
                <w:rFonts w:ascii="Arial" w:hAnsi="Arial" w:cs="Arial"/>
                <w:color w:val="000000"/>
              </w:rPr>
              <w:t xml:space="preserve"> granular sludge</w:t>
            </w:r>
          </w:p>
        </w:tc>
      </w:tr>
      <w:tr w:rsidR="00185E22" w14:paraId="1B8D455F" w14:textId="77777777" w:rsidTr="00185E22">
        <w:trPr>
          <w:trHeight w:val="700"/>
        </w:trPr>
        <w:tc>
          <w:tcPr>
            <w:tcW w:w="1204" w:type="dxa"/>
            <w:tcBorders>
              <w:top w:val="single" w:sz="4" w:space="0" w:color="auto"/>
            </w:tcBorders>
            <w:vAlign w:val="center"/>
            <w:hideMark/>
          </w:tcPr>
          <w:p w14:paraId="60146070" w14:textId="77777777" w:rsidR="00185E22" w:rsidRDefault="00185E22">
            <w:pPr>
              <w:jc w:val="both"/>
              <w:rPr>
                <w:rFonts w:ascii="Arial" w:hAnsi="Arial" w:cs="Arial"/>
                <w:color w:val="000000"/>
              </w:rPr>
            </w:pPr>
            <w:r>
              <w:rPr>
                <w:rFonts w:ascii="Arial" w:hAnsi="Arial" w:cs="Arial"/>
                <w:color w:val="000000"/>
              </w:rPr>
              <w:t>% Se in Soil</w:t>
            </w:r>
          </w:p>
        </w:tc>
        <w:tc>
          <w:tcPr>
            <w:tcW w:w="1089" w:type="dxa"/>
            <w:tcBorders>
              <w:top w:val="single" w:sz="4" w:space="0" w:color="auto"/>
            </w:tcBorders>
            <w:vAlign w:val="center"/>
            <w:hideMark/>
          </w:tcPr>
          <w:p w14:paraId="08C49111" w14:textId="68DE2EDF" w:rsidR="00185E22" w:rsidRDefault="00185E22">
            <w:pPr>
              <w:jc w:val="both"/>
              <w:rPr>
                <w:rFonts w:ascii="Arial" w:hAnsi="Arial" w:cs="Arial"/>
                <w:color w:val="000000"/>
              </w:rPr>
            </w:pPr>
            <w:r>
              <w:rPr>
                <w:rFonts w:ascii="Arial" w:hAnsi="Arial" w:cs="Arial"/>
                <w:color w:val="000000"/>
              </w:rPr>
              <w:t>3</w:t>
            </w:r>
            <w:r w:rsidR="000943B9">
              <w:rPr>
                <w:rFonts w:ascii="Arial" w:hAnsi="Arial" w:cs="Arial"/>
                <w:color w:val="000000"/>
              </w:rPr>
              <w:t>5</w:t>
            </w:r>
            <w:r w:rsidR="00C60458">
              <w:rPr>
                <w:rFonts w:ascii="Arial" w:hAnsi="Arial" w:cs="Arial"/>
                <w:color w:val="000000"/>
              </w:rPr>
              <w:t>.0</w:t>
            </w:r>
          </w:p>
        </w:tc>
        <w:tc>
          <w:tcPr>
            <w:tcW w:w="1164" w:type="dxa"/>
            <w:tcBorders>
              <w:top w:val="single" w:sz="4" w:space="0" w:color="auto"/>
            </w:tcBorders>
            <w:vAlign w:val="center"/>
            <w:hideMark/>
          </w:tcPr>
          <w:p w14:paraId="77FDED9F" w14:textId="69DCBAE4" w:rsidR="00185E22" w:rsidRDefault="00185E22">
            <w:pPr>
              <w:jc w:val="both"/>
              <w:rPr>
                <w:rFonts w:ascii="Arial" w:hAnsi="Arial" w:cs="Arial"/>
                <w:color w:val="000000"/>
              </w:rPr>
            </w:pPr>
            <w:r>
              <w:rPr>
                <w:rFonts w:ascii="Arial" w:hAnsi="Arial" w:cs="Arial"/>
                <w:color w:val="000000"/>
              </w:rPr>
              <w:t>1</w:t>
            </w:r>
            <w:r w:rsidR="000943B9">
              <w:rPr>
                <w:rFonts w:ascii="Arial" w:hAnsi="Arial" w:cs="Arial"/>
                <w:color w:val="000000"/>
              </w:rPr>
              <w:t>2</w:t>
            </w:r>
            <w:r>
              <w:rPr>
                <w:rFonts w:ascii="Arial" w:hAnsi="Arial" w:cs="Arial"/>
                <w:color w:val="000000"/>
              </w:rPr>
              <w:t>.7</w:t>
            </w:r>
          </w:p>
        </w:tc>
        <w:tc>
          <w:tcPr>
            <w:tcW w:w="1781" w:type="dxa"/>
            <w:tcBorders>
              <w:top w:val="single" w:sz="4" w:space="0" w:color="auto"/>
            </w:tcBorders>
            <w:vAlign w:val="center"/>
            <w:hideMark/>
          </w:tcPr>
          <w:p w14:paraId="6391F2A8" w14:textId="77777777" w:rsidR="00185E22" w:rsidRDefault="00185E22">
            <w:pPr>
              <w:jc w:val="both"/>
              <w:rPr>
                <w:rFonts w:ascii="Arial" w:hAnsi="Arial" w:cs="Arial"/>
                <w:color w:val="000000"/>
              </w:rPr>
            </w:pPr>
            <w:r>
              <w:rPr>
                <w:rFonts w:ascii="Arial" w:hAnsi="Arial" w:cs="Arial"/>
                <w:color w:val="000000"/>
              </w:rPr>
              <w:t>96.7</w:t>
            </w:r>
          </w:p>
        </w:tc>
        <w:tc>
          <w:tcPr>
            <w:tcW w:w="2635" w:type="dxa"/>
            <w:tcBorders>
              <w:top w:val="single" w:sz="4" w:space="0" w:color="auto"/>
            </w:tcBorders>
            <w:vAlign w:val="center"/>
            <w:hideMark/>
          </w:tcPr>
          <w:p w14:paraId="711707A5" w14:textId="77777777" w:rsidR="00185E22" w:rsidRDefault="00185E22">
            <w:pPr>
              <w:jc w:val="both"/>
              <w:rPr>
                <w:rFonts w:ascii="Arial" w:hAnsi="Arial" w:cs="Arial"/>
                <w:color w:val="000000"/>
              </w:rPr>
            </w:pPr>
            <w:r>
              <w:rPr>
                <w:rFonts w:ascii="Arial" w:hAnsi="Arial" w:cs="Arial"/>
                <w:color w:val="000000"/>
              </w:rPr>
              <w:t>91.7</w:t>
            </w:r>
          </w:p>
        </w:tc>
      </w:tr>
      <w:tr w:rsidR="00185E22" w14:paraId="7E4424C8" w14:textId="77777777" w:rsidTr="00185E22">
        <w:trPr>
          <w:trHeight w:val="1380"/>
        </w:trPr>
        <w:tc>
          <w:tcPr>
            <w:tcW w:w="1204" w:type="dxa"/>
            <w:vAlign w:val="center"/>
            <w:hideMark/>
          </w:tcPr>
          <w:p w14:paraId="15AB0DBA" w14:textId="77777777" w:rsidR="00185E22" w:rsidRDefault="00185E22">
            <w:pPr>
              <w:jc w:val="both"/>
              <w:rPr>
                <w:rFonts w:ascii="Arial" w:hAnsi="Arial" w:cs="Arial"/>
                <w:color w:val="000000"/>
              </w:rPr>
            </w:pPr>
            <w:r>
              <w:rPr>
                <w:rFonts w:ascii="Arial" w:hAnsi="Arial" w:cs="Arial"/>
                <w:color w:val="000000"/>
              </w:rPr>
              <w:t>Standard deviation for % Se in soil</w:t>
            </w:r>
          </w:p>
        </w:tc>
        <w:tc>
          <w:tcPr>
            <w:tcW w:w="1089" w:type="dxa"/>
            <w:vAlign w:val="center"/>
            <w:hideMark/>
          </w:tcPr>
          <w:p w14:paraId="5E3A6598" w14:textId="1426E67A" w:rsidR="00185E22" w:rsidRDefault="00185E22">
            <w:pPr>
              <w:jc w:val="both"/>
              <w:rPr>
                <w:rFonts w:ascii="Arial" w:hAnsi="Arial" w:cs="Arial"/>
                <w:color w:val="000000"/>
              </w:rPr>
            </w:pPr>
            <w:r>
              <w:rPr>
                <w:rFonts w:ascii="Arial" w:hAnsi="Arial" w:cs="Arial"/>
                <w:color w:val="000000"/>
              </w:rPr>
              <w:t>2</w:t>
            </w:r>
            <w:r w:rsidR="00F26BCA">
              <w:rPr>
                <w:rFonts w:ascii="Arial" w:hAnsi="Arial" w:cs="Arial"/>
                <w:color w:val="000000"/>
              </w:rPr>
              <w:t>.0</w:t>
            </w:r>
          </w:p>
        </w:tc>
        <w:tc>
          <w:tcPr>
            <w:tcW w:w="1164" w:type="dxa"/>
            <w:vAlign w:val="center"/>
            <w:hideMark/>
          </w:tcPr>
          <w:p w14:paraId="01586DEF" w14:textId="77777777" w:rsidR="00185E22" w:rsidRDefault="00185E22">
            <w:pPr>
              <w:jc w:val="both"/>
              <w:rPr>
                <w:rFonts w:ascii="Arial" w:hAnsi="Arial" w:cs="Arial"/>
                <w:color w:val="000000"/>
              </w:rPr>
            </w:pPr>
            <w:r>
              <w:rPr>
                <w:rFonts w:ascii="Arial" w:hAnsi="Arial" w:cs="Arial"/>
                <w:color w:val="000000"/>
              </w:rPr>
              <w:t>1.5</w:t>
            </w:r>
          </w:p>
        </w:tc>
        <w:tc>
          <w:tcPr>
            <w:tcW w:w="1781" w:type="dxa"/>
            <w:vAlign w:val="center"/>
            <w:hideMark/>
          </w:tcPr>
          <w:p w14:paraId="387E2B03" w14:textId="77777777" w:rsidR="00185E22" w:rsidRDefault="00185E22">
            <w:pPr>
              <w:jc w:val="both"/>
              <w:rPr>
                <w:rFonts w:ascii="Arial" w:hAnsi="Arial" w:cs="Arial"/>
                <w:color w:val="000000"/>
              </w:rPr>
            </w:pPr>
            <w:r>
              <w:rPr>
                <w:rFonts w:ascii="Arial" w:hAnsi="Arial" w:cs="Arial"/>
                <w:color w:val="000000"/>
              </w:rPr>
              <w:t>1.2</w:t>
            </w:r>
          </w:p>
        </w:tc>
        <w:tc>
          <w:tcPr>
            <w:tcW w:w="2635" w:type="dxa"/>
            <w:vAlign w:val="center"/>
            <w:hideMark/>
          </w:tcPr>
          <w:p w14:paraId="5B44ECFA" w14:textId="77777777" w:rsidR="00185E22" w:rsidRDefault="00185E22">
            <w:pPr>
              <w:jc w:val="both"/>
              <w:rPr>
                <w:rFonts w:ascii="Arial" w:hAnsi="Arial" w:cs="Arial"/>
                <w:color w:val="000000"/>
              </w:rPr>
            </w:pPr>
            <w:r>
              <w:rPr>
                <w:rFonts w:ascii="Arial" w:hAnsi="Arial" w:cs="Arial"/>
                <w:color w:val="000000"/>
              </w:rPr>
              <w:t>2.1</w:t>
            </w:r>
          </w:p>
        </w:tc>
      </w:tr>
      <w:tr w:rsidR="00185E22" w14:paraId="5AAB265B" w14:textId="77777777" w:rsidTr="00185E22">
        <w:trPr>
          <w:trHeight w:val="700"/>
        </w:trPr>
        <w:tc>
          <w:tcPr>
            <w:tcW w:w="1204" w:type="dxa"/>
            <w:vAlign w:val="center"/>
            <w:hideMark/>
          </w:tcPr>
          <w:p w14:paraId="1744176D" w14:textId="77777777" w:rsidR="00185E22" w:rsidRDefault="00185E22">
            <w:pPr>
              <w:jc w:val="both"/>
              <w:rPr>
                <w:rFonts w:ascii="Arial" w:hAnsi="Arial" w:cs="Arial"/>
                <w:color w:val="000000"/>
              </w:rPr>
            </w:pPr>
            <w:r>
              <w:rPr>
                <w:rFonts w:ascii="Arial" w:hAnsi="Arial" w:cs="Arial"/>
                <w:color w:val="000000"/>
              </w:rPr>
              <w:t>% Se in Leachate</w:t>
            </w:r>
          </w:p>
        </w:tc>
        <w:tc>
          <w:tcPr>
            <w:tcW w:w="1089" w:type="dxa"/>
            <w:vAlign w:val="center"/>
            <w:hideMark/>
          </w:tcPr>
          <w:p w14:paraId="2A43735C" w14:textId="77777777" w:rsidR="00185E22" w:rsidRDefault="00185E22">
            <w:pPr>
              <w:jc w:val="both"/>
              <w:rPr>
                <w:rFonts w:ascii="Arial" w:hAnsi="Arial" w:cs="Arial"/>
                <w:color w:val="000000"/>
              </w:rPr>
            </w:pPr>
            <w:r>
              <w:rPr>
                <w:rFonts w:ascii="Arial" w:hAnsi="Arial" w:cs="Arial"/>
                <w:color w:val="000000"/>
              </w:rPr>
              <w:t>63.6</w:t>
            </w:r>
          </w:p>
        </w:tc>
        <w:tc>
          <w:tcPr>
            <w:tcW w:w="1164" w:type="dxa"/>
            <w:vAlign w:val="center"/>
            <w:hideMark/>
          </w:tcPr>
          <w:p w14:paraId="78AD6430" w14:textId="77777777" w:rsidR="00185E22" w:rsidRDefault="00185E22">
            <w:pPr>
              <w:jc w:val="both"/>
              <w:rPr>
                <w:rFonts w:ascii="Arial" w:hAnsi="Arial" w:cs="Arial"/>
                <w:color w:val="000000"/>
              </w:rPr>
            </w:pPr>
            <w:r>
              <w:rPr>
                <w:rFonts w:ascii="Arial" w:hAnsi="Arial" w:cs="Arial"/>
                <w:color w:val="000000"/>
              </w:rPr>
              <w:t>86.3</w:t>
            </w:r>
          </w:p>
        </w:tc>
        <w:tc>
          <w:tcPr>
            <w:tcW w:w="1781" w:type="dxa"/>
            <w:vAlign w:val="center"/>
            <w:hideMark/>
          </w:tcPr>
          <w:p w14:paraId="2EE9887D" w14:textId="77777777" w:rsidR="00185E22" w:rsidRDefault="00185E22">
            <w:pPr>
              <w:jc w:val="both"/>
              <w:rPr>
                <w:rFonts w:ascii="Arial" w:hAnsi="Arial" w:cs="Arial"/>
                <w:color w:val="000000"/>
              </w:rPr>
            </w:pPr>
            <w:r>
              <w:rPr>
                <w:rFonts w:ascii="Arial" w:hAnsi="Arial" w:cs="Arial"/>
                <w:color w:val="000000"/>
              </w:rPr>
              <w:t>3.4</w:t>
            </w:r>
          </w:p>
        </w:tc>
        <w:tc>
          <w:tcPr>
            <w:tcW w:w="2635" w:type="dxa"/>
            <w:vAlign w:val="center"/>
            <w:hideMark/>
          </w:tcPr>
          <w:p w14:paraId="5025F169" w14:textId="77777777" w:rsidR="00185E22" w:rsidRDefault="00185E22">
            <w:pPr>
              <w:jc w:val="both"/>
              <w:rPr>
                <w:rFonts w:ascii="Arial" w:hAnsi="Arial" w:cs="Arial"/>
                <w:color w:val="000000"/>
              </w:rPr>
            </w:pPr>
            <w:r>
              <w:rPr>
                <w:rFonts w:ascii="Arial" w:hAnsi="Arial" w:cs="Arial"/>
                <w:color w:val="000000"/>
              </w:rPr>
              <w:t>9.6</w:t>
            </w:r>
          </w:p>
        </w:tc>
      </w:tr>
      <w:tr w:rsidR="00185E22" w14:paraId="3287F9CF" w14:textId="77777777" w:rsidTr="00185E22">
        <w:trPr>
          <w:trHeight w:val="1720"/>
        </w:trPr>
        <w:tc>
          <w:tcPr>
            <w:tcW w:w="1204" w:type="dxa"/>
            <w:vAlign w:val="center"/>
            <w:hideMark/>
          </w:tcPr>
          <w:p w14:paraId="72EB4965" w14:textId="77777777" w:rsidR="00185E22" w:rsidRDefault="00185E22">
            <w:pPr>
              <w:jc w:val="both"/>
              <w:rPr>
                <w:rFonts w:ascii="Arial" w:hAnsi="Arial" w:cs="Arial"/>
                <w:color w:val="000000"/>
              </w:rPr>
            </w:pPr>
            <w:r>
              <w:rPr>
                <w:rFonts w:ascii="Arial" w:hAnsi="Arial" w:cs="Arial"/>
                <w:color w:val="000000"/>
              </w:rPr>
              <w:t>Standard deviation for % Se in leachate</w:t>
            </w:r>
          </w:p>
        </w:tc>
        <w:tc>
          <w:tcPr>
            <w:tcW w:w="1089" w:type="dxa"/>
            <w:vAlign w:val="center"/>
            <w:hideMark/>
          </w:tcPr>
          <w:p w14:paraId="476BADD0" w14:textId="77777777" w:rsidR="00185E22" w:rsidRDefault="00185E22">
            <w:pPr>
              <w:jc w:val="both"/>
              <w:rPr>
                <w:rFonts w:ascii="Arial" w:hAnsi="Arial" w:cs="Arial"/>
                <w:color w:val="000000"/>
              </w:rPr>
            </w:pPr>
            <w:r>
              <w:rPr>
                <w:rFonts w:ascii="Arial" w:hAnsi="Arial" w:cs="Arial"/>
                <w:color w:val="000000"/>
              </w:rPr>
              <w:t>1.1</w:t>
            </w:r>
          </w:p>
        </w:tc>
        <w:tc>
          <w:tcPr>
            <w:tcW w:w="1164" w:type="dxa"/>
            <w:vAlign w:val="center"/>
            <w:hideMark/>
          </w:tcPr>
          <w:p w14:paraId="08F7E3A6" w14:textId="77777777" w:rsidR="00185E22" w:rsidRDefault="00185E22">
            <w:pPr>
              <w:jc w:val="both"/>
              <w:rPr>
                <w:rFonts w:ascii="Arial" w:hAnsi="Arial" w:cs="Arial"/>
                <w:color w:val="000000"/>
              </w:rPr>
            </w:pPr>
            <w:r>
              <w:rPr>
                <w:rFonts w:ascii="Arial" w:hAnsi="Arial" w:cs="Arial"/>
                <w:color w:val="000000"/>
              </w:rPr>
              <w:t>1.9</w:t>
            </w:r>
          </w:p>
        </w:tc>
        <w:tc>
          <w:tcPr>
            <w:tcW w:w="1781" w:type="dxa"/>
            <w:vAlign w:val="center"/>
            <w:hideMark/>
          </w:tcPr>
          <w:p w14:paraId="28E51E0A" w14:textId="77777777" w:rsidR="00185E22" w:rsidRDefault="00185E22">
            <w:pPr>
              <w:jc w:val="both"/>
              <w:rPr>
                <w:rFonts w:ascii="Arial" w:hAnsi="Arial" w:cs="Arial"/>
                <w:color w:val="000000"/>
              </w:rPr>
            </w:pPr>
            <w:r>
              <w:rPr>
                <w:rFonts w:ascii="Arial" w:hAnsi="Arial" w:cs="Arial"/>
                <w:color w:val="000000"/>
              </w:rPr>
              <w:t>2.4</w:t>
            </w:r>
          </w:p>
        </w:tc>
        <w:tc>
          <w:tcPr>
            <w:tcW w:w="2635" w:type="dxa"/>
            <w:vAlign w:val="center"/>
            <w:hideMark/>
          </w:tcPr>
          <w:p w14:paraId="78BE2B17" w14:textId="77777777" w:rsidR="00185E22" w:rsidRDefault="00185E22">
            <w:pPr>
              <w:jc w:val="both"/>
              <w:rPr>
                <w:rFonts w:ascii="Arial" w:hAnsi="Arial" w:cs="Arial"/>
                <w:color w:val="000000"/>
              </w:rPr>
            </w:pPr>
            <w:r>
              <w:rPr>
                <w:rFonts w:ascii="Arial" w:hAnsi="Arial" w:cs="Arial"/>
                <w:color w:val="000000"/>
              </w:rPr>
              <w:t>3.6</w:t>
            </w:r>
          </w:p>
        </w:tc>
      </w:tr>
      <w:tr w:rsidR="00185E22" w14:paraId="53F9FE3F" w14:textId="77777777" w:rsidTr="00185E22">
        <w:trPr>
          <w:trHeight w:val="700"/>
        </w:trPr>
        <w:tc>
          <w:tcPr>
            <w:tcW w:w="1204" w:type="dxa"/>
            <w:vAlign w:val="center"/>
            <w:hideMark/>
          </w:tcPr>
          <w:p w14:paraId="2587359F" w14:textId="77777777" w:rsidR="00185E22" w:rsidRDefault="00185E22">
            <w:pPr>
              <w:jc w:val="both"/>
              <w:rPr>
                <w:rFonts w:ascii="Arial" w:hAnsi="Arial" w:cs="Arial"/>
                <w:color w:val="000000"/>
              </w:rPr>
            </w:pPr>
            <w:r>
              <w:rPr>
                <w:rFonts w:ascii="Arial" w:hAnsi="Arial" w:cs="Arial"/>
                <w:color w:val="000000"/>
              </w:rPr>
              <w:t>Total % Se</w:t>
            </w:r>
          </w:p>
        </w:tc>
        <w:tc>
          <w:tcPr>
            <w:tcW w:w="1089" w:type="dxa"/>
            <w:vAlign w:val="center"/>
            <w:hideMark/>
          </w:tcPr>
          <w:p w14:paraId="4F20C9CF" w14:textId="0F4D4BE1" w:rsidR="00185E22" w:rsidRDefault="00C60458">
            <w:pPr>
              <w:jc w:val="both"/>
              <w:rPr>
                <w:rFonts w:ascii="Arial" w:hAnsi="Arial" w:cs="Arial"/>
                <w:color w:val="000000"/>
              </w:rPr>
            </w:pPr>
            <w:r>
              <w:rPr>
                <w:rFonts w:ascii="Arial" w:hAnsi="Arial" w:cs="Arial"/>
                <w:color w:val="000000"/>
              </w:rPr>
              <w:t>9</w:t>
            </w:r>
            <w:r w:rsidR="000943B9">
              <w:rPr>
                <w:rFonts w:ascii="Arial" w:hAnsi="Arial" w:cs="Arial"/>
                <w:color w:val="000000"/>
              </w:rPr>
              <w:t>8</w:t>
            </w:r>
            <w:r w:rsidR="00185E22">
              <w:rPr>
                <w:rFonts w:ascii="Arial" w:hAnsi="Arial" w:cs="Arial"/>
                <w:color w:val="000000"/>
              </w:rPr>
              <w:t>.6</w:t>
            </w:r>
          </w:p>
        </w:tc>
        <w:tc>
          <w:tcPr>
            <w:tcW w:w="1164" w:type="dxa"/>
            <w:vAlign w:val="center"/>
            <w:hideMark/>
          </w:tcPr>
          <w:p w14:paraId="37EAFB1E" w14:textId="4FEBAA5C" w:rsidR="00185E22" w:rsidRDefault="005321D8">
            <w:pPr>
              <w:jc w:val="both"/>
              <w:rPr>
                <w:rFonts w:ascii="Arial" w:hAnsi="Arial" w:cs="Arial"/>
                <w:color w:val="000000"/>
              </w:rPr>
            </w:pPr>
            <w:r>
              <w:rPr>
                <w:rFonts w:ascii="Arial" w:hAnsi="Arial" w:cs="Arial"/>
                <w:color w:val="000000"/>
              </w:rPr>
              <w:t>9</w:t>
            </w:r>
            <w:r w:rsidR="000943B9">
              <w:rPr>
                <w:rFonts w:ascii="Arial" w:hAnsi="Arial" w:cs="Arial"/>
                <w:color w:val="000000"/>
              </w:rPr>
              <w:t>9</w:t>
            </w:r>
            <w:r w:rsidR="00185E22">
              <w:rPr>
                <w:rFonts w:ascii="Arial" w:hAnsi="Arial" w:cs="Arial"/>
                <w:color w:val="000000"/>
              </w:rPr>
              <w:t>.</w:t>
            </w:r>
            <w:r>
              <w:rPr>
                <w:rFonts w:ascii="Arial" w:hAnsi="Arial" w:cs="Arial"/>
                <w:color w:val="000000"/>
              </w:rPr>
              <w:t>0</w:t>
            </w:r>
          </w:p>
        </w:tc>
        <w:tc>
          <w:tcPr>
            <w:tcW w:w="1781" w:type="dxa"/>
            <w:vAlign w:val="center"/>
            <w:hideMark/>
          </w:tcPr>
          <w:p w14:paraId="4CB07D79" w14:textId="77777777" w:rsidR="00185E22" w:rsidRDefault="00185E22">
            <w:pPr>
              <w:jc w:val="both"/>
              <w:rPr>
                <w:rFonts w:ascii="Arial" w:hAnsi="Arial" w:cs="Arial"/>
                <w:color w:val="000000"/>
              </w:rPr>
            </w:pPr>
            <w:r>
              <w:rPr>
                <w:rFonts w:ascii="Arial" w:hAnsi="Arial" w:cs="Arial"/>
                <w:color w:val="000000"/>
              </w:rPr>
              <w:t>100.1</w:t>
            </w:r>
          </w:p>
        </w:tc>
        <w:tc>
          <w:tcPr>
            <w:tcW w:w="2635" w:type="dxa"/>
            <w:vAlign w:val="center"/>
            <w:hideMark/>
          </w:tcPr>
          <w:p w14:paraId="29CA610D" w14:textId="77777777" w:rsidR="00185E22" w:rsidRDefault="00185E22">
            <w:pPr>
              <w:jc w:val="both"/>
              <w:rPr>
                <w:rFonts w:ascii="Arial" w:hAnsi="Arial" w:cs="Arial"/>
                <w:color w:val="000000"/>
              </w:rPr>
            </w:pPr>
            <w:r>
              <w:rPr>
                <w:rFonts w:ascii="Arial" w:hAnsi="Arial" w:cs="Arial"/>
                <w:color w:val="000000"/>
              </w:rPr>
              <w:t>101.3</w:t>
            </w:r>
          </w:p>
        </w:tc>
      </w:tr>
      <w:tr w:rsidR="00185E22" w14:paraId="2595AB73" w14:textId="77777777" w:rsidTr="00185E22">
        <w:trPr>
          <w:trHeight w:val="1720"/>
        </w:trPr>
        <w:tc>
          <w:tcPr>
            <w:tcW w:w="1204" w:type="dxa"/>
            <w:tcBorders>
              <w:bottom w:val="single" w:sz="4" w:space="0" w:color="auto"/>
            </w:tcBorders>
            <w:vAlign w:val="center"/>
            <w:hideMark/>
          </w:tcPr>
          <w:p w14:paraId="389B9E83" w14:textId="77777777" w:rsidR="00185E22" w:rsidRDefault="00185E22">
            <w:pPr>
              <w:jc w:val="both"/>
              <w:rPr>
                <w:rFonts w:ascii="Arial" w:hAnsi="Arial" w:cs="Arial"/>
                <w:color w:val="000000"/>
              </w:rPr>
            </w:pPr>
            <w:r>
              <w:rPr>
                <w:rFonts w:ascii="Arial" w:hAnsi="Arial" w:cs="Arial"/>
                <w:color w:val="000000"/>
              </w:rPr>
              <w:t xml:space="preserve">Standard deviation for total % Se </w:t>
            </w:r>
          </w:p>
        </w:tc>
        <w:tc>
          <w:tcPr>
            <w:tcW w:w="1089" w:type="dxa"/>
            <w:tcBorders>
              <w:bottom w:val="single" w:sz="4" w:space="0" w:color="auto"/>
            </w:tcBorders>
            <w:vAlign w:val="center"/>
            <w:hideMark/>
          </w:tcPr>
          <w:p w14:paraId="451CE972" w14:textId="77777777" w:rsidR="00185E22" w:rsidRDefault="00185E22">
            <w:pPr>
              <w:jc w:val="both"/>
              <w:rPr>
                <w:rFonts w:ascii="Arial" w:hAnsi="Arial" w:cs="Arial"/>
                <w:color w:val="000000"/>
              </w:rPr>
            </w:pPr>
            <w:r>
              <w:rPr>
                <w:rFonts w:ascii="Arial" w:hAnsi="Arial" w:cs="Arial"/>
                <w:color w:val="000000"/>
              </w:rPr>
              <w:t>2.1</w:t>
            </w:r>
          </w:p>
        </w:tc>
        <w:tc>
          <w:tcPr>
            <w:tcW w:w="1164" w:type="dxa"/>
            <w:tcBorders>
              <w:bottom w:val="single" w:sz="4" w:space="0" w:color="auto"/>
            </w:tcBorders>
            <w:vAlign w:val="center"/>
            <w:hideMark/>
          </w:tcPr>
          <w:p w14:paraId="01349CCD" w14:textId="77777777" w:rsidR="00185E22" w:rsidRDefault="00185E22">
            <w:pPr>
              <w:jc w:val="both"/>
              <w:rPr>
                <w:rFonts w:ascii="Arial" w:hAnsi="Arial" w:cs="Arial"/>
                <w:color w:val="000000"/>
              </w:rPr>
            </w:pPr>
            <w:r>
              <w:rPr>
                <w:rFonts w:ascii="Arial" w:hAnsi="Arial" w:cs="Arial"/>
                <w:color w:val="000000"/>
              </w:rPr>
              <w:t>3.3</w:t>
            </w:r>
          </w:p>
        </w:tc>
        <w:tc>
          <w:tcPr>
            <w:tcW w:w="1781" w:type="dxa"/>
            <w:tcBorders>
              <w:bottom w:val="single" w:sz="4" w:space="0" w:color="auto"/>
            </w:tcBorders>
            <w:vAlign w:val="center"/>
            <w:hideMark/>
          </w:tcPr>
          <w:p w14:paraId="5A70048A" w14:textId="77777777" w:rsidR="00185E22" w:rsidRDefault="00185E22">
            <w:pPr>
              <w:jc w:val="both"/>
              <w:rPr>
                <w:rFonts w:ascii="Arial" w:hAnsi="Arial" w:cs="Arial"/>
                <w:color w:val="000000"/>
              </w:rPr>
            </w:pPr>
            <w:r>
              <w:rPr>
                <w:rFonts w:ascii="Arial" w:hAnsi="Arial" w:cs="Arial"/>
                <w:color w:val="000000"/>
              </w:rPr>
              <w:t>1.3</w:t>
            </w:r>
          </w:p>
        </w:tc>
        <w:tc>
          <w:tcPr>
            <w:tcW w:w="2635" w:type="dxa"/>
            <w:tcBorders>
              <w:bottom w:val="single" w:sz="4" w:space="0" w:color="auto"/>
            </w:tcBorders>
            <w:vAlign w:val="center"/>
            <w:hideMark/>
          </w:tcPr>
          <w:p w14:paraId="166B1873" w14:textId="77777777" w:rsidR="00185E22" w:rsidRDefault="00185E22">
            <w:pPr>
              <w:jc w:val="both"/>
              <w:rPr>
                <w:rFonts w:ascii="Arial" w:hAnsi="Arial" w:cs="Arial"/>
                <w:color w:val="000000"/>
              </w:rPr>
            </w:pPr>
            <w:r>
              <w:rPr>
                <w:rFonts w:ascii="Arial" w:hAnsi="Arial" w:cs="Arial"/>
                <w:color w:val="000000"/>
              </w:rPr>
              <w:t>1.7</w:t>
            </w:r>
          </w:p>
        </w:tc>
      </w:tr>
    </w:tbl>
    <w:p w14:paraId="34152AE7" w14:textId="77777777" w:rsidR="00E31B63" w:rsidRDefault="00E31B63" w:rsidP="003E688E">
      <w:pPr>
        <w:jc w:val="both"/>
        <w:rPr>
          <w:rFonts w:ascii="Arial" w:hAnsi="Arial" w:cs="Arial"/>
        </w:rPr>
      </w:pPr>
    </w:p>
    <w:p w14:paraId="5ED0C9DC" w14:textId="77777777" w:rsidR="00185E22" w:rsidRDefault="00185E22" w:rsidP="003E688E">
      <w:pPr>
        <w:jc w:val="both"/>
        <w:rPr>
          <w:rFonts w:ascii="Arial" w:hAnsi="Arial" w:cs="Arial"/>
        </w:rPr>
      </w:pPr>
    </w:p>
    <w:p w14:paraId="36FFD331" w14:textId="77777777" w:rsidR="00666A71" w:rsidRDefault="00666A71" w:rsidP="003E688E">
      <w:pPr>
        <w:jc w:val="both"/>
        <w:rPr>
          <w:rFonts w:ascii="Arial" w:hAnsi="Arial" w:cs="Arial"/>
        </w:rPr>
      </w:pPr>
    </w:p>
    <w:p w14:paraId="6B0BC142" w14:textId="77777777" w:rsidR="00666A71" w:rsidRDefault="00666A71" w:rsidP="003E688E">
      <w:pPr>
        <w:jc w:val="both"/>
        <w:rPr>
          <w:rFonts w:ascii="Arial" w:hAnsi="Arial" w:cs="Arial"/>
        </w:rPr>
      </w:pPr>
    </w:p>
    <w:p w14:paraId="0D08E085" w14:textId="77777777" w:rsidR="00666A71" w:rsidRDefault="00666A71" w:rsidP="003E688E">
      <w:pPr>
        <w:jc w:val="both"/>
        <w:rPr>
          <w:rFonts w:ascii="Arial" w:hAnsi="Arial" w:cs="Arial"/>
        </w:rPr>
      </w:pPr>
    </w:p>
    <w:p w14:paraId="1FC078EE" w14:textId="289A1427" w:rsidR="000301C7" w:rsidRDefault="00BE261B" w:rsidP="003E688E">
      <w:pPr>
        <w:jc w:val="both"/>
        <w:rPr>
          <w:rFonts w:ascii="Arial" w:hAnsi="Arial" w:cs="Arial"/>
        </w:rPr>
      </w:pPr>
      <w:r>
        <w:rPr>
          <w:rFonts w:ascii="Arial" w:hAnsi="Arial" w:cs="Arial"/>
        </w:rPr>
        <w:lastRenderedPageBreak/>
        <w:t>Table S2. Mass balance for Se uptake by mustard plants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4"/>
        <w:gridCol w:w="1084"/>
        <w:gridCol w:w="1164"/>
        <w:gridCol w:w="2026"/>
        <w:gridCol w:w="2635"/>
      </w:tblGrid>
      <w:tr w:rsidR="000301C7" w:rsidRPr="000301C7" w14:paraId="1788A9F7" w14:textId="77777777" w:rsidTr="000301C7">
        <w:trPr>
          <w:trHeight w:val="699"/>
        </w:trPr>
        <w:tc>
          <w:tcPr>
            <w:tcW w:w="1139" w:type="dxa"/>
            <w:tcBorders>
              <w:top w:val="single" w:sz="4" w:space="0" w:color="auto"/>
              <w:bottom w:val="single" w:sz="4" w:space="0" w:color="auto"/>
            </w:tcBorders>
            <w:hideMark/>
          </w:tcPr>
          <w:p w14:paraId="2ACCB4A9" w14:textId="77777777" w:rsidR="000301C7" w:rsidRPr="000301C7" w:rsidRDefault="000301C7">
            <w:pPr>
              <w:jc w:val="both"/>
              <w:rPr>
                <w:rFonts w:ascii="Arial" w:hAnsi="Arial" w:cs="Arial"/>
              </w:rPr>
            </w:pPr>
            <w:r w:rsidRPr="000301C7">
              <w:rPr>
                <w:rFonts w:ascii="Arial" w:hAnsi="Arial" w:cs="Arial"/>
              </w:rPr>
              <w:t>Se</w:t>
            </w:r>
          </w:p>
        </w:tc>
        <w:tc>
          <w:tcPr>
            <w:tcW w:w="1070" w:type="dxa"/>
            <w:tcBorders>
              <w:top w:val="single" w:sz="4" w:space="0" w:color="auto"/>
              <w:bottom w:val="single" w:sz="4" w:space="0" w:color="auto"/>
            </w:tcBorders>
            <w:hideMark/>
          </w:tcPr>
          <w:p w14:paraId="0A3B77E9" w14:textId="77777777" w:rsidR="000301C7" w:rsidRPr="000301C7" w:rsidRDefault="000301C7">
            <w:pPr>
              <w:jc w:val="both"/>
              <w:rPr>
                <w:rFonts w:ascii="Arial" w:hAnsi="Arial" w:cs="Arial"/>
              </w:rPr>
            </w:pPr>
            <w:r w:rsidRPr="000301C7">
              <w:rPr>
                <w:rFonts w:ascii="Arial" w:hAnsi="Arial" w:cs="Arial"/>
              </w:rPr>
              <w:t>Selenite</w:t>
            </w:r>
          </w:p>
        </w:tc>
        <w:tc>
          <w:tcPr>
            <w:tcW w:w="1116" w:type="dxa"/>
            <w:tcBorders>
              <w:top w:val="single" w:sz="4" w:space="0" w:color="auto"/>
              <w:bottom w:val="single" w:sz="4" w:space="0" w:color="auto"/>
            </w:tcBorders>
            <w:hideMark/>
          </w:tcPr>
          <w:p w14:paraId="2673E82F" w14:textId="77777777" w:rsidR="000301C7" w:rsidRPr="000301C7" w:rsidRDefault="000301C7">
            <w:pPr>
              <w:jc w:val="both"/>
              <w:rPr>
                <w:rFonts w:ascii="Arial" w:hAnsi="Arial" w:cs="Arial"/>
              </w:rPr>
            </w:pPr>
            <w:r w:rsidRPr="000301C7">
              <w:rPr>
                <w:rFonts w:ascii="Arial" w:hAnsi="Arial" w:cs="Arial"/>
              </w:rPr>
              <w:t>Selenate</w:t>
            </w:r>
          </w:p>
        </w:tc>
        <w:tc>
          <w:tcPr>
            <w:tcW w:w="2026" w:type="dxa"/>
            <w:tcBorders>
              <w:top w:val="single" w:sz="4" w:space="0" w:color="auto"/>
              <w:bottom w:val="single" w:sz="4" w:space="0" w:color="auto"/>
            </w:tcBorders>
            <w:hideMark/>
          </w:tcPr>
          <w:p w14:paraId="479F11F0" w14:textId="77777777" w:rsidR="000301C7" w:rsidRPr="000301C7" w:rsidRDefault="000301C7">
            <w:pPr>
              <w:jc w:val="both"/>
              <w:rPr>
                <w:rFonts w:ascii="Arial" w:hAnsi="Arial" w:cs="Arial"/>
              </w:rPr>
            </w:pPr>
            <w:proofErr w:type="spellStart"/>
            <w:r w:rsidRPr="000301C7">
              <w:rPr>
                <w:rFonts w:ascii="Arial" w:hAnsi="Arial" w:cs="Arial"/>
              </w:rPr>
              <w:t>BioSeNPs@</w:t>
            </w:r>
            <w:r w:rsidRPr="000301C7">
              <w:rPr>
                <w:rFonts w:ascii="Arial" w:hAnsi="Arial" w:cs="Arial"/>
                <w:i/>
                <w:iCs/>
              </w:rPr>
              <w:t>E</w:t>
            </w:r>
            <w:proofErr w:type="spellEnd"/>
            <w:r w:rsidRPr="000301C7">
              <w:rPr>
                <w:rFonts w:ascii="Arial" w:hAnsi="Arial" w:cs="Arial"/>
                <w:i/>
                <w:iCs/>
              </w:rPr>
              <w:t>. coli</w:t>
            </w:r>
          </w:p>
        </w:tc>
        <w:tc>
          <w:tcPr>
            <w:tcW w:w="2449" w:type="dxa"/>
            <w:tcBorders>
              <w:top w:val="single" w:sz="4" w:space="0" w:color="auto"/>
              <w:bottom w:val="single" w:sz="4" w:space="0" w:color="auto"/>
            </w:tcBorders>
            <w:hideMark/>
          </w:tcPr>
          <w:p w14:paraId="3C800D3D" w14:textId="77777777" w:rsidR="000301C7" w:rsidRPr="000301C7" w:rsidRDefault="000301C7">
            <w:pPr>
              <w:jc w:val="both"/>
              <w:rPr>
                <w:rFonts w:ascii="Arial" w:hAnsi="Arial" w:cs="Arial"/>
              </w:rPr>
            </w:pPr>
            <w:proofErr w:type="spellStart"/>
            <w:r w:rsidRPr="000301C7">
              <w:rPr>
                <w:rFonts w:ascii="Arial" w:hAnsi="Arial" w:cs="Arial"/>
              </w:rPr>
              <w:t>BioSeNPs@Anaerobic</w:t>
            </w:r>
            <w:proofErr w:type="spellEnd"/>
            <w:r w:rsidRPr="000301C7">
              <w:rPr>
                <w:rFonts w:ascii="Arial" w:hAnsi="Arial" w:cs="Arial"/>
              </w:rPr>
              <w:t xml:space="preserve"> granular sludge</w:t>
            </w:r>
          </w:p>
        </w:tc>
      </w:tr>
      <w:tr w:rsidR="000301C7" w:rsidRPr="000301C7" w14:paraId="7B0E9C92" w14:textId="77777777" w:rsidTr="000301C7">
        <w:trPr>
          <w:trHeight w:val="700"/>
        </w:trPr>
        <w:tc>
          <w:tcPr>
            <w:tcW w:w="1139" w:type="dxa"/>
            <w:tcBorders>
              <w:top w:val="single" w:sz="4" w:space="0" w:color="auto"/>
            </w:tcBorders>
            <w:hideMark/>
          </w:tcPr>
          <w:p w14:paraId="70ED232C" w14:textId="77777777" w:rsidR="000301C7" w:rsidRPr="000301C7" w:rsidRDefault="000301C7">
            <w:pPr>
              <w:jc w:val="both"/>
              <w:rPr>
                <w:rFonts w:ascii="Arial" w:hAnsi="Arial" w:cs="Arial"/>
              </w:rPr>
            </w:pPr>
            <w:r w:rsidRPr="000301C7">
              <w:rPr>
                <w:rFonts w:ascii="Arial" w:hAnsi="Arial" w:cs="Arial"/>
              </w:rPr>
              <w:t>%Se in soil</w:t>
            </w:r>
          </w:p>
        </w:tc>
        <w:tc>
          <w:tcPr>
            <w:tcW w:w="1070" w:type="dxa"/>
            <w:tcBorders>
              <w:top w:val="single" w:sz="4" w:space="0" w:color="auto"/>
            </w:tcBorders>
            <w:hideMark/>
          </w:tcPr>
          <w:p w14:paraId="546B42E6" w14:textId="77777777" w:rsidR="000301C7" w:rsidRPr="000301C7" w:rsidRDefault="000301C7">
            <w:pPr>
              <w:jc w:val="both"/>
              <w:rPr>
                <w:rFonts w:ascii="Arial" w:hAnsi="Arial" w:cs="Arial"/>
              </w:rPr>
            </w:pPr>
            <w:r w:rsidRPr="000301C7">
              <w:rPr>
                <w:rFonts w:ascii="Arial" w:hAnsi="Arial" w:cs="Arial"/>
              </w:rPr>
              <w:t>42.7</w:t>
            </w:r>
          </w:p>
        </w:tc>
        <w:tc>
          <w:tcPr>
            <w:tcW w:w="1116" w:type="dxa"/>
            <w:tcBorders>
              <w:top w:val="single" w:sz="4" w:space="0" w:color="auto"/>
            </w:tcBorders>
            <w:hideMark/>
          </w:tcPr>
          <w:p w14:paraId="31F24B65" w14:textId="77777777" w:rsidR="000301C7" w:rsidRPr="000301C7" w:rsidRDefault="000301C7">
            <w:pPr>
              <w:jc w:val="both"/>
              <w:rPr>
                <w:rFonts w:ascii="Arial" w:hAnsi="Arial" w:cs="Arial"/>
              </w:rPr>
            </w:pPr>
            <w:r w:rsidRPr="000301C7">
              <w:rPr>
                <w:rFonts w:ascii="Arial" w:hAnsi="Arial" w:cs="Arial"/>
              </w:rPr>
              <w:t>20.4</w:t>
            </w:r>
          </w:p>
        </w:tc>
        <w:tc>
          <w:tcPr>
            <w:tcW w:w="2026" w:type="dxa"/>
            <w:tcBorders>
              <w:top w:val="single" w:sz="4" w:space="0" w:color="auto"/>
            </w:tcBorders>
            <w:hideMark/>
          </w:tcPr>
          <w:p w14:paraId="3743335D" w14:textId="77777777" w:rsidR="000301C7" w:rsidRPr="000301C7" w:rsidRDefault="000301C7">
            <w:pPr>
              <w:jc w:val="both"/>
              <w:rPr>
                <w:rFonts w:ascii="Arial" w:hAnsi="Arial" w:cs="Arial"/>
              </w:rPr>
            </w:pPr>
            <w:r w:rsidRPr="000301C7">
              <w:rPr>
                <w:rFonts w:ascii="Arial" w:hAnsi="Arial" w:cs="Arial"/>
              </w:rPr>
              <w:t>70.3</w:t>
            </w:r>
          </w:p>
        </w:tc>
        <w:tc>
          <w:tcPr>
            <w:tcW w:w="2449" w:type="dxa"/>
            <w:tcBorders>
              <w:top w:val="single" w:sz="4" w:space="0" w:color="auto"/>
            </w:tcBorders>
            <w:hideMark/>
          </w:tcPr>
          <w:p w14:paraId="2816502D" w14:textId="77777777" w:rsidR="000301C7" w:rsidRPr="000301C7" w:rsidRDefault="000301C7">
            <w:pPr>
              <w:jc w:val="both"/>
              <w:rPr>
                <w:rFonts w:ascii="Arial" w:hAnsi="Arial" w:cs="Arial"/>
              </w:rPr>
            </w:pPr>
            <w:r w:rsidRPr="000301C7">
              <w:rPr>
                <w:rFonts w:ascii="Arial" w:hAnsi="Arial" w:cs="Arial"/>
              </w:rPr>
              <w:t>67.4</w:t>
            </w:r>
          </w:p>
        </w:tc>
      </w:tr>
      <w:tr w:rsidR="000301C7" w:rsidRPr="000301C7" w14:paraId="2C7BAE75" w14:textId="77777777" w:rsidTr="000301C7">
        <w:trPr>
          <w:trHeight w:val="1380"/>
        </w:trPr>
        <w:tc>
          <w:tcPr>
            <w:tcW w:w="1139" w:type="dxa"/>
            <w:hideMark/>
          </w:tcPr>
          <w:p w14:paraId="7A997F27" w14:textId="77777777" w:rsidR="000301C7" w:rsidRPr="000301C7" w:rsidRDefault="000301C7">
            <w:pPr>
              <w:jc w:val="both"/>
              <w:rPr>
                <w:rFonts w:ascii="Arial" w:hAnsi="Arial" w:cs="Arial"/>
              </w:rPr>
            </w:pPr>
            <w:r w:rsidRPr="000301C7">
              <w:rPr>
                <w:rFonts w:ascii="Arial" w:hAnsi="Arial" w:cs="Arial"/>
              </w:rPr>
              <w:t>Standard deviation for % Se in soil</w:t>
            </w:r>
          </w:p>
        </w:tc>
        <w:tc>
          <w:tcPr>
            <w:tcW w:w="1070" w:type="dxa"/>
            <w:hideMark/>
          </w:tcPr>
          <w:p w14:paraId="6DAFED95" w14:textId="77777777" w:rsidR="000301C7" w:rsidRPr="000301C7" w:rsidRDefault="000301C7">
            <w:pPr>
              <w:jc w:val="both"/>
              <w:rPr>
                <w:rFonts w:ascii="Arial" w:hAnsi="Arial" w:cs="Arial"/>
              </w:rPr>
            </w:pPr>
            <w:r w:rsidRPr="000301C7">
              <w:rPr>
                <w:rFonts w:ascii="Arial" w:hAnsi="Arial" w:cs="Arial"/>
              </w:rPr>
              <w:t>5.6</w:t>
            </w:r>
          </w:p>
        </w:tc>
        <w:tc>
          <w:tcPr>
            <w:tcW w:w="1116" w:type="dxa"/>
            <w:hideMark/>
          </w:tcPr>
          <w:p w14:paraId="113A550F" w14:textId="77777777" w:rsidR="000301C7" w:rsidRPr="000301C7" w:rsidRDefault="000301C7">
            <w:pPr>
              <w:jc w:val="both"/>
              <w:rPr>
                <w:rFonts w:ascii="Arial" w:hAnsi="Arial" w:cs="Arial"/>
              </w:rPr>
            </w:pPr>
            <w:r w:rsidRPr="000301C7">
              <w:rPr>
                <w:rFonts w:ascii="Arial" w:hAnsi="Arial" w:cs="Arial"/>
              </w:rPr>
              <w:t>3.5</w:t>
            </w:r>
          </w:p>
        </w:tc>
        <w:tc>
          <w:tcPr>
            <w:tcW w:w="2026" w:type="dxa"/>
            <w:hideMark/>
          </w:tcPr>
          <w:p w14:paraId="05DDD188" w14:textId="77777777" w:rsidR="000301C7" w:rsidRPr="000301C7" w:rsidRDefault="000301C7">
            <w:pPr>
              <w:jc w:val="both"/>
              <w:rPr>
                <w:rFonts w:ascii="Arial" w:hAnsi="Arial" w:cs="Arial"/>
              </w:rPr>
            </w:pPr>
            <w:r w:rsidRPr="000301C7">
              <w:rPr>
                <w:rFonts w:ascii="Arial" w:hAnsi="Arial" w:cs="Arial"/>
              </w:rPr>
              <w:t>4.8</w:t>
            </w:r>
          </w:p>
        </w:tc>
        <w:tc>
          <w:tcPr>
            <w:tcW w:w="2449" w:type="dxa"/>
            <w:hideMark/>
          </w:tcPr>
          <w:p w14:paraId="29BC00E9" w14:textId="77777777" w:rsidR="000301C7" w:rsidRPr="000301C7" w:rsidRDefault="000301C7">
            <w:pPr>
              <w:jc w:val="both"/>
              <w:rPr>
                <w:rFonts w:ascii="Arial" w:hAnsi="Arial" w:cs="Arial"/>
              </w:rPr>
            </w:pPr>
            <w:r w:rsidRPr="000301C7">
              <w:rPr>
                <w:rFonts w:ascii="Arial" w:hAnsi="Arial" w:cs="Arial"/>
              </w:rPr>
              <w:t>1.2</w:t>
            </w:r>
          </w:p>
        </w:tc>
      </w:tr>
      <w:tr w:rsidR="000301C7" w:rsidRPr="000301C7" w14:paraId="2197C33E" w14:textId="77777777" w:rsidTr="000301C7">
        <w:trPr>
          <w:trHeight w:val="700"/>
        </w:trPr>
        <w:tc>
          <w:tcPr>
            <w:tcW w:w="1139" w:type="dxa"/>
            <w:hideMark/>
          </w:tcPr>
          <w:p w14:paraId="1FE080BE" w14:textId="77777777" w:rsidR="000301C7" w:rsidRPr="000301C7" w:rsidRDefault="000301C7">
            <w:pPr>
              <w:jc w:val="both"/>
              <w:rPr>
                <w:rFonts w:ascii="Arial" w:hAnsi="Arial" w:cs="Arial"/>
              </w:rPr>
            </w:pPr>
            <w:r w:rsidRPr="000301C7">
              <w:rPr>
                <w:rFonts w:ascii="Arial" w:hAnsi="Arial" w:cs="Arial"/>
              </w:rPr>
              <w:t>% Se in Leachate</w:t>
            </w:r>
          </w:p>
        </w:tc>
        <w:tc>
          <w:tcPr>
            <w:tcW w:w="1070" w:type="dxa"/>
            <w:hideMark/>
          </w:tcPr>
          <w:p w14:paraId="02B7C262" w14:textId="77777777" w:rsidR="000301C7" w:rsidRPr="000301C7" w:rsidRDefault="000301C7">
            <w:pPr>
              <w:jc w:val="both"/>
              <w:rPr>
                <w:rFonts w:ascii="Arial" w:hAnsi="Arial" w:cs="Arial"/>
              </w:rPr>
            </w:pPr>
            <w:r w:rsidRPr="000301C7">
              <w:rPr>
                <w:rFonts w:ascii="Arial" w:hAnsi="Arial" w:cs="Arial"/>
              </w:rPr>
              <w:t>37.4</w:t>
            </w:r>
          </w:p>
        </w:tc>
        <w:tc>
          <w:tcPr>
            <w:tcW w:w="1116" w:type="dxa"/>
            <w:hideMark/>
          </w:tcPr>
          <w:p w14:paraId="5EA8D668" w14:textId="77777777" w:rsidR="000301C7" w:rsidRPr="000301C7" w:rsidRDefault="000301C7">
            <w:pPr>
              <w:jc w:val="both"/>
              <w:rPr>
                <w:rFonts w:ascii="Arial" w:hAnsi="Arial" w:cs="Arial"/>
              </w:rPr>
            </w:pPr>
            <w:r w:rsidRPr="000301C7">
              <w:rPr>
                <w:rFonts w:ascii="Arial" w:hAnsi="Arial" w:cs="Arial"/>
              </w:rPr>
              <w:t>53.1</w:t>
            </w:r>
          </w:p>
        </w:tc>
        <w:tc>
          <w:tcPr>
            <w:tcW w:w="2026" w:type="dxa"/>
            <w:hideMark/>
          </w:tcPr>
          <w:p w14:paraId="0E364574" w14:textId="77777777" w:rsidR="000301C7" w:rsidRPr="000301C7" w:rsidRDefault="000301C7">
            <w:pPr>
              <w:jc w:val="both"/>
              <w:rPr>
                <w:rFonts w:ascii="Arial" w:hAnsi="Arial" w:cs="Arial"/>
              </w:rPr>
            </w:pPr>
            <w:r w:rsidRPr="000301C7">
              <w:rPr>
                <w:rFonts w:ascii="Arial" w:hAnsi="Arial" w:cs="Arial"/>
              </w:rPr>
              <w:t>4.6</w:t>
            </w:r>
          </w:p>
        </w:tc>
        <w:tc>
          <w:tcPr>
            <w:tcW w:w="2449" w:type="dxa"/>
            <w:hideMark/>
          </w:tcPr>
          <w:p w14:paraId="53132C4F" w14:textId="77777777" w:rsidR="000301C7" w:rsidRPr="000301C7" w:rsidRDefault="000301C7">
            <w:pPr>
              <w:jc w:val="both"/>
              <w:rPr>
                <w:rFonts w:ascii="Arial" w:hAnsi="Arial" w:cs="Arial"/>
              </w:rPr>
            </w:pPr>
            <w:r w:rsidRPr="000301C7">
              <w:rPr>
                <w:rFonts w:ascii="Arial" w:hAnsi="Arial" w:cs="Arial"/>
              </w:rPr>
              <w:t>8.1</w:t>
            </w:r>
          </w:p>
        </w:tc>
      </w:tr>
      <w:tr w:rsidR="000301C7" w:rsidRPr="000301C7" w14:paraId="79147085" w14:textId="77777777" w:rsidTr="000301C7">
        <w:trPr>
          <w:trHeight w:val="1720"/>
        </w:trPr>
        <w:tc>
          <w:tcPr>
            <w:tcW w:w="1139" w:type="dxa"/>
            <w:hideMark/>
          </w:tcPr>
          <w:p w14:paraId="5629F49E" w14:textId="77777777" w:rsidR="000301C7" w:rsidRPr="000301C7" w:rsidRDefault="000301C7">
            <w:pPr>
              <w:jc w:val="both"/>
              <w:rPr>
                <w:rFonts w:ascii="Arial" w:hAnsi="Arial" w:cs="Arial"/>
              </w:rPr>
            </w:pPr>
            <w:r w:rsidRPr="000301C7">
              <w:rPr>
                <w:rFonts w:ascii="Arial" w:hAnsi="Arial" w:cs="Arial"/>
              </w:rPr>
              <w:t>Standard deviation for % Se in leachate</w:t>
            </w:r>
          </w:p>
        </w:tc>
        <w:tc>
          <w:tcPr>
            <w:tcW w:w="1070" w:type="dxa"/>
            <w:hideMark/>
          </w:tcPr>
          <w:p w14:paraId="229A3C19" w14:textId="77777777" w:rsidR="000301C7" w:rsidRPr="000301C7" w:rsidRDefault="000301C7">
            <w:pPr>
              <w:jc w:val="both"/>
              <w:rPr>
                <w:rFonts w:ascii="Arial" w:hAnsi="Arial" w:cs="Arial"/>
              </w:rPr>
            </w:pPr>
            <w:r w:rsidRPr="000301C7">
              <w:rPr>
                <w:rFonts w:ascii="Arial" w:hAnsi="Arial" w:cs="Arial"/>
              </w:rPr>
              <w:t>2.8</w:t>
            </w:r>
          </w:p>
        </w:tc>
        <w:tc>
          <w:tcPr>
            <w:tcW w:w="1116" w:type="dxa"/>
            <w:hideMark/>
          </w:tcPr>
          <w:p w14:paraId="120057BD" w14:textId="77777777" w:rsidR="000301C7" w:rsidRPr="000301C7" w:rsidRDefault="000301C7">
            <w:pPr>
              <w:jc w:val="both"/>
              <w:rPr>
                <w:rFonts w:ascii="Arial" w:hAnsi="Arial" w:cs="Arial"/>
              </w:rPr>
            </w:pPr>
            <w:r w:rsidRPr="000301C7">
              <w:rPr>
                <w:rFonts w:ascii="Arial" w:hAnsi="Arial" w:cs="Arial"/>
              </w:rPr>
              <w:t>3.6</w:t>
            </w:r>
          </w:p>
        </w:tc>
        <w:tc>
          <w:tcPr>
            <w:tcW w:w="2026" w:type="dxa"/>
            <w:hideMark/>
          </w:tcPr>
          <w:p w14:paraId="32329A2B" w14:textId="77777777" w:rsidR="000301C7" w:rsidRPr="000301C7" w:rsidRDefault="000301C7">
            <w:pPr>
              <w:jc w:val="both"/>
              <w:rPr>
                <w:rFonts w:ascii="Arial" w:hAnsi="Arial" w:cs="Arial"/>
              </w:rPr>
            </w:pPr>
            <w:r w:rsidRPr="000301C7">
              <w:rPr>
                <w:rFonts w:ascii="Arial" w:hAnsi="Arial" w:cs="Arial"/>
              </w:rPr>
              <w:t>1.7</w:t>
            </w:r>
          </w:p>
        </w:tc>
        <w:tc>
          <w:tcPr>
            <w:tcW w:w="2449" w:type="dxa"/>
            <w:hideMark/>
          </w:tcPr>
          <w:p w14:paraId="5A51396A" w14:textId="5091C1AB" w:rsidR="000301C7" w:rsidRPr="000301C7" w:rsidRDefault="000301C7">
            <w:pPr>
              <w:jc w:val="both"/>
              <w:rPr>
                <w:rFonts w:ascii="Arial" w:hAnsi="Arial" w:cs="Arial"/>
              </w:rPr>
            </w:pPr>
            <w:r w:rsidRPr="000301C7">
              <w:rPr>
                <w:rFonts w:ascii="Arial" w:hAnsi="Arial" w:cs="Arial"/>
              </w:rPr>
              <w:t>2</w:t>
            </w:r>
            <w:r w:rsidR="00E40728">
              <w:rPr>
                <w:rFonts w:ascii="Arial" w:hAnsi="Arial" w:cs="Arial"/>
              </w:rPr>
              <w:t>.0</w:t>
            </w:r>
          </w:p>
        </w:tc>
      </w:tr>
      <w:tr w:rsidR="000301C7" w:rsidRPr="000301C7" w14:paraId="26E3FF9C" w14:textId="77777777" w:rsidTr="000301C7">
        <w:trPr>
          <w:trHeight w:val="700"/>
        </w:trPr>
        <w:tc>
          <w:tcPr>
            <w:tcW w:w="1139" w:type="dxa"/>
            <w:hideMark/>
          </w:tcPr>
          <w:p w14:paraId="202D966E" w14:textId="77777777" w:rsidR="000301C7" w:rsidRPr="000301C7" w:rsidRDefault="000301C7">
            <w:pPr>
              <w:jc w:val="both"/>
              <w:rPr>
                <w:rFonts w:ascii="Arial" w:hAnsi="Arial" w:cs="Arial"/>
              </w:rPr>
            </w:pPr>
            <w:r w:rsidRPr="000301C7">
              <w:rPr>
                <w:rFonts w:ascii="Arial" w:hAnsi="Arial" w:cs="Arial"/>
              </w:rPr>
              <w:t>%Se in plant root</w:t>
            </w:r>
          </w:p>
        </w:tc>
        <w:tc>
          <w:tcPr>
            <w:tcW w:w="1070" w:type="dxa"/>
            <w:hideMark/>
          </w:tcPr>
          <w:p w14:paraId="0FF0B409" w14:textId="77777777" w:rsidR="000301C7" w:rsidRPr="000301C7" w:rsidRDefault="000301C7">
            <w:pPr>
              <w:jc w:val="both"/>
              <w:rPr>
                <w:rFonts w:ascii="Arial" w:hAnsi="Arial" w:cs="Arial"/>
              </w:rPr>
            </w:pPr>
            <w:r w:rsidRPr="000301C7">
              <w:rPr>
                <w:rFonts w:ascii="Arial" w:hAnsi="Arial" w:cs="Arial"/>
              </w:rPr>
              <w:t>11.5</w:t>
            </w:r>
          </w:p>
        </w:tc>
        <w:tc>
          <w:tcPr>
            <w:tcW w:w="1116" w:type="dxa"/>
            <w:hideMark/>
          </w:tcPr>
          <w:p w14:paraId="203767FB" w14:textId="77777777" w:rsidR="000301C7" w:rsidRPr="000301C7" w:rsidRDefault="000301C7">
            <w:pPr>
              <w:jc w:val="both"/>
              <w:rPr>
                <w:rFonts w:ascii="Arial" w:hAnsi="Arial" w:cs="Arial"/>
              </w:rPr>
            </w:pPr>
            <w:r w:rsidRPr="000301C7">
              <w:rPr>
                <w:rFonts w:ascii="Arial" w:hAnsi="Arial" w:cs="Arial"/>
              </w:rPr>
              <w:t>10.8</w:t>
            </w:r>
          </w:p>
        </w:tc>
        <w:tc>
          <w:tcPr>
            <w:tcW w:w="2026" w:type="dxa"/>
            <w:hideMark/>
          </w:tcPr>
          <w:p w14:paraId="089CD032" w14:textId="77777777" w:rsidR="000301C7" w:rsidRPr="000301C7" w:rsidRDefault="000301C7">
            <w:pPr>
              <w:jc w:val="both"/>
              <w:rPr>
                <w:rFonts w:ascii="Arial" w:hAnsi="Arial" w:cs="Arial"/>
              </w:rPr>
            </w:pPr>
            <w:r w:rsidRPr="000301C7">
              <w:rPr>
                <w:rFonts w:ascii="Arial" w:hAnsi="Arial" w:cs="Arial"/>
              </w:rPr>
              <w:t>11.2</w:t>
            </w:r>
          </w:p>
        </w:tc>
        <w:tc>
          <w:tcPr>
            <w:tcW w:w="2449" w:type="dxa"/>
            <w:hideMark/>
          </w:tcPr>
          <w:p w14:paraId="02EBB0A3" w14:textId="77777777" w:rsidR="000301C7" w:rsidRPr="000301C7" w:rsidRDefault="000301C7">
            <w:pPr>
              <w:jc w:val="both"/>
              <w:rPr>
                <w:rFonts w:ascii="Arial" w:hAnsi="Arial" w:cs="Arial"/>
              </w:rPr>
            </w:pPr>
            <w:r w:rsidRPr="000301C7">
              <w:rPr>
                <w:rFonts w:ascii="Arial" w:hAnsi="Arial" w:cs="Arial"/>
              </w:rPr>
              <w:t>11.1</w:t>
            </w:r>
          </w:p>
        </w:tc>
      </w:tr>
      <w:tr w:rsidR="000301C7" w:rsidRPr="000301C7" w14:paraId="404B067D" w14:textId="77777777" w:rsidTr="000301C7">
        <w:trPr>
          <w:trHeight w:val="1720"/>
        </w:trPr>
        <w:tc>
          <w:tcPr>
            <w:tcW w:w="1139" w:type="dxa"/>
            <w:hideMark/>
          </w:tcPr>
          <w:p w14:paraId="13D1C577" w14:textId="77777777" w:rsidR="000301C7" w:rsidRPr="000301C7" w:rsidRDefault="000301C7">
            <w:pPr>
              <w:jc w:val="both"/>
              <w:rPr>
                <w:rFonts w:ascii="Arial" w:hAnsi="Arial" w:cs="Arial"/>
              </w:rPr>
            </w:pPr>
            <w:r w:rsidRPr="000301C7">
              <w:rPr>
                <w:rFonts w:ascii="Arial" w:hAnsi="Arial" w:cs="Arial"/>
              </w:rPr>
              <w:t>Standard deviation for % Se in plant root</w:t>
            </w:r>
          </w:p>
        </w:tc>
        <w:tc>
          <w:tcPr>
            <w:tcW w:w="1070" w:type="dxa"/>
            <w:hideMark/>
          </w:tcPr>
          <w:p w14:paraId="71911CC7" w14:textId="77777777" w:rsidR="000301C7" w:rsidRPr="000301C7" w:rsidRDefault="000301C7">
            <w:pPr>
              <w:jc w:val="both"/>
              <w:rPr>
                <w:rFonts w:ascii="Arial" w:hAnsi="Arial" w:cs="Arial"/>
              </w:rPr>
            </w:pPr>
            <w:r w:rsidRPr="000301C7">
              <w:rPr>
                <w:rFonts w:ascii="Arial" w:hAnsi="Arial" w:cs="Arial"/>
              </w:rPr>
              <w:t>3.2</w:t>
            </w:r>
          </w:p>
        </w:tc>
        <w:tc>
          <w:tcPr>
            <w:tcW w:w="1116" w:type="dxa"/>
            <w:hideMark/>
          </w:tcPr>
          <w:p w14:paraId="6709E11F" w14:textId="77777777" w:rsidR="000301C7" w:rsidRPr="000301C7" w:rsidRDefault="000301C7">
            <w:pPr>
              <w:jc w:val="both"/>
              <w:rPr>
                <w:rFonts w:ascii="Arial" w:hAnsi="Arial" w:cs="Arial"/>
              </w:rPr>
            </w:pPr>
            <w:r w:rsidRPr="000301C7">
              <w:rPr>
                <w:rFonts w:ascii="Arial" w:hAnsi="Arial" w:cs="Arial"/>
              </w:rPr>
              <w:t>2.5</w:t>
            </w:r>
          </w:p>
        </w:tc>
        <w:tc>
          <w:tcPr>
            <w:tcW w:w="2026" w:type="dxa"/>
            <w:hideMark/>
          </w:tcPr>
          <w:p w14:paraId="010E5295" w14:textId="77777777" w:rsidR="000301C7" w:rsidRPr="000301C7" w:rsidRDefault="000301C7">
            <w:pPr>
              <w:jc w:val="both"/>
              <w:rPr>
                <w:rFonts w:ascii="Arial" w:hAnsi="Arial" w:cs="Arial"/>
              </w:rPr>
            </w:pPr>
            <w:r w:rsidRPr="000301C7">
              <w:rPr>
                <w:rFonts w:ascii="Arial" w:hAnsi="Arial" w:cs="Arial"/>
              </w:rPr>
              <w:t>1.3</w:t>
            </w:r>
          </w:p>
        </w:tc>
        <w:tc>
          <w:tcPr>
            <w:tcW w:w="2449" w:type="dxa"/>
            <w:hideMark/>
          </w:tcPr>
          <w:p w14:paraId="1D82DC52" w14:textId="77777777" w:rsidR="000301C7" w:rsidRPr="000301C7" w:rsidRDefault="000301C7">
            <w:pPr>
              <w:jc w:val="both"/>
              <w:rPr>
                <w:rFonts w:ascii="Arial" w:hAnsi="Arial" w:cs="Arial"/>
              </w:rPr>
            </w:pPr>
            <w:r w:rsidRPr="000301C7">
              <w:rPr>
                <w:rFonts w:ascii="Arial" w:hAnsi="Arial" w:cs="Arial"/>
              </w:rPr>
              <w:t>1.7</w:t>
            </w:r>
          </w:p>
        </w:tc>
      </w:tr>
      <w:tr w:rsidR="000301C7" w:rsidRPr="000301C7" w14:paraId="1F3D55F3" w14:textId="77777777" w:rsidTr="000301C7">
        <w:trPr>
          <w:trHeight w:val="1040"/>
        </w:trPr>
        <w:tc>
          <w:tcPr>
            <w:tcW w:w="1139" w:type="dxa"/>
            <w:hideMark/>
          </w:tcPr>
          <w:p w14:paraId="1944C071" w14:textId="77777777" w:rsidR="000301C7" w:rsidRPr="000301C7" w:rsidRDefault="000301C7">
            <w:pPr>
              <w:jc w:val="both"/>
              <w:rPr>
                <w:rFonts w:ascii="Arial" w:hAnsi="Arial" w:cs="Arial"/>
              </w:rPr>
            </w:pPr>
            <w:r w:rsidRPr="000301C7">
              <w:rPr>
                <w:rFonts w:ascii="Arial" w:hAnsi="Arial" w:cs="Arial"/>
              </w:rPr>
              <w:t>% Se in plant shoot</w:t>
            </w:r>
          </w:p>
        </w:tc>
        <w:tc>
          <w:tcPr>
            <w:tcW w:w="1070" w:type="dxa"/>
            <w:hideMark/>
          </w:tcPr>
          <w:p w14:paraId="7D9774CE" w14:textId="77777777" w:rsidR="000301C7" w:rsidRPr="000301C7" w:rsidRDefault="000301C7">
            <w:pPr>
              <w:jc w:val="both"/>
              <w:rPr>
                <w:rFonts w:ascii="Arial" w:hAnsi="Arial" w:cs="Arial"/>
              </w:rPr>
            </w:pPr>
            <w:r w:rsidRPr="000301C7">
              <w:rPr>
                <w:rFonts w:ascii="Arial" w:hAnsi="Arial" w:cs="Arial"/>
              </w:rPr>
              <w:t>7.5</w:t>
            </w:r>
          </w:p>
        </w:tc>
        <w:tc>
          <w:tcPr>
            <w:tcW w:w="1116" w:type="dxa"/>
            <w:hideMark/>
          </w:tcPr>
          <w:p w14:paraId="36690729" w14:textId="77777777" w:rsidR="000301C7" w:rsidRPr="000301C7" w:rsidRDefault="000301C7">
            <w:pPr>
              <w:jc w:val="both"/>
              <w:rPr>
                <w:rFonts w:ascii="Arial" w:hAnsi="Arial" w:cs="Arial"/>
              </w:rPr>
            </w:pPr>
            <w:r w:rsidRPr="000301C7">
              <w:rPr>
                <w:rFonts w:ascii="Arial" w:hAnsi="Arial" w:cs="Arial"/>
              </w:rPr>
              <w:t>15.7</w:t>
            </w:r>
          </w:p>
        </w:tc>
        <w:tc>
          <w:tcPr>
            <w:tcW w:w="2026" w:type="dxa"/>
            <w:hideMark/>
          </w:tcPr>
          <w:p w14:paraId="76448130" w14:textId="77777777" w:rsidR="000301C7" w:rsidRPr="000301C7" w:rsidRDefault="000301C7">
            <w:pPr>
              <w:jc w:val="both"/>
              <w:rPr>
                <w:rFonts w:ascii="Arial" w:hAnsi="Arial" w:cs="Arial"/>
              </w:rPr>
            </w:pPr>
            <w:r w:rsidRPr="000301C7">
              <w:rPr>
                <w:rFonts w:ascii="Arial" w:hAnsi="Arial" w:cs="Arial"/>
              </w:rPr>
              <w:t>17.3</w:t>
            </w:r>
          </w:p>
        </w:tc>
        <w:tc>
          <w:tcPr>
            <w:tcW w:w="2449" w:type="dxa"/>
            <w:hideMark/>
          </w:tcPr>
          <w:p w14:paraId="3D1D11B6" w14:textId="0A9F0361" w:rsidR="000301C7" w:rsidRPr="000301C7" w:rsidRDefault="000301C7">
            <w:pPr>
              <w:jc w:val="both"/>
              <w:rPr>
                <w:rFonts w:ascii="Arial" w:hAnsi="Arial" w:cs="Arial"/>
              </w:rPr>
            </w:pPr>
            <w:r w:rsidRPr="000301C7">
              <w:rPr>
                <w:rFonts w:ascii="Arial" w:hAnsi="Arial" w:cs="Arial"/>
              </w:rPr>
              <w:t>13</w:t>
            </w:r>
            <w:r w:rsidR="00E40728">
              <w:rPr>
                <w:rFonts w:ascii="Arial" w:hAnsi="Arial" w:cs="Arial"/>
              </w:rPr>
              <w:t>.0</w:t>
            </w:r>
          </w:p>
        </w:tc>
      </w:tr>
      <w:tr w:rsidR="000301C7" w:rsidRPr="000301C7" w14:paraId="7059AEB4" w14:textId="77777777" w:rsidTr="000301C7">
        <w:trPr>
          <w:trHeight w:val="1720"/>
        </w:trPr>
        <w:tc>
          <w:tcPr>
            <w:tcW w:w="1139" w:type="dxa"/>
            <w:hideMark/>
          </w:tcPr>
          <w:p w14:paraId="0F171529" w14:textId="77777777" w:rsidR="000301C7" w:rsidRPr="000301C7" w:rsidRDefault="000301C7">
            <w:pPr>
              <w:jc w:val="both"/>
              <w:rPr>
                <w:rFonts w:ascii="Arial" w:hAnsi="Arial" w:cs="Arial"/>
              </w:rPr>
            </w:pPr>
            <w:r w:rsidRPr="000301C7">
              <w:rPr>
                <w:rFonts w:ascii="Arial" w:hAnsi="Arial" w:cs="Arial"/>
              </w:rPr>
              <w:t>Standard deviation for % Se in plant shoot</w:t>
            </w:r>
          </w:p>
        </w:tc>
        <w:tc>
          <w:tcPr>
            <w:tcW w:w="1070" w:type="dxa"/>
            <w:hideMark/>
          </w:tcPr>
          <w:p w14:paraId="03937D1F" w14:textId="77777777" w:rsidR="000301C7" w:rsidRPr="000301C7" w:rsidRDefault="000301C7">
            <w:pPr>
              <w:jc w:val="both"/>
              <w:rPr>
                <w:rFonts w:ascii="Arial" w:hAnsi="Arial" w:cs="Arial"/>
              </w:rPr>
            </w:pPr>
            <w:r w:rsidRPr="000301C7">
              <w:rPr>
                <w:rFonts w:ascii="Arial" w:hAnsi="Arial" w:cs="Arial"/>
              </w:rPr>
              <w:t>1.1</w:t>
            </w:r>
          </w:p>
        </w:tc>
        <w:tc>
          <w:tcPr>
            <w:tcW w:w="1116" w:type="dxa"/>
            <w:hideMark/>
          </w:tcPr>
          <w:p w14:paraId="4C33BCB8" w14:textId="77777777" w:rsidR="000301C7" w:rsidRPr="000301C7" w:rsidRDefault="000301C7">
            <w:pPr>
              <w:jc w:val="both"/>
              <w:rPr>
                <w:rFonts w:ascii="Arial" w:hAnsi="Arial" w:cs="Arial"/>
              </w:rPr>
            </w:pPr>
            <w:r w:rsidRPr="000301C7">
              <w:rPr>
                <w:rFonts w:ascii="Arial" w:hAnsi="Arial" w:cs="Arial"/>
              </w:rPr>
              <w:t>2.3</w:t>
            </w:r>
          </w:p>
        </w:tc>
        <w:tc>
          <w:tcPr>
            <w:tcW w:w="2026" w:type="dxa"/>
            <w:hideMark/>
          </w:tcPr>
          <w:p w14:paraId="77DBA9FE" w14:textId="77777777" w:rsidR="000301C7" w:rsidRPr="000301C7" w:rsidRDefault="000301C7">
            <w:pPr>
              <w:jc w:val="both"/>
              <w:rPr>
                <w:rFonts w:ascii="Arial" w:hAnsi="Arial" w:cs="Arial"/>
              </w:rPr>
            </w:pPr>
            <w:r w:rsidRPr="000301C7">
              <w:rPr>
                <w:rFonts w:ascii="Arial" w:hAnsi="Arial" w:cs="Arial"/>
              </w:rPr>
              <w:t>2.1</w:t>
            </w:r>
          </w:p>
        </w:tc>
        <w:tc>
          <w:tcPr>
            <w:tcW w:w="2449" w:type="dxa"/>
            <w:hideMark/>
          </w:tcPr>
          <w:p w14:paraId="41157C98" w14:textId="77777777" w:rsidR="000301C7" w:rsidRPr="000301C7" w:rsidRDefault="000301C7">
            <w:pPr>
              <w:jc w:val="both"/>
              <w:rPr>
                <w:rFonts w:ascii="Arial" w:hAnsi="Arial" w:cs="Arial"/>
              </w:rPr>
            </w:pPr>
            <w:r w:rsidRPr="000301C7">
              <w:rPr>
                <w:rFonts w:ascii="Arial" w:hAnsi="Arial" w:cs="Arial"/>
              </w:rPr>
              <w:t>2.2</w:t>
            </w:r>
          </w:p>
        </w:tc>
      </w:tr>
      <w:tr w:rsidR="000301C7" w:rsidRPr="000301C7" w14:paraId="71C4A21B" w14:textId="77777777" w:rsidTr="000301C7">
        <w:trPr>
          <w:trHeight w:val="700"/>
        </w:trPr>
        <w:tc>
          <w:tcPr>
            <w:tcW w:w="1139" w:type="dxa"/>
            <w:hideMark/>
          </w:tcPr>
          <w:p w14:paraId="3B902747" w14:textId="77777777" w:rsidR="000301C7" w:rsidRPr="000301C7" w:rsidRDefault="000301C7">
            <w:pPr>
              <w:jc w:val="both"/>
              <w:rPr>
                <w:rFonts w:ascii="Arial" w:hAnsi="Arial" w:cs="Arial"/>
              </w:rPr>
            </w:pPr>
            <w:r w:rsidRPr="000301C7">
              <w:rPr>
                <w:rFonts w:ascii="Arial" w:hAnsi="Arial" w:cs="Arial"/>
              </w:rPr>
              <w:t>Total % Se</w:t>
            </w:r>
          </w:p>
        </w:tc>
        <w:tc>
          <w:tcPr>
            <w:tcW w:w="1070" w:type="dxa"/>
            <w:hideMark/>
          </w:tcPr>
          <w:p w14:paraId="243F9A3F" w14:textId="77777777" w:rsidR="000301C7" w:rsidRPr="000301C7" w:rsidRDefault="000301C7">
            <w:pPr>
              <w:jc w:val="both"/>
              <w:rPr>
                <w:rFonts w:ascii="Arial" w:hAnsi="Arial" w:cs="Arial"/>
              </w:rPr>
            </w:pPr>
            <w:r w:rsidRPr="000301C7">
              <w:rPr>
                <w:rFonts w:ascii="Arial" w:hAnsi="Arial" w:cs="Arial"/>
              </w:rPr>
              <w:t>99.1</w:t>
            </w:r>
          </w:p>
        </w:tc>
        <w:tc>
          <w:tcPr>
            <w:tcW w:w="1116" w:type="dxa"/>
            <w:hideMark/>
          </w:tcPr>
          <w:p w14:paraId="370D395B" w14:textId="77777777" w:rsidR="000301C7" w:rsidRPr="000301C7" w:rsidRDefault="000301C7">
            <w:pPr>
              <w:jc w:val="both"/>
              <w:rPr>
                <w:rFonts w:ascii="Arial" w:hAnsi="Arial" w:cs="Arial"/>
              </w:rPr>
            </w:pPr>
            <w:r w:rsidRPr="000301C7">
              <w:rPr>
                <w:rFonts w:ascii="Arial" w:hAnsi="Arial" w:cs="Arial"/>
              </w:rPr>
              <w:t>99.2</w:t>
            </w:r>
          </w:p>
        </w:tc>
        <w:tc>
          <w:tcPr>
            <w:tcW w:w="2026" w:type="dxa"/>
            <w:hideMark/>
          </w:tcPr>
          <w:p w14:paraId="115E2311" w14:textId="77777777" w:rsidR="000301C7" w:rsidRPr="000301C7" w:rsidRDefault="000301C7">
            <w:pPr>
              <w:jc w:val="both"/>
              <w:rPr>
                <w:rFonts w:ascii="Arial" w:hAnsi="Arial" w:cs="Arial"/>
              </w:rPr>
            </w:pPr>
            <w:r w:rsidRPr="000301C7">
              <w:rPr>
                <w:rFonts w:ascii="Arial" w:hAnsi="Arial" w:cs="Arial"/>
              </w:rPr>
              <w:t>103.4</w:t>
            </w:r>
          </w:p>
        </w:tc>
        <w:tc>
          <w:tcPr>
            <w:tcW w:w="2449" w:type="dxa"/>
            <w:hideMark/>
          </w:tcPr>
          <w:p w14:paraId="6373EFD5" w14:textId="77777777" w:rsidR="000301C7" w:rsidRPr="000301C7" w:rsidRDefault="000301C7">
            <w:pPr>
              <w:jc w:val="both"/>
              <w:rPr>
                <w:rFonts w:ascii="Arial" w:hAnsi="Arial" w:cs="Arial"/>
              </w:rPr>
            </w:pPr>
            <w:r w:rsidRPr="000301C7">
              <w:rPr>
                <w:rFonts w:ascii="Arial" w:hAnsi="Arial" w:cs="Arial"/>
              </w:rPr>
              <w:t>99.6</w:t>
            </w:r>
          </w:p>
        </w:tc>
      </w:tr>
      <w:tr w:rsidR="000301C7" w:rsidRPr="000301C7" w14:paraId="2F8159FA" w14:textId="77777777" w:rsidTr="000301C7">
        <w:trPr>
          <w:trHeight w:val="1380"/>
        </w:trPr>
        <w:tc>
          <w:tcPr>
            <w:tcW w:w="1139" w:type="dxa"/>
            <w:tcBorders>
              <w:bottom w:val="single" w:sz="4" w:space="0" w:color="auto"/>
            </w:tcBorders>
            <w:hideMark/>
          </w:tcPr>
          <w:p w14:paraId="1F8BDCF2" w14:textId="77777777" w:rsidR="000301C7" w:rsidRPr="000301C7" w:rsidRDefault="000301C7">
            <w:pPr>
              <w:jc w:val="both"/>
              <w:rPr>
                <w:rFonts w:ascii="Arial" w:hAnsi="Arial" w:cs="Arial"/>
              </w:rPr>
            </w:pPr>
            <w:r w:rsidRPr="000301C7">
              <w:rPr>
                <w:rFonts w:ascii="Arial" w:hAnsi="Arial" w:cs="Arial"/>
              </w:rPr>
              <w:t xml:space="preserve">Standard deviation for total % Se </w:t>
            </w:r>
          </w:p>
        </w:tc>
        <w:tc>
          <w:tcPr>
            <w:tcW w:w="1070" w:type="dxa"/>
            <w:tcBorders>
              <w:bottom w:val="single" w:sz="4" w:space="0" w:color="auto"/>
            </w:tcBorders>
            <w:hideMark/>
          </w:tcPr>
          <w:p w14:paraId="53A80269" w14:textId="77777777" w:rsidR="000301C7" w:rsidRPr="000301C7" w:rsidRDefault="000301C7">
            <w:pPr>
              <w:jc w:val="both"/>
              <w:rPr>
                <w:rFonts w:ascii="Arial" w:hAnsi="Arial" w:cs="Arial"/>
              </w:rPr>
            </w:pPr>
            <w:r w:rsidRPr="000301C7">
              <w:rPr>
                <w:rFonts w:ascii="Arial" w:hAnsi="Arial" w:cs="Arial"/>
              </w:rPr>
              <w:t>1.4</w:t>
            </w:r>
          </w:p>
        </w:tc>
        <w:tc>
          <w:tcPr>
            <w:tcW w:w="1116" w:type="dxa"/>
            <w:tcBorders>
              <w:bottom w:val="single" w:sz="4" w:space="0" w:color="auto"/>
            </w:tcBorders>
            <w:hideMark/>
          </w:tcPr>
          <w:p w14:paraId="6F714F75" w14:textId="77777777" w:rsidR="000301C7" w:rsidRPr="000301C7" w:rsidRDefault="000301C7">
            <w:pPr>
              <w:jc w:val="both"/>
              <w:rPr>
                <w:rFonts w:ascii="Arial" w:hAnsi="Arial" w:cs="Arial"/>
              </w:rPr>
            </w:pPr>
            <w:r w:rsidRPr="000301C7">
              <w:rPr>
                <w:rFonts w:ascii="Arial" w:hAnsi="Arial" w:cs="Arial"/>
              </w:rPr>
              <w:t>2.3</w:t>
            </w:r>
          </w:p>
        </w:tc>
        <w:tc>
          <w:tcPr>
            <w:tcW w:w="2026" w:type="dxa"/>
            <w:tcBorders>
              <w:bottom w:val="single" w:sz="4" w:space="0" w:color="auto"/>
            </w:tcBorders>
            <w:hideMark/>
          </w:tcPr>
          <w:p w14:paraId="6902291F" w14:textId="77777777" w:rsidR="000301C7" w:rsidRPr="000301C7" w:rsidRDefault="000301C7">
            <w:pPr>
              <w:jc w:val="both"/>
              <w:rPr>
                <w:rFonts w:ascii="Arial" w:hAnsi="Arial" w:cs="Arial"/>
              </w:rPr>
            </w:pPr>
            <w:r w:rsidRPr="000301C7">
              <w:rPr>
                <w:rFonts w:ascii="Arial" w:hAnsi="Arial" w:cs="Arial"/>
              </w:rPr>
              <w:t>2.4</w:t>
            </w:r>
          </w:p>
        </w:tc>
        <w:tc>
          <w:tcPr>
            <w:tcW w:w="2449" w:type="dxa"/>
            <w:tcBorders>
              <w:bottom w:val="single" w:sz="4" w:space="0" w:color="auto"/>
            </w:tcBorders>
            <w:hideMark/>
          </w:tcPr>
          <w:p w14:paraId="12F08094" w14:textId="3EDE44D8" w:rsidR="000301C7" w:rsidRPr="000301C7" w:rsidRDefault="000301C7">
            <w:pPr>
              <w:jc w:val="both"/>
              <w:rPr>
                <w:rFonts w:ascii="Arial" w:hAnsi="Arial" w:cs="Arial"/>
              </w:rPr>
            </w:pPr>
            <w:r w:rsidRPr="000301C7">
              <w:rPr>
                <w:rFonts w:ascii="Arial" w:hAnsi="Arial" w:cs="Arial"/>
              </w:rPr>
              <w:t>2</w:t>
            </w:r>
            <w:r w:rsidR="009046C6">
              <w:rPr>
                <w:rFonts w:ascii="Arial" w:hAnsi="Arial" w:cs="Arial"/>
              </w:rPr>
              <w:t>.0</w:t>
            </w:r>
          </w:p>
        </w:tc>
      </w:tr>
    </w:tbl>
    <w:p w14:paraId="0052AA0E" w14:textId="77777777" w:rsidR="00666A71" w:rsidRDefault="00666A71" w:rsidP="003E688E">
      <w:pPr>
        <w:jc w:val="both"/>
        <w:rPr>
          <w:rFonts w:ascii="Arial" w:hAnsi="Arial" w:cs="Arial"/>
        </w:rPr>
      </w:pPr>
    </w:p>
    <w:p w14:paraId="1C9653CB" w14:textId="37B2EF9C" w:rsidR="00BE261B" w:rsidRDefault="00666A71" w:rsidP="003E688E">
      <w:pPr>
        <w:jc w:val="both"/>
        <w:rPr>
          <w:rFonts w:ascii="Arial" w:hAnsi="Arial" w:cs="Arial"/>
          <w:color w:val="2C363A"/>
          <w:shd w:val="clear" w:color="auto" w:fill="FFFFFF"/>
        </w:rPr>
      </w:pPr>
      <w:r>
        <w:rPr>
          <w:rFonts w:ascii="Arial" w:hAnsi="Arial" w:cs="Arial"/>
        </w:rPr>
        <w:t>(Note</w:t>
      </w:r>
      <w:r w:rsidRPr="00666A71">
        <w:rPr>
          <w:rFonts w:ascii="Arial" w:hAnsi="Arial" w:cs="Arial"/>
        </w:rPr>
        <w:t>:</w:t>
      </w:r>
      <w:r w:rsidRPr="00666A71">
        <w:rPr>
          <w:rFonts w:ascii="Arial" w:hAnsi="Arial" w:cs="Arial"/>
          <w:color w:val="2C363A"/>
          <w:shd w:val="clear" w:color="auto" w:fill="FFFFFF"/>
        </w:rPr>
        <w:t xml:space="preserve"> The calculated selenium mass balance ranged between 95% and 105%</w:t>
      </w:r>
      <w:r>
        <w:rPr>
          <w:rFonts w:ascii="Arial" w:hAnsi="Arial" w:cs="Arial"/>
          <w:color w:val="2C363A"/>
          <w:shd w:val="clear" w:color="auto" w:fill="FFFFFF"/>
        </w:rPr>
        <w:t xml:space="preserve"> in Tables S1 and S2</w:t>
      </w:r>
      <w:r w:rsidRPr="00666A71">
        <w:rPr>
          <w:rFonts w:ascii="Arial" w:hAnsi="Arial" w:cs="Arial"/>
          <w:color w:val="2C363A"/>
          <w:shd w:val="clear" w:color="auto" w:fill="FFFFFF"/>
        </w:rPr>
        <w:t xml:space="preserve">, which represents an acceptable recovery window for trace elements in complex matrix conditions. </w:t>
      </w:r>
      <w:r>
        <w:rPr>
          <w:rFonts w:ascii="Arial" w:hAnsi="Arial" w:cs="Arial"/>
          <w:color w:val="2C363A"/>
          <w:shd w:val="clear" w:color="auto" w:fill="FFFFFF"/>
        </w:rPr>
        <w:t>The results are</w:t>
      </w:r>
      <w:r w:rsidRPr="00666A71">
        <w:rPr>
          <w:rFonts w:ascii="Arial" w:hAnsi="Arial" w:cs="Arial"/>
          <w:color w:val="2C363A"/>
          <w:shd w:val="clear" w:color="auto" w:fill="FFFFFF"/>
        </w:rPr>
        <w:t xml:space="preserve"> consistent with observations in </w:t>
      </w:r>
      <w:r w:rsidRPr="00666A71">
        <w:rPr>
          <w:rFonts w:ascii="Arial" w:hAnsi="Arial" w:cs="Arial"/>
          <w:color w:val="2C363A"/>
          <w:shd w:val="clear" w:color="auto" w:fill="FFFFFF"/>
        </w:rPr>
        <w:lastRenderedPageBreak/>
        <w:t>othe</w:t>
      </w:r>
      <w:r w:rsidR="005B192E">
        <w:rPr>
          <w:rFonts w:ascii="Arial" w:hAnsi="Arial" w:cs="Arial"/>
          <w:color w:val="2C363A"/>
          <w:shd w:val="clear" w:color="auto" w:fill="FFFFFF"/>
        </w:rPr>
        <w:t>r</w:t>
      </w:r>
      <w:r w:rsidRPr="00666A71">
        <w:rPr>
          <w:rFonts w:ascii="Arial" w:hAnsi="Arial" w:cs="Arial"/>
          <w:color w:val="2C363A"/>
          <w:shd w:val="clear" w:color="auto" w:fill="FFFFFF"/>
        </w:rPr>
        <w:t xml:space="preserve"> studies (e.g., zinc, </w:t>
      </w:r>
      <w:r w:rsidR="00662CE7">
        <w:rPr>
          <w:rFonts w:ascii="Arial" w:hAnsi="Arial" w:cs="Arial"/>
          <w:color w:val="2C363A"/>
          <w:shd w:val="clear" w:color="auto" w:fill="FFFFFF"/>
        </w:rPr>
        <w:t>copper</w:t>
      </w:r>
      <w:r w:rsidRPr="00666A71">
        <w:rPr>
          <w:rFonts w:ascii="Arial" w:hAnsi="Arial" w:cs="Arial"/>
          <w:color w:val="2C363A"/>
          <w:shd w:val="clear" w:color="auto" w:fill="FFFFFF"/>
        </w:rPr>
        <w:t>, and p</w:t>
      </w:r>
      <w:r w:rsidR="00662CE7">
        <w:rPr>
          <w:rFonts w:ascii="Arial" w:hAnsi="Arial" w:cs="Arial"/>
          <w:color w:val="2C363A"/>
          <w:shd w:val="clear" w:color="auto" w:fill="FFFFFF"/>
        </w:rPr>
        <w:t>alladium</w:t>
      </w:r>
      <w:r w:rsidRPr="00666A71">
        <w:rPr>
          <w:rFonts w:ascii="Arial" w:hAnsi="Arial" w:cs="Arial"/>
          <w:color w:val="2C363A"/>
          <w:shd w:val="clear" w:color="auto" w:fill="FFFFFF"/>
        </w:rPr>
        <w:t xml:space="preserve"> systems)</w:t>
      </w:r>
      <w:r w:rsidR="00662CE7">
        <w:rPr>
          <w:rFonts w:ascii="Arial" w:hAnsi="Arial" w:cs="Arial"/>
          <w:color w:val="2C363A"/>
          <w:shd w:val="clear" w:color="auto" w:fill="FFFFFF"/>
        </w:rPr>
        <w:t xml:space="preserve"> </w:t>
      </w:r>
      <w:sdt>
        <w:sdtPr>
          <w:rPr>
            <w:rFonts w:ascii="Arial" w:hAnsi="Arial" w:cs="Arial"/>
            <w:color w:val="2C363A"/>
            <w:shd w:val="clear" w:color="auto" w:fill="FFFFFF"/>
          </w:rPr>
          <w:tag w:val="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"/>
          <w:id w:val="-2072032325"/>
          <w:placeholder>
            <w:docPart w:val="DefaultPlaceholder_-1854013440"/>
          </w:placeholder>
        </w:sdtPr>
        <w:sdtContent>
          <w:r w:rsidR="00662CE7" w:rsidRPr="00662CE7">
            <w:rPr>
              <w:rFonts w:ascii="Arial" w:hAnsi="Arial" w:cs="Arial"/>
              <w:color w:val="2C363A"/>
              <w:shd w:val="clear" w:color="auto" w:fill="FFFFFF"/>
            </w:rPr>
            <w:t>[1–3]</w:t>
          </w:r>
        </w:sdtContent>
      </w:sdt>
      <w:r>
        <w:rPr>
          <w:rFonts w:ascii="Arial" w:hAnsi="Arial" w:cs="Arial"/>
          <w:color w:val="2C363A"/>
          <w:shd w:val="clear" w:color="auto" w:fill="FFFFFF"/>
        </w:rPr>
        <w:t>.</w:t>
      </w:r>
      <w:r w:rsidRPr="00666A71">
        <w:rPr>
          <w:rFonts w:ascii="Arial" w:hAnsi="Arial" w:cs="Arial"/>
          <w:color w:val="2C363A"/>
          <w:shd w:val="clear" w:color="auto" w:fill="FFFFFF"/>
        </w:rPr>
        <w:t xml:space="preserve"> </w:t>
      </w:r>
      <w:r>
        <w:rPr>
          <w:rFonts w:ascii="Arial" w:hAnsi="Arial" w:cs="Arial"/>
          <w:color w:val="2C363A"/>
          <w:shd w:val="clear" w:color="auto" w:fill="FFFFFF"/>
        </w:rPr>
        <w:t>Minor overestimation</w:t>
      </w:r>
      <w:r w:rsidRPr="00666A71">
        <w:rPr>
          <w:rFonts w:ascii="Arial" w:hAnsi="Arial" w:cs="Arial"/>
          <w:color w:val="2C363A"/>
          <w:shd w:val="clear" w:color="auto" w:fill="FFFFFF"/>
        </w:rPr>
        <w:t xml:space="preserve"> is attributed to carbon-induced plasma enhancement during ICP-MS analysis.</w:t>
      </w:r>
      <w:r w:rsidR="00662CE7">
        <w:rPr>
          <w:rFonts w:ascii="Arial" w:hAnsi="Arial" w:cs="Arial"/>
          <w:color w:val="2C363A"/>
          <w:shd w:val="clear" w:color="auto" w:fill="FFFFFF"/>
        </w:rPr>
        <w:t xml:space="preserve"> </w:t>
      </w:r>
      <w:sdt>
        <w:sdtPr>
          <w:rPr>
            <w:rFonts w:ascii="Arial" w:hAnsi="Arial" w:cs="Arial"/>
            <w:color w:val="2C363A"/>
            <w:shd w:val="clear" w:color="auto" w:fill="FFFFFF"/>
          </w:rPr>
          <w:tag w:val="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"/>
          <w:id w:val="-2121588802"/>
          <w:placeholder>
            <w:docPart w:val="DefaultPlaceholder_-1854013440"/>
          </w:placeholder>
        </w:sdtPr>
        <w:sdtContent>
          <w:r w:rsidR="00662CE7" w:rsidRPr="00662CE7">
            <w:rPr>
              <w:rFonts w:ascii="Arial" w:hAnsi="Arial" w:cs="Arial"/>
              <w:color w:val="2C363A"/>
              <w:shd w:val="clear" w:color="auto" w:fill="FFFFFF"/>
            </w:rPr>
            <w:t>[4, 5]</w:t>
          </w:r>
        </w:sdtContent>
      </w:sdt>
      <w:r>
        <w:rPr>
          <w:rFonts w:ascii="Arial" w:hAnsi="Arial" w:cs="Arial"/>
          <w:color w:val="2C363A"/>
          <w:shd w:val="clear" w:color="auto" w:fill="FFFFFF"/>
        </w:rPr>
        <w:t>)</w:t>
      </w:r>
    </w:p>
    <w:p w14:paraId="3D73BBAC" w14:textId="77777777" w:rsidR="00666A71" w:rsidRDefault="00666A71" w:rsidP="003E688E">
      <w:pPr>
        <w:jc w:val="both"/>
        <w:rPr>
          <w:rFonts w:ascii="Arial" w:hAnsi="Arial" w:cs="Arial"/>
          <w:color w:val="2C363A"/>
          <w:shd w:val="clear" w:color="auto" w:fill="FFFFFF"/>
        </w:rPr>
      </w:pPr>
    </w:p>
    <w:p w14:paraId="37138AB4" w14:textId="77777777" w:rsidR="00666A71" w:rsidRPr="00666A71" w:rsidRDefault="00666A71" w:rsidP="003E688E">
      <w:pPr>
        <w:jc w:val="both"/>
        <w:rPr>
          <w:rFonts w:ascii="Arial" w:hAnsi="Arial" w:cs="Arial"/>
        </w:rPr>
      </w:pPr>
    </w:p>
    <w:p w14:paraId="7F3164CF" w14:textId="77FD030C" w:rsidR="00D040AD" w:rsidRDefault="00D040AD" w:rsidP="003E688E">
      <w:pPr>
        <w:jc w:val="both"/>
        <w:rPr>
          <w:rFonts w:ascii="Arial" w:hAnsi="Arial" w:cs="Arial"/>
        </w:rPr>
      </w:pPr>
      <w:r w:rsidRPr="00D040AD">
        <w:rPr>
          <w:rFonts w:ascii="Arial" w:hAnsi="Arial" w:cs="Arial"/>
          <w:noProof/>
        </w:rPr>
        <w:drawing>
          <wp:inline distT="0" distB="0" distL="0" distR="0" wp14:anchorId="406AD061" wp14:editId="62561C0E">
            <wp:extent cx="5731510" cy="1776730"/>
            <wp:effectExtent l="0" t="0" r="0" b="1270"/>
            <wp:docPr id="608795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795143" name=""/>
                    <pic:cNvPicPr/>
                  </pic:nvPicPr>
                  <pic:blipFill>
                    <a:blip r:embed="rId10"/>
                    <a:stretch>
                      <a:fillRect/>
                    </a:stretch>
                  </pic:blipFill>
                  <pic:spPr>
                    <a:xfrm>
                      <a:off x="0" y="0"/>
                      <a:ext cx="5731510" cy="1776730"/>
                    </a:xfrm>
                    <a:prstGeom prst="rect">
                      <a:avLst/>
                    </a:prstGeom>
                  </pic:spPr>
                </pic:pic>
              </a:graphicData>
            </a:graphic>
          </wp:inline>
        </w:drawing>
      </w:r>
    </w:p>
    <w:p w14:paraId="7AC88FC4" w14:textId="5682E9EB" w:rsidR="00D040AD" w:rsidRDefault="00D040AD" w:rsidP="003E688E">
      <w:pPr>
        <w:jc w:val="both"/>
        <w:rPr>
          <w:rFonts w:ascii="Arial" w:hAnsi="Arial" w:cs="Arial"/>
        </w:rPr>
      </w:pPr>
      <w:r>
        <w:rPr>
          <w:rFonts w:ascii="Arial" w:hAnsi="Arial" w:cs="Arial"/>
        </w:rPr>
        <w:t>Figure S2. (a) SEM image of BioSeNPs</w:t>
      </w:r>
      <w:r w:rsidR="007E4C71">
        <w:rPr>
          <w:rFonts w:ascii="Arial" w:hAnsi="Arial" w:cs="Arial"/>
        </w:rPr>
        <w:t xml:space="preserve"> produced by </w:t>
      </w:r>
      <w:r w:rsidR="007E4C71" w:rsidRPr="007E4C71">
        <w:rPr>
          <w:rFonts w:ascii="Arial" w:hAnsi="Arial" w:cs="Arial"/>
          <w:i/>
          <w:iCs/>
        </w:rPr>
        <w:t>E. coli</w:t>
      </w:r>
      <w:r w:rsidR="007E4C71">
        <w:rPr>
          <w:rFonts w:ascii="Arial" w:hAnsi="Arial" w:cs="Arial"/>
        </w:rPr>
        <w:t xml:space="preserve">, (b) EDX spectra of BioSeNPs produced by </w:t>
      </w:r>
      <w:r w:rsidR="007E4C71" w:rsidRPr="007E4C71">
        <w:rPr>
          <w:rFonts w:ascii="Arial" w:hAnsi="Arial" w:cs="Arial"/>
          <w:i/>
          <w:iCs/>
        </w:rPr>
        <w:t>E. coli</w:t>
      </w:r>
      <w:r w:rsidR="007E4C71">
        <w:rPr>
          <w:rFonts w:ascii="Arial" w:hAnsi="Arial" w:cs="Arial"/>
        </w:rPr>
        <w:t xml:space="preserve"> showing the presence of Se (32.6±1.0%), O (53.8±1.2%), C (10.6±1.1%), S (2.6±0.4%), N (0.4±1.1%).</w:t>
      </w:r>
    </w:p>
    <w:p w14:paraId="0B825D64" w14:textId="77777777" w:rsidR="007E4C71" w:rsidRDefault="007E4C71" w:rsidP="003E688E">
      <w:pPr>
        <w:jc w:val="both"/>
        <w:rPr>
          <w:rFonts w:ascii="Arial" w:hAnsi="Arial" w:cs="Arial"/>
        </w:rPr>
      </w:pPr>
    </w:p>
    <w:p w14:paraId="3C467C5A" w14:textId="77777777" w:rsidR="007E4C71" w:rsidRDefault="007E4C71" w:rsidP="003E688E">
      <w:pPr>
        <w:jc w:val="both"/>
        <w:rPr>
          <w:rFonts w:ascii="Arial" w:hAnsi="Arial" w:cs="Arial"/>
        </w:rPr>
      </w:pPr>
    </w:p>
    <w:p w14:paraId="5BCD03B2" w14:textId="51B49B2E" w:rsidR="007E4C71" w:rsidRDefault="007E4C71" w:rsidP="003E688E">
      <w:pPr>
        <w:jc w:val="both"/>
        <w:rPr>
          <w:rFonts w:ascii="Arial" w:hAnsi="Arial" w:cs="Arial"/>
        </w:rPr>
      </w:pPr>
      <w:r w:rsidRPr="007E4C71">
        <w:rPr>
          <w:rFonts w:ascii="Arial" w:hAnsi="Arial" w:cs="Arial"/>
          <w:noProof/>
        </w:rPr>
        <w:drawing>
          <wp:inline distT="0" distB="0" distL="0" distR="0" wp14:anchorId="18B20AB5" wp14:editId="7B4B6DF6">
            <wp:extent cx="5731510" cy="1868170"/>
            <wp:effectExtent l="0" t="0" r="0" b="0"/>
            <wp:docPr id="579554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54044" name=""/>
                    <pic:cNvPicPr/>
                  </pic:nvPicPr>
                  <pic:blipFill>
                    <a:blip r:embed="rId11"/>
                    <a:stretch>
                      <a:fillRect/>
                    </a:stretch>
                  </pic:blipFill>
                  <pic:spPr>
                    <a:xfrm>
                      <a:off x="0" y="0"/>
                      <a:ext cx="5731510" cy="1868170"/>
                    </a:xfrm>
                    <a:prstGeom prst="rect">
                      <a:avLst/>
                    </a:prstGeom>
                  </pic:spPr>
                </pic:pic>
              </a:graphicData>
            </a:graphic>
          </wp:inline>
        </w:drawing>
      </w:r>
    </w:p>
    <w:p w14:paraId="7117615E" w14:textId="6D36D747" w:rsidR="007E4C71" w:rsidRDefault="007E4C71" w:rsidP="007E4C71">
      <w:pPr>
        <w:jc w:val="both"/>
        <w:rPr>
          <w:rFonts w:ascii="Arial" w:hAnsi="Arial" w:cs="Arial"/>
        </w:rPr>
      </w:pPr>
      <w:r>
        <w:rPr>
          <w:rFonts w:ascii="Arial" w:hAnsi="Arial" w:cs="Arial"/>
        </w:rPr>
        <w:t>Figure S3. (a) SEM image of BioSeNPs produced by anaerobic granular sludge, (b) EDX spectra of BioSeNPs produced by anaerobic granular sludge showing the presence of Se (30.4±1.5%), O (53.9±1.8%), C (13.6±1.6%), S (1.6±0.5%), N (0.5±1.8%).</w:t>
      </w:r>
    </w:p>
    <w:p w14:paraId="16FA20E9" w14:textId="77777777" w:rsidR="007E4C71" w:rsidRDefault="007E4C71" w:rsidP="003E688E">
      <w:pPr>
        <w:jc w:val="both"/>
        <w:rPr>
          <w:rFonts w:ascii="Arial" w:hAnsi="Arial" w:cs="Arial"/>
        </w:rPr>
      </w:pPr>
    </w:p>
    <w:p w14:paraId="333BD02F" w14:textId="54988106" w:rsidR="000F28B3" w:rsidRPr="000F28B3" w:rsidRDefault="000F28B3" w:rsidP="003E688E">
      <w:pPr>
        <w:jc w:val="both"/>
        <w:rPr>
          <w:rFonts w:ascii="Arial" w:hAnsi="Arial" w:cs="Arial"/>
          <w:b/>
          <w:bCs/>
        </w:rPr>
      </w:pPr>
      <w:r w:rsidRPr="000F28B3">
        <w:rPr>
          <w:rFonts w:ascii="Arial" w:hAnsi="Arial" w:cs="Arial"/>
          <w:b/>
          <w:bCs/>
        </w:rPr>
        <w:t>References</w:t>
      </w:r>
    </w:p>
    <w:sdt>
      <w:sdtPr>
        <w:rPr>
          <w:rFonts w:ascii="Arial" w:hAnsi="Arial" w:cs="Arial"/>
          <w:color w:val="000000"/>
        </w:rPr>
        <w:tag w:val="MENDELEY_BIBLIOGRAPHY"/>
        <w:id w:val="1458991485"/>
        <w:placeholder>
          <w:docPart w:val="DefaultPlaceholder_-1854013440"/>
        </w:placeholder>
      </w:sdtPr>
      <w:sdtContent>
        <w:p w14:paraId="5E08F379" w14:textId="77777777" w:rsidR="00662CE7" w:rsidRPr="00662CE7" w:rsidRDefault="00662CE7">
          <w:pPr>
            <w:autoSpaceDE w:val="0"/>
            <w:autoSpaceDN w:val="0"/>
            <w:ind w:hanging="640"/>
            <w:divId w:val="1096441663"/>
            <w:rPr>
              <w:rFonts w:ascii="Arial" w:hAnsi="Arial" w:cs="Arial"/>
              <w:color w:val="000000"/>
            </w:rPr>
          </w:pPr>
          <w:r w:rsidRPr="00662CE7">
            <w:rPr>
              <w:rFonts w:ascii="Arial" w:hAnsi="Arial" w:cs="Arial"/>
              <w:color w:val="000000"/>
            </w:rPr>
            <w:t xml:space="preserve">1. </w:t>
          </w:r>
          <w:r w:rsidRPr="00662CE7">
            <w:rPr>
              <w:rFonts w:ascii="Arial" w:hAnsi="Arial" w:cs="Arial"/>
              <w:color w:val="000000"/>
            </w:rPr>
            <w:tab/>
            <w:t xml:space="preserve">Gao X, Rodrigues SM, Spielman-Sun E, et al (2019) Effect of Soil Organic Matter, Soil pH, and Moisture Content on Solubility and Dissolution Rate of </w:t>
          </w:r>
          <w:proofErr w:type="spellStart"/>
          <w:r w:rsidRPr="00662CE7">
            <w:rPr>
              <w:rFonts w:ascii="Arial" w:hAnsi="Arial" w:cs="Arial"/>
              <w:color w:val="000000"/>
            </w:rPr>
            <w:t>CuO</w:t>
          </w:r>
          <w:proofErr w:type="spellEnd"/>
          <w:r w:rsidRPr="00662CE7">
            <w:rPr>
              <w:rFonts w:ascii="Arial" w:hAnsi="Arial" w:cs="Arial"/>
              <w:color w:val="000000"/>
            </w:rPr>
            <w:t xml:space="preserve"> NPs in Soil. Environ Sci Technol 53:4959–4967. https://doi.org/10.1021/acs.est.8b07243</w:t>
          </w:r>
        </w:p>
        <w:p w14:paraId="18715ADA" w14:textId="77777777" w:rsidR="00662CE7" w:rsidRPr="00662CE7" w:rsidRDefault="00662CE7">
          <w:pPr>
            <w:autoSpaceDE w:val="0"/>
            <w:autoSpaceDN w:val="0"/>
            <w:ind w:hanging="640"/>
            <w:divId w:val="446239109"/>
            <w:rPr>
              <w:rFonts w:ascii="Arial" w:hAnsi="Arial" w:cs="Arial"/>
              <w:color w:val="000000"/>
            </w:rPr>
          </w:pPr>
          <w:r w:rsidRPr="00662CE7">
            <w:rPr>
              <w:rFonts w:ascii="Arial" w:hAnsi="Arial" w:cs="Arial"/>
              <w:color w:val="000000"/>
            </w:rPr>
            <w:t xml:space="preserve">2. </w:t>
          </w:r>
          <w:r w:rsidRPr="00662CE7">
            <w:rPr>
              <w:rFonts w:ascii="Arial" w:hAnsi="Arial" w:cs="Arial"/>
              <w:color w:val="000000"/>
            </w:rPr>
            <w:tab/>
          </w:r>
          <w:proofErr w:type="spellStart"/>
          <w:r w:rsidRPr="00662CE7">
            <w:rPr>
              <w:rFonts w:ascii="Arial" w:hAnsi="Arial" w:cs="Arial"/>
              <w:color w:val="000000"/>
            </w:rPr>
            <w:t>Hodomihou</w:t>
          </w:r>
          <w:proofErr w:type="spellEnd"/>
          <w:r w:rsidRPr="00662CE7">
            <w:rPr>
              <w:rFonts w:ascii="Arial" w:hAnsi="Arial" w:cs="Arial"/>
              <w:color w:val="000000"/>
            </w:rPr>
            <w:t xml:space="preserve"> NR, Feder F, Legros S, et al (2020) Zinc Speciation in Organic Waste Drives Its Fate in Amended Soils. Environ Sci Technol 54:12034–12041. https://doi.org/10.1021/acs.est.0c02721</w:t>
          </w:r>
        </w:p>
        <w:p w14:paraId="4FB71444" w14:textId="77777777" w:rsidR="00662CE7" w:rsidRPr="00662CE7" w:rsidRDefault="00662CE7">
          <w:pPr>
            <w:autoSpaceDE w:val="0"/>
            <w:autoSpaceDN w:val="0"/>
            <w:ind w:hanging="640"/>
            <w:divId w:val="2122911603"/>
            <w:rPr>
              <w:rFonts w:ascii="Arial" w:hAnsi="Arial" w:cs="Arial"/>
              <w:color w:val="000000"/>
            </w:rPr>
          </w:pPr>
          <w:r w:rsidRPr="00662CE7">
            <w:rPr>
              <w:rFonts w:ascii="Arial" w:hAnsi="Arial" w:cs="Arial"/>
              <w:color w:val="000000"/>
            </w:rPr>
            <w:t xml:space="preserve">3. </w:t>
          </w:r>
          <w:r w:rsidRPr="00662CE7">
            <w:rPr>
              <w:rFonts w:ascii="Arial" w:hAnsi="Arial" w:cs="Arial"/>
              <w:color w:val="000000"/>
            </w:rPr>
            <w:tab/>
          </w:r>
          <w:proofErr w:type="spellStart"/>
          <w:r w:rsidRPr="00662CE7">
            <w:rPr>
              <w:rFonts w:ascii="Arial" w:hAnsi="Arial" w:cs="Arial"/>
              <w:color w:val="000000"/>
            </w:rPr>
            <w:t>Beggio</w:t>
          </w:r>
          <w:proofErr w:type="spellEnd"/>
          <w:r w:rsidRPr="00662CE7">
            <w:rPr>
              <w:rFonts w:ascii="Arial" w:hAnsi="Arial" w:cs="Arial"/>
              <w:color w:val="000000"/>
            </w:rPr>
            <w:t xml:space="preserve"> G, Roman M, Mitrano DM, et al (2025) A standardized soil-based biotest to investigate the </w:t>
          </w:r>
          <w:proofErr w:type="spellStart"/>
          <w:r w:rsidRPr="00662CE7">
            <w:rPr>
              <w:rFonts w:ascii="Arial" w:hAnsi="Arial" w:cs="Arial"/>
              <w:color w:val="000000"/>
            </w:rPr>
            <w:t>phytoavailability</w:t>
          </w:r>
          <w:proofErr w:type="spellEnd"/>
          <w:r w:rsidRPr="00662CE7">
            <w:rPr>
              <w:rFonts w:ascii="Arial" w:hAnsi="Arial" w:cs="Arial"/>
              <w:color w:val="000000"/>
            </w:rPr>
            <w:t xml:space="preserve"> of </w:t>
          </w:r>
          <w:proofErr w:type="spellStart"/>
          <w:r w:rsidRPr="00662CE7">
            <w:rPr>
              <w:rFonts w:ascii="Arial" w:hAnsi="Arial" w:cs="Arial"/>
              <w:color w:val="000000"/>
            </w:rPr>
            <w:t>nanoplastics</w:t>
          </w:r>
          <w:proofErr w:type="spellEnd"/>
          <w:r w:rsidRPr="00662CE7">
            <w:rPr>
              <w:rFonts w:ascii="Arial" w:hAnsi="Arial" w:cs="Arial"/>
              <w:color w:val="000000"/>
            </w:rPr>
            <w:t>. Environ Sci Nano 12:3896–3903. https://doi.org/10.1039/d5en00328h</w:t>
          </w:r>
        </w:p>
        <w:p w14:paraId="3D9161F3" w14:textId="77777777" w:rsidR="00662CE7" w:rsidRPr="00662CE7" w:rsidRDefault="00662CE7">
          <w:pPr>
            <w:autoSpaceDE w:val="0"/>
            <w:autoSpaceDN w:val="0"/>
            <w:ind w:hanging="640"/>
            <w:divId w:val="980353696"/>
            <w:rPr>
              <w:rFonts w:ascii="Arial" w:hAnsi="Arial" w:cs="Arial"/>
              <w:color w:val="000000"/>
            </w:rPr>
          </w:pPr>
          <w:r w:rsidRPr="00662CE7">
            <w:rPr>
              <w:rFonts w:ascii="Arial" w:hAnsi="Arial" w:cs="Arial"/>
              <w:color w:val="000000"/>
            </w:rPr>
            <w:t xml:space="preserve">4. </w:t>
          </w:r>
          <w:r w:rsidRPr="00662CE7">
            <w:rPr>
              <w:rFonts w:ascii="Arial" w:hAnsi="Arial" w:cs="Arial"/>
              <w:color w:val="000000"/>
            </w:rPr>
            <w:tab/>
            <w:t>Larsen EH, Sturup S (1994) Carbon-enhanced Inductively Coupled Plasma Mass Spectrometric Detection of Arsenic and Selenium and Its Application to Arsenic Speciation</w:t>
          </w:r>
        </w:p>
        <w:p w14:paraId="0D677AAD" w14:textId="77777777" w:rsidR="00662CE7" w:rsidRPr="00662CE7" w:rsidRDefault="00662CE7">
          <w:pPr>
            <w:autoSpaceDE w:val="0"/>
            <w:autoSpaceDN w:val="0"/>
            <w:ind w:hanging="640"/>
            <w:divId w:val="549540006"/>
            <w:rPr>
              <w:rFonts w:ascii="Arial" w:hAnsi="Arial" w:cs="Arial"/>
              <w:color w:val="000000"/>
            </w:rPr>
          </w:pPr>
          <w:r w:rsidRPr="00662CE7">
            <w:rPr>
              <w:rFonts w:ascii="Arial" w:hAnsi="Arial" w:cs="Arial"/>
              <w:color w:val="000000"/>
            </w:rPr>
            <w:lastRenderedPageBreak/>
            <w:t xml:space="preserve">5. </w:t>
          </w:r>
          <w:r w:rsidRPr="00662CE7">
            <w:rPr>
              <w:rFonts w:ascii="Arial" w:hAnsi="Arial" w:cs="Arial"/>
              <w:color w:val="000000"/>
            </w:rPr>
            <w:tab/>
            <w:t xml:space="preserve">Dai Z, Ding J, He J, et al (2025) Quantitative analysis of selenium and mercury in biological samples using LA-ICP-MS. J Anal At </w:t>
          </w:r>
          <w:proofErr w:type="spellStart"/>
          <w:r w:rsidRPr="00662CE7">
            <w:rPr>
              <w:rFonts w:ascii="Arial" w:hAnsi="Arial" w:cs="Arial"/>
              <w:color w:val="000000"/>
            </w:rPr>
            <w:t>Spectrom</w:t>
          </w:r>
          <w:proofErr w:type="spellEnd"/>
          <w:r w:rsidRPr="00662CE7">
            <w:rPr>
              <w:rFonts w:ascii="Arial" w:hAnsi="Arial" w:cs="Arial"/>
              <w:color w:val="000000"/>
            </w:rPr>
            <w:t xml:space="preserve"> 40:2095–2106. https://doi.org/10.1039/d5ja00169b</w:t>
          </w:r>
        </w:p>
        <w:p w14:paraId="3CCE4BBF" w14:textId="55D9F8B1" w:rsidR="000F28B3" w:rsidRPr="007A709C" w:rsidRDefault="00662CE7" w:rsidP="003E688E">
          <w:pPr>
            <w:jc w:val="both"/>
            <w:rPr>
              <w:rFonts w:ascii="Arial" w:hAnsi="Arial" w:cs="Arial"/>
            </w:rPr>
          </w:pPr>
          <w:r w:rsidRPr="00662CE7">
            <w:rPr>
              <w:rFonts w:ascii="Arial" w:hAnsi="Arial" w:cs="Arial"/>
              <w:color w:val="000000"/>
            </w:rPr>
            <w:t> </w:t>
          </w:r>
        </w:p>
      </w:sdtContent>
    </w:sdt>
    <w:sectPr w:rsidR="000F28B3" w:rsidRPr="007A709C">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9DDDF" w14:textId="77777777" w:rsidR="00164607" w:rsidRDefault="00164607" w:rsidP="000F28B3">
      <w:r>
        <w:separator/>
      </w:r>
    </w:p>
  </w:endnote>
  <w:endnote w:type="continuationSeparator" w:id="0">
    <w:p w14:paraId="3D5543D6" w14:textId="77777777" w:rsidR="00164607" w:rsidRDefault="00164607" w:rsidP="000F2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7D179" w14:textId="77777777" w:rsidR="00164607" w:rsidRDefault="00164607" w:rsidP="000F28B3">
      <w:r>
        <w:separator/>
      </w:r>
    </w:p>
  </w:footnote>
  <w:footnote w:type="continuationSeparator" w:id="0">
    <w:p w14:paraId="2C37C7C6" w14:textId="77777777" w:rsidR="00164607" w:rsidRDefault="00164607" w:rsidP="000F2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43B1D" w14:textId="6325E57A" w:rsidR="009046C6" w:rsidRPr="009046C6" w:rsidRDefault="009046C6" w:rsidP="009046C6">
    <w:pPr>
      <w:pStyle w:val="Header"/>
      <w:jc w:val="center"/>
      <w:rPr>
        <w:rFonts w:ascii="Arial" w:hAnsi="Arial" w:cs="Arial"/>
        <w:lang w:val="en-US"/>
      </w:rPr>
    </w:pPr>
    <w:r w:rsidRPr="009046C6">
      <w:rPr>
        <w:rFonts w:ascii="Arial" w:hAnsi="Arial" w:cs="Arial"/>
        <w:lang w:val="en-US"/>
      </w:rPr>
      <w:t>Manuscript submitted to Discover Nano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F1"/>
    <w:rsid w:val="000301C7"/>
    <w:rsid w:val="00047B0C"/>
    <w:rsid w:val="000737FA"/>
    <w:rsid w:val="000943B9"/>
    <w:rsid w:val="000F28B3"/>
    <w:rsid w:val="00144696"/>
    <w:rsid w:val="00164607"/>
    <w:rsid w:val="00185E22"/>
    <w:rsid w:val="001A4502"/>
    <w:rsid w:val="001A6DD0"/>
    <w:rsid w:val="001C0C85"/>
    <w:rsid w:val="0035572C"/>
    <w:rsid w:val="0036365A"/>
    <w:rsid w:val="003E688E"/>
    <w:rsid w:val="00450822"/>
    <w:rsid w:val="004879BF"/>
    <w:rsid w:val="005321D8"/>
    <w:rsid w:val="005B192E"/>
    <w:rsid w:val="005E43CF"/>
    <w:rsid w:val="00624FF1"/>
    <w:rsid w:val="00662CE7"/>
    <w:rsid w:val="00666A71"/>
    <w:rsid w:val="007A709C"/>
    <w:rsid w:val="007E4C71"/>
    <w:rsid w:val="00870457"/>
    <w:rsid w:val="008F5A5C"/>
    <w:rsid w:val="009046C6"/>
    <w:rsid w:val="009B1E65"/>
    <w:rsid w:val="00BE261B"/>
    <w:rsid w:val="00C21A1E"/>
    <w:rsid w:val="00C60458"/>
    <w:rsid w:val="00CF5ADD"/>
    <w:rsid w:val="00D040AD"/>
    <w:rsid w:val="00D4049B"/>
    <w:rsid w:val="00D47AA6"/>
    <w:rsid w:val="00D57AB5"/>
    <w:rsid w:val="00D84268"/>
    <w:rsid w:val="00DE7B96"/>
    <w:rsid w:val="00E31B63"/>
    <w:rsid w:val="00E373D2"/>
    <w:rsid w:val="00E40728"/>
    <w:rsid w:val="00E90782"/>
    <w:rsid w:val="00EC20F2"/>
    <w:rsid w:val="00F26BCA"/>
    <w:rsid w:val="00FF24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1BC85230"/>
  <w15:chartTrackingRefBased/>
  <w15:docId w15:val="{93D45222-644B-FA4D-A542-D21C918C8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E22"/>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624FF1"/>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24FF1"/>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24FF1"/>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24FF1"/>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24FF1"/>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24FF1"/>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24FF1"/>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24FF1"/>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24FF1"/>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F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F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F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F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F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F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F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F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FF1"/>
    <w:rPr>
      <w:rFonts w:eastAsiaTheme="majorEastAsia" w:cstheme="majorBidi"/>
      <w:color w:val="272727" w:themeColor="text1" w:themeTint="D8"/>
    </w:rPr>
  </w:style>
  <w:style w:type="paragraph" w:styleId="Title">
    <w:name w:val="Title"/>
    <w:basedOn w:val="Normal"/>
    <w:next w:val="Normal"/>
    <w:link w:val="TitleChar"/>
    <w:uiPriority w:val="10"/>
    <w:qFormat/>
    <w:rsid w:val="00624FF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24F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FF1"/>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24F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FF1"/>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24FF1"/>
    <w:rPr>
      <w:i/>
      <w:iCs/>
      <w:color w:val="404040" w:themeColor="text1" w:themeTint="BF"/>
    </w:rPr>
  </w:style>
  <w:style w:type="paragraph" w:styleId="ListParagraph">
    <w:name w:val="List Paragraph"/>
    <w:basedOn w:val="Normal"/>
    <w:uiPriority w:val="34"/>
    <w:qFormat/>
    <w:rsid w:val="00624FF1"/>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624FF1"/>
    <w:rPr>
      <w:i/>
      <w:iCs/>
      <w:color w:val="0F4761" w:themeColor="accent1" w:themeShade="BF"/>
    </w:rPr>
  </w:style>
  <w:style w:type="paragraph" w:styleId="IntenseQuote">
    <w:name w:val="Intense Quote"/>
    <w:basedOn w:val="Normal"/>
    <w:next w:val="Normal"/>
    <w:link w:val="IntenseQuoteChar"/>
    <w:uiPriority w:val="30"/>
    <w:qFormat/>
    <w:rsid w:val="00624FF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24FF1"/>
    <w:rPr>
      <w:i/>
      <w:iCs/>
      <w:color w:val="0F4761" w:themeColor="accent1" w:themeShade="BF"/>
    </w:rPr>
  </w:style>
  <w:style w:type="character" w:styleId="IntenseReference">
    <w:name w:val="Intense Reference"/>
    <w:basedOn w:val="DefaultParagraphFont"/>
    <w:uiPriority w:val="32"/>
    <w:qFormat/>
    <w:rsid w:val="00624FF1"/>
    <w:rPr>
      <w:b/>
      <w:bCs/>
      <w:smallCaps/>
      <w:color w:val="0F4761" w:themeColor="accent1" w:themeShade="BF"/>
      <w:spacing w:val="5"/>
    </w:rPr>
  </w:style>
  <w:style w:type="character" w:styleId="Hyperlink">
    <w:name w:val="Hyperlink"/>
    <w:basedOn w:val="DefaultParagraphFont"/>
    <w:uiPriority w:val="99"/>
    <w:unhideWhenUsed/>
    <w:rsid w:val="007A709C"/>
    <w:rPr>
      <w:color w:val="467886" w:themeColor="hyperlink"/>
      <w:u w:val="single"/>
    </w:rPr>
  </w:style>
  <w:style w:type="table" w:styleId="TableGrid">
    <w:name w:val="Table Grid"/>
    <w:basedOn w:val="TableNormal"/>
    <w:uiPriority w:val="39"/>
    <w:rsid w:val="00E31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F28B3"/>
    <w:rPr>
      <w:color w:val="666666"/>
    </w:rPr>
  </w:style>
  <w:style w:type="paragraph" w:styleId="Header">
    <w:name w:val="header"/>
    <w:basedOn w:val="Normal"/>
    <w:link w:val="HeaderChar"/>
    <w:uiPriority w:val="99"/>
    <w:unhideWhenUsed/>
    <w:rsid w:val="000F28B3"/>
    <w:pPr>
      <w:tabs>
        <w:tab w:val="center" w:pos="4513"/>
        <w:tab w:val="right" w:pos="9026"/>
      </w:tabs>
    </w:pPr>
  </w:style>
  <w:style w:type="character" w:customStyle="1" w:styleId="HeaderChar">
    <w:name w:val="Header Char"/>
    <w:basedOn w:val="DefaultParagraphFont"/>
    <w:link w:val="Header"/>
    <w:uiPriority w:val="99"/>
    <w:rsid w:val="000F28B3"/>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0F28B3"/>
    <w:pPr>
      <w:tabs>
        <w:tab w:val="center" w:pos="4513"/>
        <w:tab w:val="right" w:pos="9026"/>
      </w:tabs>
    </w:pPr>
  </w:style>
  <w:style w:type="character" w:customStyle="1" w:styleId="FooterChar">
    <w:name w:val="Footer Char"/>
    <w:basedOn w:val="DefaultParagraphFont"/>
    <w:link w:val="Footer"/>
    <w:uiPriority w:val="99"/>
    <w:rsid w:val="000F28B3"/>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2341">
      <w:marLeft w:val="640"/>
      <w:marRight w:val="0"/>
      <w:marTop w:val="0"/>
      <w:marBottom w:val="0"/>
      <w:divBdr>
        <w:top w:val="none" w:sz="0" w:space="0" w:color="auto"/>
        <w:left w:val="none" w:sz="0" w:space="0" w:color="auto"/>
        <w:bottom w:val="none" w:sz="0" w:space="0" w:color="auto"/>
        <w:right w:val="none" w:sz="0" w:space="0" w:color="auto"/>
      </w:divBdr>
    </w:div>
    <w:div w:id="255209049">
      <w:marLeft w:val="640"/>
      <w:marRight w:val="0"/>
      <w:marTop w:val="0"/>
      <w:marBottom w:val="0"/>
      <w:divBdr>
        <w:top w:val="none" w:sz="0" w:space="0" w:color="auto"/>
        <w:left w:val="none" w:sz="0" w:space="0" w:color="auto"/>
        <w:bottom w:val="none" w:sz="0" w:space="0" w:color="auto"/>
        <w:right w:val="none" w:sz="0" w:space="0" w:color="auto"/>
      </w:divBdr>
    </w:div>
    <w:div w:id="446239109">
      <w:marLeft w:val="640"/>
      <w:marRight w:val="0"/>
      <w:marTop w:val="0"/>
      <w:marBottom w:val="0"/>
      <w:divBdr>
        <w:top w:val="none" w:sz="0" w:space="0" w:color="auto"/>
        <w:left w:val="none" w:sz="0" w:space="0" w:color="auto"/>
        <w:bottom w:val="none" w:sz="0" w:space="0" w:color="auto"/>
        <w:right w:val="none" w:sz="0" w:space="0" w:color="auto"/>
      </w:divBdr>
    </w:div>
    <w:div w:id="549540006">
      <w:marLeft w:val="640"/>
      <w:marRight w:val="0"/>
      <w:marTop w:val="0"/>
      <w:marBottom w:val="0"/>
      <w:divBdr>
        <w:top w:val="none" w:sz="0" w:space="0" w:color="auto"/>
        <w:left w:val="none" w:sz="0" w:space="0" w:color="auto"/>
        <w:bottom w:val="none" w:sz="0" w:space="0" w:color="auto"/>
        <w:right w:val="none" w:sz="0" w:space="0" w:color="auto"/>
      </w:divBdr>
    </w:div>
    <w:div w:id="865361741">
      <w:marLeft w:val="640"/>
      <w:marRight w:val="0"/>
      <w:marTop w:val="0"/>
      <w:marBottom w:val="0"/>
      <w:divBdr>
        <w:top w:val="none" w:sz="0" w:space="0" w:color="auto"/>
        <w:left w:val="none" w:sz="0" w:space="0" w:color="auto"/>
        <w:bottom w:val="none" w:sz="0" w:space="0" w:color="auto"/>
        <w:right w:val="none" w:sz="0" w:space="0" w:color="auto"/>
      </w:divBdr>
    </w:div>
    <w:div w:id="884216103">
      <w:marLeft w:val="640"/>
      <w:marRight w:val="0"/>
      <w:marTop w:val="0"/>
      <w:marBottom w:val="0"/>
      <w:divBdr>
        <w:top w:val="none" w:sz="0" w:space="0" w:color="auto"/>
        <w:left w:val="none" w:sz="0" w:space="0" w:color="auto"/>
        <w:bottom w:val="none" w:sz="0" w:space="0" w:color="auto"/>
        <w:right w:val="none" w:sz="0" w:space="0" w:color="auto"/>
      </w:divBdr>
    </w:div>
    <w:div w:id="980353696">
      <w:marLeft w:val="640"/>
      <w:marRight w:val="0"/>
      <w:marTop w:val="0"/>
      <w:marBottom w:val="0"/>
      <w:divBdr>
        <w:top w:val="none" w:sz="0" w:space="0" w:color="auto"/>
        <w:left w:val="none" w:sz="0" w:space="0" w:color="auto"/>
        <w:bottom w:val="none" w:sz="0" w:space="0" w:color="auto"/>
        <w:right w:val="none" w:sz="0" w:space="0" w:color="auto"/>
      </w:divBdr>
    </w:div>
    <w:div w:id="1096441663">
      <w:marLeft w:val="640"/>
      <w:marRight w:val="0"/>
      <w:marTop w:val="0"/>
      <w:marBottom w:val="0"/>
      <w:divBdr>
        <w:top w:val="none" w:sz="0" w:space="0" w:color="auto"/>
        <w:left w:val="none" w:sz="0" w:space="0" w:color="auto"/>
        <w:bottom w:val="none" w:sz="0" w:space="0" w:color="auto"/>
        <w:right w:val="none" w:sz="0" w:space="0" w:color="auto"/>
      </w:divBdr>
    </w:div>
    <w:div w:id="1121996185">
      <w:marLeft w:val="640"/>
      <w:marRight w:val="0"/>
      <w:marTop w:val="0"/>
      <w:marBottom w:val="0"/>
      <w:divBdr>
        <w:top w:val="none" w:sz="0" w:space="0" w:color="auto"/>
        <w:left w:val="none" w:sz="0" w:space="0" w:color="auto"/>
        <w:bottom w:val="none" w:sz="0" w:space="0" w:color="auto"/>
        <w:right w:val="none" w:sz="0" w:space="0" w:color="auto"/>
      </w:divBdr>
    </w:div>
    <w:div w:id="1122378064">
      <w:marLeft w:val="640"/>
      <w:marRight w:val="0"/>
      <w:marTop w:val="0"/>
      <w:marBottom w:val="0"/>
      <w:divBdr>
        <w:top w:val="none" w:sz="0" w:space="0" w:color="auto"/>
        <w:left w:val="none" w:sz="0" w:space="0" w:color="auto"/>
        <w:bottom w:val="none" w:sz="0" w:space="0" w:color="auto"/>
        <w:right w:val="none" w:sz="0" w:space="0" w:color="auto"/>
      </w:divBdr>
    </w:div>
    <w:div w:id="1278873459">
      <w:marLeft w:val="640"/>
      <w:marRight w:val="0"/>
      <w:marTop w:val="0"/>
      <w:marBottom w:val="0"/>
      <w:divBdr>
        <w:top w:val="none" w:sz="0" w:space="0" w:color="auto"/>
        <w:left w:val="none" w:sz="0" w:space="0" w:color="auto"/>
        <w:bottom w:val="none" w:sz="0" w:space="0" w:color="auto"/>
        <w:right w:val="none" w:sz="0" w:space="0" w:color="auto"/>
      </w:divBdr>
    </w:div>
    <w:div w:id="1809276712">
      <w:marLeft w:val="640"/>
      <w:marRight w:val="0"/>
      <w:marTop w:val="0"/>
      <w:marBottom w:val="0"/>
      <w:divBdr>
        <w:top w:val="none" w:sz="0" w:space="0" w:color="auto"/>
        <w:left w:val="none" w:sz="0" w:space="0" w:color="auto"/>
        <w:bottom w:val="none" w:sz="0" w:space="0" w:color="auto"/>
        <w:right w:val="none" w:sz="0" w:space="0" w:color="auto"/>
      </w:divBdr>
    </w:div>
    <w:div w:id="1824083940">
      <w:marLeft w:val="640"/>
      <w:marRight w:val="0"/>
      <w:marTop w:val="0"/>
      <w:marBottom w:val="0"/>
      <w:divBdr>
        <w:top w:val="none" w:sz="0" w:space="0" w:color="auto"/>
        <w:left w:val="none" w:sz="0" w:space="0" w:color="auto"/>
        <w:bottom w:val="none" w:sz="0" w:space="0" w:color="auto"/>
        <w:right w:val="none" w:sz="0" w:space="0" w:color="auto"/>
      </w:divBdr>
    </w:div>
    <w:div w:id="1836917998">
      <w:marLeft w:val="640"/>
      <w:marRight w:val="0"/>
      <w:marTop w:val="0"/>
      <w:marBottom w:val="0"/>
      <w:divBdr>
        <w:top w:val="none" w:sz="0" w:space="0" w:color="auto"/>
        <w:left w:val="none" w:sz="0" w:space="0" w:color="auto"/>
        <w:bottom w:val="none" w:sz="0" w:space="0" w:color="auto"/>
        <w:right w:val="none" w:sz="0" w:space="0" w:color="auto"/>
      </w:divBdr>
    </w:div>
    <w:div w:id="1861508796">
      <w:marLeft w:val="640"/>
      <w:marRight w:val="0"/>
      <w:marTop w:val="0"/>
      <w:marBottom w:val="0"/>
      <w:divBdr>
        <w:top w:val="none" w:sz="0" w:space="0" w:color="auto"/>
        <w:left w:val="none" w:sz="0" w:space="0" w:color="auto"/>
        <w:bottom w:val="none" w:sz="0" w:space="0" w:color="auto"/>
        <w:right w:val="none" w:sz="0" w:space="0" w:color="auto"/>
      </w:divBdr>
    </w:div>
    <w:div w:id="2122911603">
      <w:marLeft w:val="640"/>
      <w:marRight w:val="0"/>
      <w:marTop w:val="0"/>
      <w:marBottom w:val="0"/>
      <w:divBdr>
        <w:top w:val="none" w:sz="0" w:space="0" w:color="auto"/>
        <w:left w:val="none" w:sz="0" w:space="0" w:color="auto"/>
        <w:bottom w:val="none" w:sz="0" w:space="0" w:color="auto"/>
        <w:right w:val="none" w:sz="0" w:space="0" w:color="auto"/>
      </w:divBdr>
    </w:div>
    <w:div w:id="2136825003">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jain@hzdr.d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179ECDF-D989-0E49-A9CE-DEA6467D606A}"/>
      </w:docPartPr>
      <w:docPartBody>
        <w:p w:rsidR="001E1150" w:rsidRDefault="00454645">
          <w:r w:rsidRPr="008A50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645"/>
    <w:rsid w:val="000C3206"/>
    <w:rsid w:val="001E1150"/>
    <w:rsid w:val="00454645"/>
    <w:rsid w:val="00DF171B"/>
    <w:rsid w:val="00E907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464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1AE0A50-6F6E-0F4E-9DBB-FCA4D385D757}">
  <we:reference id="wa104382081" version="1.55.1.0" store="en-GB" storeType="OMEX"/>
  <we:alternateReferences>
    <we:reference id="wa104382081" version="1.55.1.0" store="en-GB" storeType="OMEX"/>
  </we:alternateReferences>
  <we:properties>
    <we:property name="MENDELEY_BIBLIOGRAPHY_IS_DIRTY" value="false"/>
    <we:property name="MENDELEY_BIBLIOGRAPHY_LAST_MODIFIED" value="1787210282249"/>
    <we:property name="MENDELEY_CITATIONS" value="[{&quot;citationID&quot;:&quot;MENDELEY_CITATION_9c5b6ba9-883f-4df8-af2f-6d5039ad7d13&quot;,&quot;properties&quot;:{&quot;noteIndex&quot;:0},&quot;isEdited&quot;:false,&quot;manualOverride&quot;:{&quot;isManuallyOverridden&quot;:false,&quot;citeprocText&quot;:&quot;[1–3]&quot;,&quot;manualOverrideText&quot;:&quot;&quot;},&quot;citationTag&quot;:&quot;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&quot;,&quot;citationItems&quot;:[{&quot;id&quot;:&quot;db4dd549-ff26-3144-b70d-0f74520f75fa&quot;,&quot;itemData&quot;:{&quot;type&quot;:&quot;article-journal&quot;,&quot;id&quot;:&quot;db4dd549-ff26-3144-b70d-0f74520f75fa&quot;,&quot;title&quot;:&quot;Effect of Soil Organic Matter, Soil pH, and Moisture Content on Solubility and Dissolution Rate of CuO NPs in Soil&quot;,&quot;author&quot;:[{&quot;family&quot;:&quot;Gao&quot;,&quot;given&quot;:&quot;Xiaoyu&quot;,&quot;parse-names&quot;:false,&quot;dropping-particle&quot;:&quot;&quot;,&quot;non-dropping-particle&quot;:&quot;&quot;},{&quot;family&quot;:&quot;Rodrigues&quot;,&quot;given&quot;:&quot;Sónia M.&quot;,&quot;parse-names&quot;:false,&quot;dropping-particle&quot;:&quot;&quot;,&quot;non-dropping-particle&quot;:&quot;&quot;},{&quot;family&quot;:&quot;Spielman-Sun&quot;,&quot;given&quot;:&quot;Eleanor&quot;,&quot;parse-names&quot;:false,&quot;dropping-particle&quot;:&quot;&quot;,&quot;non-dropping-particle&quot;:&quot;&quot;},{&quot;family&quot;:&quot;Lopes&quot;,&quot;given&quot;:&quot;Sónia&quot;,&quot;parse-names&quot;:false,&quot;dropping-particle&quot;:&quot;&quot;,&quot;non-dropping-particle&quot;:&quot;&quot;},{&quot;family&quot;:&quot;Rodrigues&quot;,&quot;given&quot;:&quot;Sandra&quot;,&quot;parse-names&quot;:false,&quot;dropping-particle&quot;:&quot;&quot;,&quot;non-dropping-particle&quot;:&quot;&quot;},{&quot;family&quot;:&quot;Zhang&quot;,&quot;given&quot;:&quot;Yilin&quot;,&quot;parse-names&quot;:false,&quot;dropping-particle&quot;:&quot;&quot;,&quot;non-dropping-particle&quot;:&quot;&quot;},{&quot;family&quot;:&quot;Avellan&quot;,&quot;given&quot;:&quot;Astrid&quot;,&quot;parse-names&quot;:false,&quot;dropping-particle&quot;:&quot;&quot;,&quot;non-dropping-particle&quot;:&quot;&quot;},{&quot;family&quot;:&quot;Duarte&quot;,&quot;given&quot;:&quot;Regina M.B.O.&quot;,&quot;parse-names&quot;:false,&quot;dropping-particle&quot;:&quot;&quot;,&quot;non-dropping-particle&quot;:&quot;&quot;},{&quot;family&quot;:&quot;Duarte&quot;,&quot;given&quot;:&quot;Armando&quot;,&quot;parse-names&quot;:false,&quot;dropping-particle&quot;:&quot;&quot;,&quot;non-dropping-particle&quot;:&quot;&quot;},{&quot;family&quot;:&quot;Casman&quot;,&quot;given&quot;:&quot;Elizabeth A.&quot;,&quot;parse-names&quot;:false,&quot;dropping-particle&quot;:&quot;&quot;,&quot;non-dropping-particle&quot;:&quot;&quot;},{&quot;family&quot;:&quot;Lowry&quot;,&quot;given&quot;:&quot;Gregory&quot;,&quot;parse-names&quot;:false,&quot;dropping-particle&quot;:&quot;V.&quot;,&quot;non-dropping-particle&quot;:&quot;&quot;}],&quot;container-title&quot;:&quot;Environmental Science and Technology&quot;,&quot;container-title-short&quot;:&quot;Environ. Sci. Technol.&quot;,&quot;DOI&quot;:&quot;10.1021/acs.est.8b07243&quot;,&quot;ISSN&quot;:&quot;15205851&quot;,&quot;PMID&quot;:&quot;30920811&quot;,&quot;issued&quot;:{&quot;date-parts&quot;:[[2019,5,7]]},&quot;page&quot;:&quot;4959-4967&quot;,&quot;abstract&quot;:&quot;The objectives of this research were to quantify the impact of organic matter content, soil pH and moisture content on the dissolution rate and solubility of copper oxide nanoparticles (CuO NPs) in soil, and to develop an empirical model to predict the dissolution kinetics of CuO NPs in soil. CuO NPs were dosed into standard LUFA soils with various moisture content, pH and organic carbon content. Chemical extractions were applied to measure the CuO NP dissolution kinetics. Doubling the reactive organic carbon content in LUFA 2.1 soil increased the solubility of CuO NP 2.7-fold but did not change the dissolution rate constant. Increasing the soil pH from 5.9 to 6.8 in LUFA 2.2 soil decreased the dissolution rate constant from 0.56 mol1/3·kg1/3·s-1 to 0.17 mol1/3·kg1/3·s-1 without changing the solubility of CuO NP in soil. For six soils, the solubility of CuO NP correlated well with soil organic matter content (R2 = 0.89) independent of soil pH. In contrast, the dissolution rate constant correlated with pH for pH &lt; 6.3 (R2 = 0.89), independent of soil organic matter content. These relationships predicted the solubility and dissolution rate constants of CuO NP in two test soils (pH 5.0 and pH 7.6). Moisture content showed negligible impact on the dissolution kinetics of CuO NPs. Our study suggests that soil pH and organic matter content affect the dissolution behavior of CuO NP in soil in a predictable manner.&quot;,&quot;publisher&quot;:&quot;American Chemical Society&quot;,&quot;issue&quot;:&quot;9&quot;,&quot;volume&quot;:&quot;53&quot;},&quot;isTemporary&quot;:false},{&quot;id&quot;:&quot;60327c60-44ae-3215-85a9-21b2a6f98cd8&quot;,&quot;itemData&quot;:{&quot;type&quot;:&quot;article-journal&quot;,&quot;id&quot;:&quot;60327c60-44ae-3215-85a9-21b2a6f98cd8&quot;,&quot;title&quot;:&quot;Zinc Speciation in Organic Waste Drives Its Fate in Amended Soils&quot;,&quot;author&quot;:[{&quot;family&quot;:&quot;Hodomihou&quot;,&quot;given&quot;:&quot;Nounagnon Richard&quot;,&quot;parse-names&quot;:false,&quot;dropping-particle&quot;:&quot;&quot;,&quot;non-dropping-particle&quot;:&quot;&quot;},{&quot;family&quot;:&quot;Feder&quot;,&quot;given&quot;:&quot;Frédéric&quot;,&quot;parse-names&quot;:false,&quot;dropping-particle&quot;:&quot;&quot;,&quot;non-dropping-particle&quot;:&quot;&quot;},{&quot;family&quot;:&quot;Legros&quot;,&quot;given&quot;:&quot;Samuel&quot;,&quot;parse-names&quot;:false,&quot;dropping-particle&quot;:&quot;&quot;,&quot;non-dropping-particle&quot;:&quot;&quot;},{&quot;family&quot;:&quot;Formentini&quot;,&quot;given&quot;:&quot;Thiago Augusto&quot;,&quot;parse-names&quot;:false,&quot;dropping-particle&quot;:&quot;&quot;,&quot;non-dropping-particle&quot;:&quot;&quot;},{&quot;family&quot;:&quot;Lombi&quot;,&quot;given&quot;:&quot;Enzo&quot;,&quot;parse-names&quot;:false,&quot;dropping-particle&quot;:&quot;&quot;,&quot;non-dropping-particle&quot;:&quot;&quot;},{&quot;family&quot;:&quot;Doelsch&quot;,&quot;given&quot;:&quot;Emmanuel&quot;,&quot;parse-names&quot;:false,&quot;dropping-particle&quot;:&quot;&quot;,&quot;non-dropping-particle&quot;:&quot;&quot;}],&quot;container-title&quot;:&quot;Environmental Science and Technology&quot;,&quot;container-title-short&quot;:&quot;Environ. Sci. Technol.&quot;,&quot;DOI&quot;:&quot;10.1021/acs.est.0c02721&quot;,&quot;ISSN&quot;:&quot;15205851&quot;,&quot;PMID&quot;:&quot;32852945&quot;,&quot;issued&quot;:{&quot;date-parts&quot;:[[2020,10,6]]},&quot;page&quot;:&quot;12034-12041&quot;,&quot;abstract&quot;:&quot;Recycling of organic waste (OW) as fertilizer on farmland is a widespread practice that fosters sustainable development via resource reuse. However, the advantages of OW fertilization should be weighed against the potentially negative environmental impacts due to the presence of contaminants such as zinc (Zn). Current knowledge on the parameters controlling the environmental fate of Zn following OW application on cultivated soils is scant. We addressed this shortcoming by combining soil column experiments and Zn speciation characterization in OWs and amended soils. Soil column experiments were first carried out using two contrasted soils (sandy soil and sandy clay loam) that were amended with sewage sludge or poultry manure and cropped with lettuce. The soil columns were irrigated with identical amounts of water twice a week, and the leachates collected at the column outlet were monitored and analyzed. This scheme (OW application and lettuce crop cycle) was repeated for each treatment. Lettuce yields and Zn uptake were assessed at the end of each cycle. The soil columns were dismantled and seven soil layers were sampled and analyzed at the end of the second cycle (total experiment time: 12 weeks). X-ray absorption spectroscopy analyses were then conducted to assess Zn speciation in OW and OW-amended soils. The results of this study highlighted that (i) the fate of Zn in water-soil-plant compartments was similar, regardless of the type of soil and OW, (ii) &gt;97.6% of the Zn input from OW accumulated in the soil surface layer, (iii) Zn uptake by lettuce increased with repeated OW applications, and (iv) no radical change in Zn speciation was observed at the end of the 12-week experiment, and phosphate was found to drive Zn speciation in both OW and amended soils (i.e., amorphous Zn-phosphate and Zn sorbed on hydoxylapatite). These results suggest that Zn speciation in OW is a key determinant controlling the environmental fate of this element in OW-amended soils.&quot;,&quot;publisher&quot;:&quot;American Chemical Society&quot;,&quot;issue&quot;:&quot;19&quot;,&quot;volume&quot;:&quot;54&quot;},&quot;isTemporary&quot;:false},{&quot;id&quot;:&quot;f8564064-31b7-37f7-aa7c-28c223be81ff&quot;,&quot;itemData&quot;:{&quot;type&quot;:&quot;article-journal&quot;,&quot;id&quot;:&quot;f8564064-31b7-37f7-aa7c-28c223be81ff&quot;,&quot;title&quot;:&quot;A standardized soil-based biotest to investigate the phytoavailability of nanoplastics&quot;,&quot;author&quot;:[{&quot;family&quot;:&quot;Beggio&quot;,&quot;given&quot;:&quot;Giovanni&quot;,&quot;parse-names&quot;:false,&quot;dropping-particle&quot;:&quot;&quot;,&quot;non-dropping-particle&quot;:&quot;&quot;},{&quot;family&quot;:&quot;Roman&quot;,&quot;given&quot;:&quot;Marco&quot;,&quot;parse-names&quot;:false,&quot;dropping-particle&quot;:&quot;&quot;,&quot;non-dropping-particle&quot;:&quot;&quot;},{&quot;family&quot;:&quot;Mitrano&quot;,&quot;given&quot;:&quot;Denise M.&quot;,&quot;parse-names&quot;:false,&quot;dropping-particle&quot;:&quot;&quot;,&quot;non-dropping-particle&quot;:&quot;&quot;},{&quot;family&quot;:&quot;Bravin&quot;,&quot;given&quot;:&quot;Matthieu N.&quot;,&quot;parse-names&quot;:false,&quot;dropping-particle&quot;:&quot;&quot;,&quot;non-dropping-particle&quot;:&quot;&quot;},{&quot;family&quot;:&quot;Ndiforngu&quot;,&quot;given&quot;:&quot;Ateh Suh Nkwekeu&quot;,&quot;parse-names&quot;:false,&quot;dropping-particle&quot;:&quot;&quot;,&quot;non-dropping-particle&quot;:&quot;&quot;},{&quot;family&quot;:&quot;Sandon&quot;,&quot;given&quot;:&quot;Annalisa&quot;,&quot;parse-names&quot;:false,&quot;dropping-particle&quot;:&quot;&quot;,&quot;non-dropping-particle&quot;:&quot;&quot;},{&quot;family&quot;:&quot;Bonato&quot;,&quot;given&quot;:&quot;Tiziano&quot;,&quot;parse-names&quot;:false,&quot;dropping-particle&quot;:&quot;&quot;,&quot;non-dropping-particle&quot;:&quot;&quot;},{&quot;family&quot;:&quot;Lavagnolo&quot;,&quot;given&quot;:&quot;Maria Cristina&quot;,&quot;parse-names&quot;:false,&quot;dropping-particle&quot;:&quot;&quot;,&quot;non-dropping-particle&quot;:&quot;&quot;}],&quot;container-title&quot;:&quot;Environmental Science: Nano&quot;,&quot;container-title-short&quot;:&quot;Environ. Sci. Nano&quot;,&quot;DOI&quot;:&quot;10.1039/d5en00328h&quot;,&quot;ISSN&quot;:&quot;20518161&quot;,&quot;issued&quot;:{&quot;date-parts&quot;:[[2025,8,8]]},&quot;page&quot;:&quot;3896-3903&quot;,&quot;abstract&quot;:&quot;Standardized methods are essential for generating reliable and reproducible data to support risk assessment and decision-making related to soil contamination by environmental pollutants, including nanoplastics (NPs). This study evaluated the ability of the RHIZOtest method, a standardized soil-plant exposure system, in providing a high-throughput testing platform for investigating NP phytoavailability. As a proof of concept, tomato plants were exposed to artificial soil spiked with model NPs at concentrations of 400 and 4000 mg kg−1 dm. Palladium (Pd)-doped polystyrene particles (PS-P) (a Z-average diameter of 210 nm, a surface charge zeta potential of −45.20 ± 032 mV, a polydispersity index of 0.1, and a Pd doping ratio of 0.295% w/w Pd to PS-P) were used as surrogates for NPs. Pd content was measured as a proxy for quantifying PS-P uptake. After eight days of exposure, Pd was detected in both the roots and shoots of plants grown on both spiked soils, confirming PS-P uptake and translocation. On average, 5 ± 1% of the spiked PS-P were taken up by the plants across spiking levels. Root concentration factors varied slightly between the lower and higher levels (31 ± 2% and 24 ± 3%, respectively), while translocation factors remained similar (∼25%). Root biomass was significantly reduced compared to controls, suggesting possible concentration-dependent PS-P rhizotoxicity. Notably, the limited variability in concentration values measured in roots (±11%) and shoots (±23%), along with near-complete mass balance recovery (97-100%), demonstrated the reliability of the RHIZOtest in accurately and consistently quantifying NP uptake while accounting for rhizosphere processes.&quot;,&quot;publisher&quot;:&quot;Royal Society of Chemistry&quot;,&quot;issue&quot;:&quot;8&quot;,&quot;volume&quot;:&quot;12&quot;},&quot;isTemporary&quot;:false}]},{&quot;citationID&quot;:&quot;MENDELEY_CITATION_168c46b2-1d5d-4e1c-ba32-20e49b774964&quot;,&quot;properties&quot;:{&quot;noteIndex&quot;:0},&quot;isEdited&quot;:false,&quot;manualOverride&quot;:{&quot;isManuallyOverridden&quot;:false,&quot;citeprocText&quot;:&quot;[4, 5]&quot;,&quot;manualOverrideText&quot;:&quot;&quot;},&quot;citationTag&quot;:&quot;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&quot;,&quot;citationItems&quot;:[{&quot;id&quot;:&quot;db416878-aa53-3b8b-a713-dd7e25537b52&quot;,&quot;itemData&quot;:{&quot;type&quot;:&quot;report&quot;,&quot;id&quot;:&quot;db416878-aa53-3b8b-a713-dd7e25537b52&quot;,&quot;title&quot;:&quot;Carbon-enhanced Inductively Coupled Plasma Mass Spectrometric Detection of Arsenic and Selenium and Its Application to Arsenic Speciation&quot;,&quot;author&quot;:[{&quot;family&quot;:&quot;Larsen&quot;,&quot;given&quot;:&quot;Erik H&quot;,&quot;parse-names&quot;:false,&quot;dropping-particle&quot;:&quot;&quot;,&quot;non-dropping-particle&quot;:&quot;&quot;},{&quot;family&quot;:&quot;Sturup&quot;,&quot;given&quot;:&quot;Stefan&quot;,&quot;parse-names&quot;:false,&quot;dropping-particle&quot;:&quot;&quot;,&quot;non-dropping-particle&quot;:&quot;&quot;}],&quot;container-title&quot;:&quot;JOURNAL OF ANALYTICAL ATOMIC SPECTROMETRY&quot;,&quot;container-title-short&quot;:&quot;J. Anal. At. Spectrom.&quot;,&quot;issued&quot;:{&quot;date-parts&quot;:[[1994]]},&quot;number-of-pages&quot;:&quot;1099&quot;,&quot;abstract&quot;:&quot;Addition of carbon as methanol or ammonium carbonate to the aqueous analyte solutions in combination with increased plasma power input enhanced the inductively coupled plasma mass spectrometry (ICP-MS) signal intensities of arsenic and selenium. In the presence of the optimum 3% v/v methanol concentration the signal intensities achieved were about 4500-5000 counts s-' per ng ml-' of arsenic and about 700-1 100 counts s-' per ng ml-' of selenium (82Se), corresponding to enhancement factors of 3.5-4.5 compared with aqueous solution for the two elements. Differences in sensitivity (calculated on the basis of analyte atom) were observed between the individual arsenic species and between the selenium species in aqueous as well as in carbon-added solutions. The presence of 3% v/v methanol in the analyte solutions doubled the level of the background signal for arsenic and selenium, but its fluctuation (noise) was not increased. Therefore, the observed increase in analyte sensitivity led to a similar increase in signal-to-noise ratio. The addition of carbon as ammonium carbonate enhanced the arsenic signal by a similar factor but caused severe contamination of the ICP-MS instrument by carbon. In the 3% v/v methanol solutions of arsenic and selenium the signal intensity from antimony (internal standard) was enhanced by a factor of 1.5, which indicates that the enhancement effect of the arsenic and selenium signals by methanol is only to a limited extent caused by improved sample transport/nebulization efficiency. It is proposed that an increased population of carbon ions or carbon-containing ions in the plasma facilitates a more complete ionization of analytes lower in ionization energy than carbon itself. The enhanced detection power for arsenic was applied to arsenic speciation by high-performance liquid chromatography (HPLC)-ICP-MS, and made possible the detection of the arsenocholine ion (AsC) in extracts of shrimp at the 5-10 ng g-' concentration level. The limit of detection was improved by a factor of 3.4 after addition of methanol and was 4.7 ng g-' as the AsC ion. Keywords: Arsenic; selenium; methanol-enhanced sensitivity; high-performance liquid chromatography-inductively coupled plasma mass spectrometry; arsenic speciation in shrimp During the last decade inductively coupled plasma mass spec-trometry (ICP-MS) has been developed into an accurate and sensitive technique for multi-element determinations over a range of sample matrices. However, because of the low resolution of the quadrupole mass filter used in most of the commercially available ICP-MS instruments a number of spectroscopic interferences have been reported.' These are caused by isotopes of elements other than the analytes or by polyatomic species with the same nominal m/z value as the analyte isotope. The detection of arsenic and selenium by ICP-MS may suffer from both types of spectroscopic interferences although polyatomic interferences are most commonly seen. The combination of chlorine introduced via the sample with argon from the plasma can give rise to the formation of 40Ar35C1+, which interferes with the monoisotopic 7 5 A ~ +. Polyatomic ions such as 40Ar37C1+, 3'Ar40Ar+ and 40Ar40Ar+ may interfere with the measurement of the selenium isotopes 77Se, 78Se and \&quot;Se, respectively. If these interferences cannot be circumvented, it becomes necessary to detect a less abundant but largely interference-free isotope of selenium, e.g., 82Se. However, its low natural abundance of 9.2% gives a poorer limit of detection (LOD). Therefore, methods of improved detection power and reduced polyatomic interferences in ICP-MS are of importance. A number of papers have reported the use of argon plasmas with added molecular gasses (e.g., nitrogen and helium) for the reduction in formation of certain interfering polyatomic and for signal intensity enhancements of e.g., However, the mechanism behind the observed enhancement effect is poorly understood. In contrast to mixed-gas plasmas, only a few papers discuss the potential advantages of adding liquids, like organic solvents , to the analyte solution. Better understanding of the analytical behaviour in ICP-MS of pure or water-mixed organic solvents is essential in the determination of elements in such matrices. This is also of relevance in speciation techniques that employ high-performance liquid chromatography (HPLC) for species separations with ICP-MS detection. Organic solvents are often added to the mobile phase of the HPLC system in order to alter the chromatographic selectivity and are therefore continuously introduced into the ICP-MS detector. The direct determination of trace elements in white spirit and fuel oil, and in petroleum products required a relatively high r.f. power of 1500-1800 W in order to obtain a stable plasma and maximum ~ensitivity.~.~ The addition of 2-7% of oxygen to the aerosol carrier gas was necessary to prevent clogging of the sampler orifice by carbon. An intense signal at m/z 44 due to 12C160+2 explains the removal of elemental carbon from the sampler cone upon addition of oxygen. Increased background signals below m/z 85 were ascribed to formation of carbon-derived polyatomics.' The effect on the ICP-MS signal intensity of cerium and rubidium after addition of acetic acid or ethanol (1 or 12%) was investigated as a function of carrier argon flow.\&quot; Upon addition of the organic compounds the aerosol carrier gas flow for optimum signal intensity decreased and the resulting analyte signal intensities were either decreased, unchanged, or enhanced depending on the operating conditions used. In another study the effect of added propan-2-01 on the depression of the argon chloride interference on arsenic at m/z 75 in dilute hydrochloric acid solutions was compared with the similar effect caused by added n i t r ~ g e n , ~ which proved to be the more efficient additive. The addition of an optimum 10% v/v propan-2-01 caused an increase in the formation of CCI', which was assumed to compete with the formation of ArCl' and thereby cause a reduced signal for this interference. The addition of propan-2-01 caused a sharp decrease of the signal intensity of the indium&quot;,&quot;volume&quot;:&quot;9&quot;},&quot;isTemporary&quot;:false},{&quot;id&quot;:&quot;d7dd434b-a69a-3629-ac28-08a829079856&quot;,&quot;itemData&quot;:{&quot;type&quot;:&quot;article-journal&quot;,&quot;id&quot;:&quot;d7dd434b-a69a-3629-ac28-08a829079856&quot;,&quot;title&quot;:&quot;Quantitative analysis of selenium and mercury in biological samples using LA-ICP-MS&quot;,&quot;author&quot;:[{&quot;family&quot;:&quot;Dai&quot;,&quot;given&quot;:&quot;Zhihui&quot;,&quot;parse-names&quot;:false,&quot;dropping-particle&quot;:&quot;&quot;,&quot;non-dropping-particle&quot;:&quot;&quot;},{&quot;family&quot;:&quot;Ding&quot;,&quot;given&quot;:&quot;Jiuyang&quot;,&quot;parse-names&quot;:false,&quot;dropping-particle&quot;:&quot;&quot;,&quot;non-dropping-particle&quot;:&quot;&quot;},{&quot;family&quot;:&quot;He&quot;,&quot;given&quot;:&quot;Jiaojiao&quot;,&quot;parse-names&quot;:false,&quot;dropping-particle&quot;:&quot;&quot;,&quot;non-dropping-particle&quot;:&quot;&quot;},{&quot;family&quot;:&quot;Tu&quot;,&quot;given&quot;:&quot;Chenglong&quot;,&quot;parse-names&quot;:false,&quot;dropping-particle&quot;:&quot;&quot;,&quot;non-dropping-particle&quot;:&quot;&quot;},{&quot;family&quot;:&quot;Wang&quot;,&quot;given&quot;:&quot;Dengjun&quot;,&quot;parse-names&quot;:false,&quot;dropping-particle&quot;:&quot;&quot;,&quot;non-dropping-particle&quot;:&quot;&quot;},{&quot;family&quot;:&quot;Chen&quot;,&quot;given&quot;:&quot;Dan&quot;,&quot;parse-names&quot;:false,&quot;dropping-particle&quot;:&quot;&quot;,&quot;non-dropping-particle&quot;:&quot;&quot;},{&quot;family&quot;:&quot;Wang&quot;,&quot;given&quot;:&quot;Jingfu&quot;,&quot;parse-names&quot;:false,&quot;dropping-particle&quot;:&quot;&quot;,&quot;non-dropping-particle&quot;:&quot;&quot;}],&quot;container-title&quot;:&quot;Journal of Analytical Atomic Spectrometry&quot;,&quot;container-title-short&quot;:&quot;J. Anal. At. Spectrom.&quot;,&quot;DOI&quot;:&quot;10.1039/d5ja00169b&quot;,&quot;ISSN&quot;:&quot;13645544&quot;,&quot;issued&quot;:{&quot;date-parts&quot;:[[2025,7,30]]},&quot;page&quot;:&quot;2095-2106&quot;,&quot;abstract&quot;:&quot;Laser ablation inductively coupled plasma mass spectrometry (LA-ICP-MS) has emerged as a powerful analytical tool to spatially resolve elemental quantification and multi-element bioimaging. This study presents a comprehensive methodology of LA-ICP-MS for the simultaneous quantification of selenium (Se) and mercury (Hg) in biological matrices, achieving micrometer-scale spatial resolution and maintaining analytical robustness. Critical challenges in Se quantification arising from potential spectral interferences were resolved through collision/reaction cell (CRC) technology optimization and strategic isotope selection (77Se and 82Se), enabling interference-free detection. Notably, this study pioneered the quantitative characterization of polyatomic interferences through interference modeling. Distinct matrix-dependent signal behaviors were observed between organic-rich tissues (e.g., liver) and protein-dominated matrices (e.g., gelatin), underscoring the necessity for matrix-specific calibration strategies. The method demonstrated that both LA-ICP-MS and LA-ICP-MS/MS exhibited high precision (&lt;10% relative bias) in quantifying Se and Hg. Subsequent application to controlled exposure models provided more detailed information on Se/Hg biodistribution patterns. Collectively, this analytical advancement provides a valid method for investigating detoxification dynamics and elemental redistribution mechanisms in organs, particularly when the analysis was integrated with high-resolution mapping of Se-Hg antagonism at sub-organ resolution.&quot;,&quot;publisher&quot;:&quot;Royal Society of Chemistry&quot;,&quot;issue&quot;:&quot;8&quot;,&quot;volume&quot;:&quot;40&quot;},&quot;isTemporary&quot;:false}]}]"/>
    <we:property name="MENDELEY_CITATIONS_LOCALE_CODE" value="&quot;en-US&quot;"/>
    <we:property name="MENDELEY_CITATIONS_STYLE" value="{&quot;id&quot;:&quot;https://www.zotero.org/styles/springer-basic-brackets&quot;,&quot;title&quot;:&quot;Springer - Basic (numeric, bracke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AC60-A074-8A41-8834-9036C1907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5</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Rewati Dixit</dc:creator>
  <cp:keywords/>
  <dc:description/>
  <cp:lastModifiedBy>Rewati Dixit</cp:lastModifiedBy>
  <cp:revision>21</cp:revision>
  <dcterms:created xsi:type="dcterms:W3CDTF">2026-03-12T14:38:00Z</dcterms:created>
  <dcterms:modified xsi:type="dcterms:W3CDTF">2026-08-29T07:21:00Z</dcterms:modified>
</cp:coreProperties>
</file>