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sz w:val="24"/>
        </w:rPr>
        <w:t>Additional file 1</w:t>
      </w:r>
    </w:p>
    <w:p>
      <w:pPr>
        <w:spacing w:after="160"/>
      </w:pPr>
      <w:r>
        <w:rPr>
          <w:b/>
          <w:i w:val="0"/>
          <w:sz w:val="22"/>
        </w:rPr>
        <w:t>STROBE Statement — checklist of items that should be included in reports of cohort studies</w:t>
      </w:r>
    </w:p>
    <w:p>
      <w:pPr>
        <w:spacing w:after="40"/>
      </w:pPr>
      <w:r>
        <w:rPr>
          <w:b w:val="0"/>
          <w:i w:val="0"/>
        </w:rPr>
        <w:t>Manuscript: Early addition of nintedanib in acute exacerbation of fibrotic interstitial lung disease: a single-center retrospective cohort study</w:t>
      </w:r>
    </w:p>
    <w:p>
      <w:pPr>
        <w:spacing w:after="160"/>
      </w:pPr>
      <w:r>
        <w:rPr>
          <w:b w:val="0"/>
          <w:i/>
        </w:rPr>
        <w:t>Page numbers refer to Manuscript_BMCPulmMed_20260829_6authors.docx. Section names are given alongside each page number so that items remain locatable if the manuscript is repaginated.</w:t>
      </w:r>
    </w:p>
    <w:tbl>
      <w:tblPr>
        <w:tblW w:type="auto" w:w="0"/>
        <w:jc w:val="center"/>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556"/>
        <w:gridCol w:w="2556"/>
        <w:gridCol w:w="2556"/>
        <w:gridCol w:w="2556"/>
      </w:tblGrid>
      <w:tr>
        <w:tc>
          <w:tcPr>
            <w:tcW w:type="dxa" w:w="1800"/>
          </w:tcPr>
          <w:p>
            <w:pPr>
              <w:spacing w:before="40" w:after="40" w:line="240" w:lineRule="auto"/>
            </w:pPr>
            <w:r/>
            <w:r>
              <w:rPr>
                <w:b/>
                <w:sz w:val="18"/>
              </w:rPr>
              <w:t>Section/Topic</w:t>
            </w:r>
          </w:p>
        </w:tc>
        <w:tc>
          <w:tcPr>
            <w:tcW w:type="dxa" w:w="648"/>
          </w:tcPr>
          <w:p>
            <w:pPr>
              <w:spacing w:before="40" w:after="40" w:line="240" w:lineRule="auto"/>
            </w:pPr>
            <w:r/>
            <w:r>
              <w:rPr>
                <w:b/>
                <w:sz w:val="18"/>
              </w:rPr>
              <w:t>Item No</w:t>
            </w:r>
          </w:p>
        </w:tc>
        <w:tc>
          <w:tcPr>
            <w:tcW w:type="dxa" w:w="4608"/>
          </w:tcPr>
          <w:p>
            <w:pPr>
              <w:spacing w:before="40" w:after="40" w:line="240" w:lineRule="auto"/>
            </w:pPr>
            <w:r/>
            <w:r>
              <w:rPr>
                <w:b/>
                <w:sz w:val="18"/>
              </w:rPr>
              <w:t>Recommendation</w:t>
            </w:r>
          </w:p>
        </w:tc>
        <w:tc>
          <w:tcPr>
            <w:tcW w:type="dxa" w:w="3888"/>
          </w:tcPr>
          <w:p>
            <w:pPr>
              <w:spacing w:before="40" w:after="40" w:line="240" w:lineRule="auto"/>
            </w:pPr>
            <w:r/>
            <w:r>
              <w:rPr>
                <w:b/>
                <w:sz w:val="18"/>
              </w:rPr>
              <w:t>Reported on page / location</w:t>
            </w:r>
          </w:p>
        </w:tc>
      </w:tr>
      <w:tr>
        <w:tc>
          <w:tcPr>
            <w:tcW w:type="dxa" w:w="1800"/>
          </w:tcPr>
          <w:p>
            <w:pPr>
              <w:spacing w:before="40" w:after="40" w:line="240" w:lineRule="auto"/>
            </w:pPr>
            <w:r/>
            <w:r>
              <w:rPr>
                <w:b w:val="0"/>
                <w:sz w:val="18"/>
              </w:rPr>
              <w:t>Title and abstract</w:t>
            </w:r>
          </w:p>
        </w:tc>
        <w:tc>
          <w:tcPr>
            <w:tcW w:type="dxa" w:w="648"/>
          </w:tcPr>
          <w:p>
            <w:pPr>
              <w:spacing w:before="40" w:after="40" w:line="240" w:lineRule="auto"/>
            </w:pPr>
            <w:r/>
            <w:r>
              <w:rPr>
                <w:b w:val="0"/>
                <w:sz w:val="18"/>
              </w:rPr>
              <w:t>1</w:t>
            </w:r>
          </w:p>
        </w:tc>
        <w:tc>
          <w:tcPr>
            <w:tcW w:type="dxa" w:w="4608"/>
          </w:tcPr>
          <w:p>
            <w:pPr>
              <w:spacing w:before="40" w:after="40" w:line="240" w:lineRule="auto"/>
            </w:pPr>
            <w:r/>
            <w:r>
              <w:rPr>
                <w:b w:val="0"/>
                <w:sz w:val="18"/>
              </w:rPr>
              <w:t>(a) Indicate the study's design with a commonly used term in the title or the abstract</w:t>
            </w:r>
          </w:p>
        </w:tc>
        <w:tc>
          <w:tcPr>
            <w:tcW w:type="dxa" w:w="3888"/>
          </w:tcPr>
          <w:p>
            <w:pPr>
              <w:spacing w:before="40" w:after="40" w:line="240" w:lineRule="auto"/>
            </w:pPr>
            <w:r/>
            <w:r>
              <w:rPr>
                <w:b w:val="0"/>
                <w:sz w:val="18"/>
              </w:rPr>
              <w:t>p. 1 — Title ("…: a single-center retrospective cohort study"); p. 1 — Abstract, Methods</w:t>
            </w:r>
          </w:p>
        </w:tc>
      </w:tr>
      <w:tr>
        <w:tc>
          <w:tcPr>
            <w:tcW w:type="dxa" w:w="1800"/>
          </w:tcPr>
          <w:p>
            <w:pPr>
              <w:spacing w:before="40" w:after="40" w:line="240" w:lineRule="auto"/>
            </w:pPr>
            <w:r/>
            <w:r>
              <w:rPr>
                <w:b w:val="0"/>
                <w:sz w:val="18"/>
              </w:rPr>
            </w:r>
          </w:p>
        </w:tc>
        <w:tc>
          <w:tcPr>
            <w:tcW w:type="dxa" w:w="648"/>
          </w:tcPr>
          <w:p>
            <w:pPr>
              <w:spacing w:before="40" w:after="40" w:line="240" w:lineRule="auto"/>
            </w:pPr>
            <w:r/>
            <w:r>
              <w:rPr>
                <w:b w:val="0"/>
                <w:sz w:val="18"/>
              </w:rPr>
            </w:r>
          </w:p>
        </w:tc>
        <w:tc>
          <w:tcPr>
            <w:tcW w:type="dxa" w:w="4608"/>
          </w:tcPr>
          <w:p>
            <w:pPr>
              <w:spacing w:before="40" w:after="40" w:line="240" w:lineRule="auto"/>
            </w:pPr>
            <w:r/>
            <w:r>
              <w:rPr>
                <w:b w:val="0"/>
                <w:sz w:val="18"/>
              </w:rPr>
              <w:t>(b) Provide in the abstract an informative and balanced summary of what was done and what was found</w:t>
            </w:r>
          </w:p>
        </w:tc>
        <w:tc>
          <w:tcPr>
            <w:tcW w:type="dxa" w:w="3888"/>
          </w:tcPr>
          <w:p>
            <w:pPr>
              <w:spacing w:before="40" w:after="40" w:line="240" w:lineRule="auto"/>
            </w:pPr>
            <w:r/>
            <w:r>
              <w:rPr>
                <w:b w:val="0"/>
                <w:sz w:val="18"/>
              </w:rPr>
              <w:t>pp. 1–2 — Abstract (Background / Methods / Results / Conclusions)</w:t>
            </w:r>
          </w:p>
        </w:tc>
      </w:tr>
      <w:tr>
        <w:tc>
          <w:tcPr>
            <w:tcW w:type="dxa" w:w="10944"/>
            <w:gridSpan w:val="4"/>
          </w:tcPr>
          <w:p>
            <w:pPr>
              <w:spacing w:before="40" w:after="40" w:line="240" w:lineRule="auto"/>
            </w:pPr>
            <w:r/>
            <w:r>
              <w:rPr>
                <w:b/>
                <w:sz w:val="18"/>
              </w:rPr>
              <w:t>Introduction</w:t>
            </w:r>
          </w:p>
        </w:tc>
      </w:tr>
      <w:tr>
        <w:tc>
          <w:tcPr>
            <w:tcW w:type="dxa" w:w="1800"/>
          </w:tcPr>
          <w:p>
            <w:pPr>
              <w:spacing w:before="40" w:after="40" w:line="240" w:lineRule="auto"/>
            </w:pPr>
            <w:r/>
            <w:r>
              <w:rPr>
                <w:b w:val="0"/>
                <w:sz w:val="18"/>
              </w:rPr>
              <w:t>Background/rationale</w:t>
            </w:r>
          </w:p>
        </w:tc>
        <w:tc>
          <w:tcPr>
            <w:tcW w:type="dxa" w:w="648"/>
          </w:tcPr>
          <w:p>
            <w:pPr>
              <w:spacing w:before="40" w:after="40" w:line="240" w:lineRule="auto"/>
            </w:pPr>
            <w:r/>
            <w:r>
              <w:rPr>
                <w:b w:val="0"/>
                <w:sz w:val="18"/>
              </w:rPr>
              <w:t>2</w:t>
            </w:r>
          </w:p>
        </w:tc>
        <w:tc>
          <w:tcPr>
            <w:tcW w:type="dxa" w:w="4608"/>
          </w:tcPr>
          <w:p>
            <w:pPr>
              <w:spacing w:before="40" w:after="40" w:line="240" w:lineRule="auto"/>
            </w:pPr>
            <w:r/>
            <w:r>
              <w:rPr>
                <w:b w:val="0"/>
                <w:sz w:val="18"/>
              </w:rPr>
              <w:t>Explain the scientific background and rationale for the investigation being reported</w:t>
            </w:r>
          </w:p>
        </w:tc>
        <w:tc>
          <w:tcPr>
            <w:tcW w:type="dxa" w:w="3888"/>
          </w:tcPr>
          <w:p>
            <w:pPr>
              <w:spacing w:before="40" w:after="40" w:line="240" w:lineRule="auto"/>
            </w:pPr>
            <w:r/>
            <w:r>
              <w:rPr>
                <w:b w:val="0"/>
                <w:sz w:val="18"/>
              </w:rPr>
              <w:t>p. 3 — Background, paragraphs 1–3</w:t>
            </w:r>
          </w:p>
        </w:tc>
      </w:tr>
      <w:tr>
        <w:tc>
          <w:tcPr>
            <w:tcW w:type="dxa" w:w="1800"/>
          </w:tcPr>
          <w:p>
            <w:pPr>
              <w:spacing w:before="40" w:after="40" w:line="240" w:lineRule="auto"/>
            </w:pPr>
            <w:r/>
            <w:r>
              <w:rPr>
                <w:b w:val="0"/>
                <w:sz w:val="18"/>
              </w:rPr>
              <w:t>Objectives</w:t>
            </w:r>
          </w:p>
        </w:tc>
        <w:tc>
          <w:tcPr>
            <w:tcW w:type="dxa" w:w="648"/>
          </w:tcPr>
          <w:p>
            <w:pPr>
              <w:spacing w:before="40" w:after="40" w:line="240" w:lineRule="auto"/>
            </w:pPr>
            <w:r/>
            <w:r>
              <w:rPr>
                <w:b w:val="0"/>
                <w:sz w:val="18"/>
              </w:rPr>
              <w:t>3</w:t>
            </w:r>
          </w:p>
        </w:tc>
        <w:tc>
          <w:tcPr>
            <w:tcW w:type="dxa" w:w="4608"/>
          </w:tcPr>
          <w:p>
            <w:pPr>
              <w:spacing w:before="40" w:after="40" w:line="240" w:lineRule="auto"/>
            </w:pPr>
            <w:r/>
            <w:r>
              <w:rPr>
                <w:b w:val="0"/>
                <w:sz w:val="18"/>
              </w:rPr>
              <w:t>State specific objectives, including any prespecified hypotheses</w:t>
            </w:r>
          </w:p>
        </w:tc>
        <w:tc>
          <w:tcPr>
            <w:tcW w:type="dxa" w:w="3888"/>
          </w:tcPr>
          <w:p>
            <w:pPr>
              <w:spacing w:before="40" w:after="40" w:line="240" w:lineRule="auto"/>
            </w:pPr>
            <w:r/>
            <w:r>
              <w:rPr>
                <w:b w:val="0"/>
                <w:sz w:val="18"/>
              </w:rPr>
              <w:t>p. 3 — Background, final paragraph (28- and 90-day mortality; predefined PaO₂/FiO₂ &lt; 200 subgroup)</w:t>
            </w:r>
          </w:p>
        </w:tc>
      </w:tr>
      <w:tr>
        <w:tc>
          <w:tcPr>
            <w:tcW w:type="dxa" w:w="10944"/>
            <w:gridSpan w:val="4"/>
          </w:tcPr>
          <w:p>
            <w:pPr>
              <w:spacing w:before="40" w:after="40" w:line="240" w:lineRule="auto"/>
            </w:pPr>
            <w:r/>
            <w:r>
              <w:rPr>
                <w:b/>
                <w:sz w:val="18"/>
              </w:rPr>
              <w:t>Methods</w:t>
            </w:r>
          </w:p>
        </w:tc>
      </w:tr>
      <w:tr>
        <w:tc>
          <w:tcPr>
            <w:tcW w:type="dxa" w:w="1800"/>
          </w:tcPr>
          <w:p>
            <w:pPr>
              <w:spacing w:before="40" w:after="40" w:line="240" w:lineRule="auto"/>
            </w:pPr>
            <w:r/>
            <w:r>
              <w:rPr>
                <w:b w:val="0"/>
                <w:sz w:val="18"/>
              </w:rPr>
              <w:t>Study design</w:t>
            </w:r>
          </w:p>
        </w:tc>
        <w:tc>
          <w:tcPr>
            <w:tcW w:type="dxa" w:w="648"/>
          </w:tcPr>
          <w:p>
            <w:pPr>
              <w:spacing w:before="40" w:after="40" w:line="240" w:lineRule="auto"/>
            </w:pPr>
            <w:r/>
            <w:r>
              <w:rPr>
                <w:b w:val="0"/>
                <w:sz w:val="18"/>
              </w:rPr>
              <w:t>4</w:t>
            </w:r>
          </w:p>
        </w:tc>
        <w:tc>
          <w:tcPr>
            <w:tcW w:type="dxa" w:w="4608"/>
          </w:tcPr>
          <w:p>
            <w:pPr>
              <w:spacing w:before="40" w:after="40" w:line="240" w:lineRule="auto"/>
            </w:pPr>
            <w:r/>
            <w:r>
              <w:rPr>
                <w:b w:val="0"/>
                <w:sz w:val="18"/>
              </w:rPr>
              <w:t>Present key elements of study design early in the paper</w:t>
            </w:r>
          </w:p>
        </w:tc>
        <w:tc>
          <w:tcPr>
            <w:tcW w:type="dxa" w:w="3888"/>
          </w:tcPr>
          <w:p>
            <w:pPr>
              <w:spacing w:before="40" w:after="40" w:line="240" w:lineRule="auto"/>
            </w:pPr>
            <w:r/>
            <w:r>
              <w:rPr>
                <w:b w:val="0"/>
                <w:sz w:val="18"/>
              </w:rPr>
              <w:t>p. 1 — Title; p. 1 — Abstract, Methods; p. 4 — Methods, Study design and patients</w:t>
            </w:r>
          </w:p>
        </w:tc>
      </w:tr>
      <w:tr>
        <w:tc>
          <w:tcPr>
            <w:tcW w:type="dxa" w:w="1800"/>
          </w:tcPr>
          <w:p>
            <w:pPr>
              <w:spacing w:before="40" w:after="40" w:line="240" w:lineRule="auto"/>
            </w:pPr>
            <w:r/>
            <w:r>
              <w:rPr>
                <w:b w:val="0"/>
                <w:sz w:val="18"/>
              </w:rPr>
              <w:t>Setting</w:t>
            </w:r>
          </w:p>
        </w:tc>
        <w:tc>
          <w:tcPr>
            <w:tcW w:type="dxa" w:w="648"/>
          </w:tcPr>
          <w:p>
            <w:pPr>
              <w:spacing w:before="40" w:after="40" w:line="240" w:lineRule="auto"/>
            </w:pPr>
            <w:r/>
            <w:r>
              <w:rPr>
                <w:b w:val="0"/>
                <w:sz w:val="18"/>
              </w:rPr>
              <w:t>5</w:t>
            </w:r>
          </w:p>
        </w:tc>
        <w:tc>
          <w:tcPr>
            <w:tcW w:type="dxa" w:w="4608"/>
          </w:tcPr>
          <w:p>
            <w:pPr>
              <w:spacing w:before="40" w:after="40" w:line="240" w:lineRule="auto"/>
            </w:pPr>
            <w:r/>
            <w:r>
              <w:rPr>
                <w:b w:val="0"/>
                <w:sz w:val="18"/>
              </w:rPr>
              <w:t>Describe the setting, locations, and relevant dates, including periods of recruitment, exposure, follow-up, and data collection</w:t>
            </w:r>
          </w:p>
        </w:tc>
        <w:tc>
          <w:tcPr>
            <w:tcW w:type="dxa" w:w="3888"/>
          </w:tcPr>
          <w:p>
            <w:pPr>
              <w:spacing w:before="40" w:after="40" w:line="240" w:lineRule="auto"/>
            </w:pPr>
            <w:r/>
            <w:r>
              <w:rPr>
                <w:b w:val="0"/>
                <w:sz w:val="18"/>
              </w:rPr>
              <w:t>p. 4 — Methods, Study design and patients (single center, Tokyo, Japan; April 2023–February 2026); p. 7 — Study Endpoints (90-day follow-up from admission)</w:t>
            </w:r>
          </w:p>
        </w:tc>
      </w:tr>
      <w:tr>
        <w:tc>
          <w:tcPr>
            <w:tcW w:type="dxa" w:w="1800"/>
          </w:tcPr>
          <w:p>
            <w:pPr>
              <w:spacing w:before="40" w:after="40" w:line="240" w:lineRule="auto"/>
            </w:pPr>
            <w:r/>
            <w:r>
              <w:rPr>
                <w:b w:val="0"/>
                <w:sz w:val="18"/>
              </w:rPr>
              <w:t>Participants</w:t>
            </w:r>
          </w:p>
        </w:tc>
        <w:tc>
          <w:tcPr>
            <w:tcW w:type="dxa" w:w="648"/>
          </w:tcPr>
          <w:p>
            <w:pPr>
              <w:spacing w:before="40" w:after="40" w:line="240" w:lineRule="auto"/>
            </w:pPr>
            <w:r/>
            <w:r>
              <w:rPr>
                <w:b w:val="0"/>
                <w:sz w:val="18"/>
              </w:rPr>
              <w:t>6</w:t>
            </w:r>
          </w:p>
        </w:tc>
        <w:tc>
          <w:tcPr>
            <w:tcW w:type="dxa" w:w="4608"/>
          </w:tcPr>
          <w:p>
            <w:pPr>
              <w:spacing w:before="40" w:after="40" w:line="240" w:lineRule="auto"/>
            </w:pPr>
            <w:r/>
            <w:r>
              <w:rPr>
                <w:b w:val="0"/>
                <w:sz w:val="18"/>
              </w:rPr>
              <w:t>(a) Give the eligibility criteria, and the sources and methods of selection of participants. Describe methods of follow-up</w:t>
            </w:r>
          </w:p>
        </w:tc>
        <w:tc>
          <w:tcPr>
            <w:tcW w:type="dxa" w:w="3888"/>
          </w:tcPr>
          <w:p>
            <w:pPr>
              <w:spacing w:before="40" w:after="40" w:line="240" w:lineRule="auto"/>
            </w:pPr>
            <w:r/>
            <w:r>
              <w:rPr>
                <w:b w:val="0"/>
                <w:sz w:val="18"/>
              </w:rPr>
              <w:t>p. 4 — Study design and patients (consecutive screening; inclusion and exclusion criteria); p. 7 — Vital status ascertainment at 90 days; Figure 1</w:t>
            </w:r>
          </w:p>
        </w:tc>
      </w:tr>
      <w:tr>
        <w:tc>
          <w:tcPr>
            <w:tcW w:type="dxa" w:w="1800"/>
          </w:tcPr>
          <w:p>
            <w:pPr>
              <w:spacing w:before="40" w:after="40" w:line="240" w:lineRule="auto"/>
            </w:pPr>
            <w:r/>
            <w:r>
              <w:rPr>
                <w:b w:val="0"/>
                <w:sz w:val="18"/>
              </w:rPr>
            </w:r>
          </w:p>
        </w:tc>
        <w:tc>
          <w:tcPr>
            <w:tcW w:type="dxa" w:w="648"/>
          </w:tcPr>
          <w:p>
            <w:pPr>
              <w:spacing w:before="40" w:after="40" w:line="240" w:lineRule="auto"/>
            </w:pPr>
            <w:r/>
            <w:r>
              <w:rPr>
                <w:b w:val="0"/>
                <w:sz w:val="18"/>
              </w:rPr>
            </w:r>
          </w:p>
        </w:tc>
        <w:tc>
          <w:tcPr>
            <w:tcW w:type="dxa" w:w="4608"/>
          </w:tcPr>
          <w:p>
            <w:pPr>
              <w:spacing w:before="40" w:after="40" w:line="240" w:lineRule="auto"/>
            </w:pPr>
            <w:r/>
            <w:r>
              <w:rPr>
                <w:b w:val="0"/>
                <w:sz w:val="18"/>
              </w:rPr>
              <w:t>(b) For matched studies, give matching criteria and number of exposed and unexposed</w:t>
            </w:r>
          </w:p>
        </w:tc>
        <w:tc>
          <w:tcPr>
            <w:tcW w:type="dxa" w:w="3888"/>
          </w:tcPr>
          <w:p>
            <w:pPr>
              <w:spacing w:before="40" w:after="40" w:line="240" w:lineRule="auto"/>
            </w:pPr>
            <w:r/>
            <w:r>
              <w:rPr>
                <w:b w:val="0"/>
                <w:sz w:val="18"/>
              </w:rPr>
              <w:t>Not applicable — this is not a matched study</w:t>
            </w:r>
          </w:p>
        </w:tc>
      </w:tr>
      <w:tr>
        <w:tc>
          <w:tcPr>
            <w:tcW w:type="dxa" w:w="1800"/>
          </w:tcPr>
          <w:p>
            <w:pPr>
              <w:spacing w:before="40" w:after="40" w:line="240" w:lineRule="auto"/>
            </w:pPr>
            <w:r/>
            <w:r>
              <w:rPr>
                <w:b w:val="0"/>
                <w:sz w:val="18"/>
              </w:rPr>
              <w:t>Variables</w:t>
            </w:r>
          </w:p>
        </w:tc>
        <w:tc>
          <w:tcPr>
            <w:tcW w:type="dxa" w:w="648"/>
          </w:tcPr>
          <w:p>
            <w:pPr>
              <w:spacing w:before="40" w:after="40" w:line="240" w:lineRule="auto"/>
            </w:pPr>
            <w:r/>
            <w:r>
              <w:rPr>
                <w:b w:val="0"/>
                <w:sz w:val="18"/>
              </w:rPr>
              <w:t>7</w:t>
            </w:r>
          </w:p>
        </w:tc>
        <w:tc>
          <w:tcPr>
            <w:tcW w:type="dxa" w:w="4608"/>
          </w:tcPr>
          <w:p>
            <w:pPr>
              <w:spacing w:before="40" w:after="40" w:line="240" w:lineRule="auto"/>
            </w:pPr>
            <w:r/>
            <w:r>
              <w:rPr>
                <w:b w:val="0"/>
                <w:sz w:val="18"/>
              </w:rPr>
              <w:t>Clearly define all outcomes, exposures, predictors, potential confounders, and effect modifiers. Give diagnostic criteria, if applicable</w:t>
            </w:r>
          </w:p>
        </w:tc>
        <w:tc>
          <w:tcPr>
            <w:tcW w:type="dxa" w:w="3888"/>
          </w:tcPr>
          <w:p>
            <w:pPr>
              <w:spacing w:before="40" w:after="40" w:line="240" w:lineRule="auto"/>
            </w:pPr>
            <w:r/>
            <w:r>
              <w:rPr>
                <w:b w:val="0"/>
                <w:sz w:val="18"/>
              </w:rPr>
              <w:t>p. 4 — Definition and classification of acute exacerbation (diagnostic criteria); p. 5 — Exposure and Group Definition; p. 6 — Study Endpoints; p. 7 — Statistical analysis (covariates: age, PaO₂/FiO₂ &lt; 200; effect modifier: PaO₂/FiO₂ &lt; 200)</w:t>
            </w:r>
          </w:p>
        </w:tc>
      </w:tr>
      <w:tr>
        <w:tc>
          <w:tcPr>
            <w:tcW w:type="dxa" w:w="1800"/>
          </w:tcPr>
          <w:p>
            <w:pPr>
              <w:spacing w:before="40" w:after="40" w:line="240" w:lineRule="auto"/>
            </w:pPr>
            <w:r/>
            <w:r>
              <w:rPr>
                <w:b w:val="0"/>
                <w:sz w:val="18"/>
              </w:rPr>
              <w:t>Data sources/measurement</w:t>
            </w:r>
          </w:p>
        </w:tc>
        <w:tc>
          <w:tcPr>
            <w:tcW w:type="dxa" w:w="648"/>
          </w:tcPr>
          <w:p>
            <w:pPr>
              <w:spacing w:before="40" w:after="40" w:line="240" w:lineRule="auto"/>
            </w:pPr>
            <w:r/>
            <w:r>
              <w:rPr>
                <w:b w:val="0"/>
                <w:sz w:val="18"/>
              </w:rPr>
              <w:t>8</w:t>
            </w:r>
          </w:p>
        </w:tc>
        <w:tc>
          <w:tcPr>
            <w:tcW w:type="dxa" w:w="4608"/>
          </w:tcPr>
          <w:p>
            <w:pPr>
              <w:spacing w:before="40" w:after="40" w:line="240" w:lineRule="auto"/>
            </w:pPr>
            <w:r/>
            <w:r>
              <w:rPr>
                <w:b w:val="0"/>
                <w:sz w:val="18"/>
              </w:rPr>
              <w:t>For each variable of interest, give sources of data and details of methods of assessment (measurement). Describe comparability of assessment methods if there is more than one group</w:t>
            </w:r>
          </w:p>
        </w:tc>
        <w:tc>
          <w:tcPr>
            <w:tcW w:type="dxa" w:w="3888"/>
          </w:tcPr>
          <w:p>
            <w:pPr>
              <w:spacing w:before="40" w:after="40" w:line="240" w:lineRule="auto"/>
            </w:pPr>
            <w:r/>
            <w:r>
              <w:rPr>
                <w:b w:val="0"/>
                <w:sz w:val="18"/>
              </w:rPr>
              <w:t>p. 6 — Data collection (electronic health records; BNP conversion from NT-proBNP; FiO₂ estimation by delivery device; PaO₂/FiO₂ from SpO₂/FiO₂ when ABG unavailable; CTCAE v5.0 grading). Identical extraction was applied to both groups</w:t>
            </w:r>
          </w:p>
        </w:tc>
      </w:tr>
      <w:tr>
        <w:tc>
          <w:tcPr>
            <w:tcW w:type="dxa" w:w="1800"/>
          </w:tcPr>
          <w:p>
            <w:pPr>
              <w:spacing w:before="40" w:after="40" w:line="240" w:lineRule="auto"/>
            </w:pPr>
            <w:r/>
            <w:r>
              <w:rPr>
                <w:b w:val="0"/>
                <w:sz w:val="18"/>
              </w:rPr>
              <w:t>Bias</w:t>
            </w:r>
          </w:p>
        </w:tc>
        <w:tc>
          <w:tcPr>
            <w:tcW w:type="dxa" w:w="648"/>
          </w:tcPr>
          <w:p>
            <w:pPr>
              <w:spacing w:before="40" w:after="40" w:line="240" w:lineRule="auto"/>
            </w:pPr>
            <w:r/>
            <w:r>
              <w:rPr>
                <w:b w:val="0"/>
                <w:sz w:val="18"/>
              </w:rPr>
              <w:t>9</w:t>
            </w:r>
          </w:p>
        </w:tc>
        <w:tc>
          <w:tcPr>
            <w:tcW w:type="dxa" w:w="4608"/>
          </w:tcPr>
          <w:p>
            <w:pPr>
              <w:spacing w:before="40" w:after="40" w:line="240" w:lineRule="auto"/>
            </w:pPr>
            <w:r/>
            <w:r>
              <w:rPr>
                <w:b w:val="0"/>
                <w:sz w:val="18"/>
              </w:rPr>
              <w:t>Describe any efforts to address potential sources of bias</w:t>
            </w:r>
          </w:p>
        </w:tc>
        <w:tc>
          <w:tcPr>
            <w:tcW w:type="dxa" w:w="3888"/>
          </w:tcPr>
          <w:p>
            <w:pPr>
              <w:spacing w:before="40" w:after="40" w:line="240" w:lineRule="auto"/>
            </w:pPr>
            <w:r/>
            <w:r>
              <w:rPr>
                <w:b w:val="0"/>
                <w:sz w:val="18"/>
              </w:rPr>
              <w:t>p. 7 — Statistical analysis (immortal time bias addressed by modelling nintedanib as a time-varying covariate; time origin at admission); pp. 7–8 — landmark and sensitivity analyses; p. 11 — Control of Immortal Time Bias and Time-Varying Survival Models; p. 16 — Study Limitations (confounding by indication)</w:t>
            </w:r>
          </w:p>
        </w:tc>
      </w:tr>
      <w:tr>
        <w:tc>
          <w:tcPr>
            <w:tcW w:type="dxa" w:w="1800"/>
          </w:tcPr>
          <w:p>
            <w:pPr>
              <w:spacing w:before="40" w:after="40" w:line="240" w:lineRule="auto"/>
            </w:pPr>
            <w:r/>
            <w:r>
              <w:rPr>
                <w:b w:val="0"/>
                <w:sz w:val="18"/>
              </w:rPr>
              <w:t>Study size</w:t>
            </w:r>
          </w:p>
        </w:tc>
        <w:tc>
          <w:tcPr>
            <w:tcW w:type="dxa" w:w="648"/>
          </w:tcPr>
          <w:p>
            <w:pPr>
              <w:spacing w:before="40" w:after="40" w:line="240" w:lineRule="auto"/>
            </w:pPr>
            <w:r/>
            <w:r>
              <w:rPr>
                <w:b w:val="0"/>
                <w:sz w:val="18"/>
              </w:rPr>
              <w:t>10</w:t>
            </w:r>
          </w:p>
        </w:tc>
        <w:tc>
          <w:tcPr>
            <w:tcW w:type="dxa" w:w="4608"/>
          </w:tcPr>
          <w:p>
            <w:pPr>
              <w:spacing w:before="40" w:after="40" w:line="240" w:lineRule="auto"/>
            </w:pPr>
            <w:r/>
            <w:r>
              <w:rPr>
                <w:b w:val="0"/>
                <w:sz w:val="18"/>
              </w:rPr>
              <w:t>Explain how the study size was arrived at</w:t>
            </w:r>
          </w:p>
        </w:tc>
        <w:tc>
          <w:tcPr>
            <w:tcW w:type="dxa" w:w="3888"/>
          </w:tcPr>
          <w:p>
            <w:pPr>
              <w:spacing w:before="40" w:after="40" w:line="240" w:lineRule="auto"/>
            </w:pPr>
            <w:r/>
            <w:r>
              <w:rPr>
                <w:b w:val="0"/>
                <w:sz w:val="18"/>
              </w:rPr>
              <w:t>p. 4 — Study design and patients (all consecutive eligible admissions during the study period; no a priori sample-size calculation); p. 8 — covariates limited to maintain ≥5 events per variable; p. 16 — Study Limitations</w:t>
            </w:r>
          </w:p>
        </w:tc>
      </w:tr>
      <w:tr>
        <w:tc>
          <w:tcPr>
            <w:tcW w:type="dxa" w:w="1800"/>
          </w:tcPr>
          <w:p>
            <w:pPr>
              <w:spacing w:before="40" w:after="40" w:line="240" w:lineRule="auto"/>
            </w:pPr>
            <w:r/>
            <w:r>
              <w:rPr>
                <w:b w:val="0"/>
                <w:sz w:val="18"/>
              </w:rPr>
              <w:t>Quantitative variables</w:t>
            </w:r>
          </w:p>
        </w:tc>
        <w:tc>
          <w:tcPr>
            <w:tcW w:type="dxa" w:w="648"/>
          </w:tcPr>
          <w:p>
            <w:pPr>
              <w:spacing w:before="40" w:after="40" w:line="240" w:lineRule="auto"/>
            </w:pPr>
            <w:r/>
            <w:r>
              <w:rPr>
                <w:b w:val="0"/>
                <w:sz w:val="18"/>
              </w:rPr>
              <w:t>11</w:t>
            </w:r>
          </w:p>
        </w:tc>
        <w:tc>
          <w:tcPr>
            <w:tcW w:type="dxa" w:w="4608"/>
          </w:tcPr>
          <w:p>
            <w:pPr>
              <w:spacing w:before="40" w:after="40" w:line="240" w:lineRule="auto"/>
            </w:pPr>
            <w:r/>
            <w:r>
              <w:rPr>
                <w:b w:val="0"/>
                <w:sz w:val="18"/>
              </w:rPr>
              <w:t>Explain how quantitative variables were handled in the analyses. If applicable, describe which groupings were chosen and why</w:t>
            </w:r>
          </w:p>
        </w:tc>
        <w:tc>
          <w:tcPr>
            <w:tcW w:type="dxa" w:w="3888"/>
          </w:tcPr>
          <w:p>
            <w:pPr>
              <w:spacing w:before="40" w:after="40" w:line="240" w:lineRule="auto"/>
            </w:pPr>
            <w:r/>
            <w:r>
              <w:rPr>
                <w:b w:val="0"/>
                <w:sz w:val="18"/>
              </w:rPr>
              <w:t>p. 6 — Severe respiratory failure defined a priori as PaO₂/FiO₂ &lt; 200 on admission; p. 7 — Statistical analysis (continuous variables as median [IQR], Mann–Whitney U test); p. 7 — follow-up time split at day 28</w:t>
            </w:r>
          </w:p>
        </w:tc>
      </w:tr>
      <w:tr>
        <w:tc>
          <w:tcPr>
            <w:tcW w:type="dxa" w:w="1800"/>
          </w:tcPr>
          <w:p>
            <w:pPr>
              <w:spacing w:before="40" w:after="40" w:line="240" w:lineRule="auto"/>
            </w:pPr>
            <w:r/>
            <w:r>
              <w:rPr>
                <w:b w:val="0"/>
                <w:sz w:val="18"/>
              </w:rPr>
              <w:t>Statistical methods</w:t>
            </w:r>
          </w:p>
        </w:tc>
        <w:tc>
          <w:tcPr>
            <w:tcW w:type="dxa" w:w="648"/>
          </w:tcPr>
          <w:p>
            <w:pPr>
              <w:spacing w:before="40" w:after="40" w:line="240" w:lineRule="auto"/>
            </w:pPr>
            <w:r/>
            <w:r>
              <w:rPr>
                <w:b w:val="0"/>
                <w:sz w:val="18"/>
              </w:rPr>
              <w:t>12</w:t>
            </w:r>
          </w:p>
        </w:tc>
        <w:tc>
          <w:tcPr>
            <w:tcW w:type="dxa" w:w="4608"/>
          </w:tcPr>
          <w:p>
            <w:pPr>
              <w:spacing w:before="40" w:after="40" w:line="240" w:lineRule="auto"/>
            </w:pPr>
            <w:r/>
            <w:r>
              <w:rPr>
                <w:b w:val="0"/>
                <w:sz w:val="18"/>
              </w:rPr>
              <w:t>(a) Describe all statistical methods, including those used to control for confounding</w:t>
            </w:r>
          </w:p>
        </w:tc>
        <w:tc>
          <w:tcPr>
            <w:tcW w:type="dxa" w:w="3888"/>
          </w:tcPr>
          <w:p>
            <w:pPr>
              <w:spacing w:before="40" w:after="40" w:line="240" w:lineRule="auto"/>
            </w:pPr>
            <w:r/>
            <w:r>
              <w:rPr>
                <w:b w:val="0"/>
                <w:sz w:val="18"/>
              </w:rPr>
              <w:t>p. 7 — Statistical analysis (time-varying Cox regression adjusted for age and PaO₂/FiO₂ &lt; 200; logistic regression; Kaplan–Meier and log-rank; Fisher's exact test)</w:t>
            </w:r>
          </w:p>
        </w:tc>
      </w:tr>
      <w:tr>
        <w:tc>
          <w:tcPr>
            <w:tcW w:type="dxa" w:w="1800"/>
          </w:tcPr>
          <w:p>
            <w:pPr>
              <w:spacing w:before="40" w:after="40" w:line="240" w:lineRule="auto"/>
            </w:pPr>
            <w:r/>
            <w:r>
              <w:rPr>
                <w:b w:val="0"/>
                <w:sz w:val="18"/>
              </w:rPr>
            </w:r>
          </w:p>
        </w:tc>
        <w:tc>
          <w:tcPr>
            <w:tcW w:type="dxa" w:w="648"/>
          </w:tcPr>
          <w:p>
            <w:pPr>
              <w:spacing w:before="40" w:after="40" w:line="240" w:lineRule="auto"/>
            </w:pPr>
            <w:r/>
            <w:r>
              <w:rPr>
                <w:b w:val="0"/>
                <w:sz w:val="18"/>
              </w:rPr>
            </w:r>
          </w:p>
        </w:tc>
        <w:tc>
          <w:tcPr>
            <w:tcW w:type="dxa" w:w="4608"/>
          </w:tcPr>
          <w:p>
            <w:pPr>
              <w:spacing w:before="40" w:after="40" w:line="240" w:lineRule="auto"/>
            </w:pPr>
            <w:r/>
            <w:r>
              <w:rPr>
                <w:b w:val="0"/>
                <w:sz w:val="18"/>
              </w:rPr>
              <w:t>(b) Describe any methods used to examine subgroups and interactions</w:t>
            </w:r>
          </w:p>
        </w:tc>
        <w:tc>
          <w:tcPr>
            <w:tcW w:type="dxa" w:w="3888"/>
          </w:tcPr>
          <w:p>
            <w:pPr>
              <w:spacing w:before="40" w:after="40" w:line="240" w:lineRule="auto"/>
            </w:pPr>
            <w:r/>
            <w:r>
              <w:rPr>
                <w:b w:val="0"/>
                <w:sz w:val="18"/>
              </w:rPr>
              <w:t>p. 7 — Predefined PaO₂/FiO₂ &lt; 200 subgroup; multiplicative interaction term (nintedanib × PaO₂/FiO₂ &lt; 200)</w:t>
            </w:r>
          </w:p>
        </w:tc>
      </w:tr>
      <w:tr>
        <w:tc>
          <w:tcPr>
            <w:tcW w:type="dxa" w:w="1800"/>
          </w:tcPr>
          <w:p>
            <w:pPr>
              <w:spacing w:before="40" w:after="40" w:line="240" w:lineRule="auto"/>
            </w:pPr>
            <w:r/>
            <w:r>
              <w:rPr>
                <w:b w:val="0"/>
                <w:sz w:val="18"/>
              </w:rPr>
            </w:r>
          </w:p>
        </w:tc>
        <w:tc>
          <w:tcPr>
            <w:tcW w:type="dxa" w:w="648"/>
          </w:tcPr>
          <w:p>
            <w:pPr>
              <w:spacing w:before="40" w:after="40" w:line="240" w:lineRule="auto"/>
            </w:pPr>
            <w:r/>
            <w:r>
              <w:rPr>
                <w:b w:val="0"/>
                <w:sz w:val="18"/>
              </w:rPr>
            </w:r>
          </w:p>
        </w:tc>
        <w:tc>
          <w:tcPr>
            <w:tcW w:type="dxa" w:w="4608"/>
          </w:tcPr>
          <w:p>
            <w:pPr>
              <w:spacing w:before="40" w:after="40" w:line="240" w:lineRule="auto"/>
            </w:pPr>
            <w:r/>
            <w:r>
              <w:rPr>
                <w:b w:val="0"/>
                <w:sz w:val="18"/>
              </w:rPr>
              <w:t>(c) Explain how missing data were addressed</w:t>
            </w:r>
          </w:p>
        </w:tc>
        <w:tc>
          <w:tcPr>
            <w:tcW w:type="dxa" w:w="3888"/>
          </w:tcPr>
          <w:p>
            <w:pPr>
              <w:spacing w:before="40" w:after="40" w:line="240" w:lineRule="auto"/>
            </w:pPr>
            <w:r/>
            <w:r>
              <w:rPr>
                <w:b w:val="0"/>
                <w:sz w:val="18"/>
              </w:rPr>
              <w:t>p. 7 — Analyses restricted to patients with available data, with denominators reported; Table 1 footnote</w:t>
            </w:r>
          </w:p>
        </w:tc>
      </w:tr>
      <w:tr>
        <w:tc>
          <w:tcPr>
            <w:tcW w:type="dxa" w:w="1800"/>
          </w:tcPr>
          <w:p>
            <w:pPr>
              <w:spacing w:before="40" w:after="40" w:line="240" w:lineRule="auto"/>
            </w:pPr>
            <w:r/>
            <w:r>
              <w:rPr>
                <w:b w:val="0"/>
                <w:sz w:val="18"/>
              </w:rPr>
            </w:r>
          </w:p>
        </w:tc>
        <w:tc>
          <w:tcPr>
            <w:tcW w:type="dxa" w:w="648"/>
          </w:tcPr>
          <w:p>
            <w:pPr>
              <w:spacing w:before="40" w:after="40" w:line="240" w:lineRule="auto"/>
            </w:pPr>
            <w:r/>
            <w:r>
              <w:rPr>
                <w:b w:val="0"/>
                <w:sz w:val="18"/>
              </w:rPr>
            </w:r>
          </w:p>
        </w:tc>
        <w:tc>
          <w:tcPr>
            <w:tcW w:type="dxa" w:w="4608"/>
          </w:tcPr>
          <w:p>
            <w:pPr>
              <w:spacing w:before="40" w:after="40" w:line="240" w:lineRule="auto"/>
            </w:pPr>
            <w:r/>
            <w:r>
              <w:rPr>
                <w:b w:val="0"/>
                <w:sz w:val="18"/>
              </w:rPr>
              <w:t>(d) If applicable, explain how loss to follow-up was addressed</w:t>
            </w:r>
          </w:p>
        </w:tc>
        <w:tc>
          <w:tcPr>
            <w:tcW w:type="dxa" w:w="3888"/>
          </w:tcPr>
          <w:p>
            <w:pPr>
              <w:spacing w:before="40" w:after="40" w:line="240" w:lineRule="auto"/>
            </w:pPr>
            <w:r/>
            <w:r>
              <w:rPr>
                <w:b w:val="0"/>
                <w:sz w:val="18"/>
              </w:rPr>
              <w:t>p. 7 — Study Endpoints (patients whose 90-day vital status could not be obtained were right-censored at the date of transfer); p. 10 — one control patient censored</w:t>
            </w:r>
          </w:p>
        </w:tc>
      </w:tr>
      <w:tr>
        <w:tc>
          <w:tcPr>
            <w:tcW w:type="dxa" w:w="1800"/>
          </w:tcPr>
          <w:p>
            <w:pPr>
              <w:spacing w:before="40" w:after="40" w:line="240" w:lineRule="auto"/>
            </w:pPr>
            <w:r/>
            <w:r>
              <w:rPr>
                <w:b w:val="0"/>
                <w:sz w:val="18"/>
              </w:rPr>
            </w:r>
          </w:p>
        </w:tc>
        <w:tc>
          <w:tcPr>
            <w:tcW w:type="dxa" w:w="648"/>
          </w:tcPr>
          <w:p>
            <w:pPr>
              <w:spacing w:before="40" w:after="40" w:line="240" w:lineRule="auto"/>
            </w:pPr>
            <w:r/>
            <w:r>
              <w:rPr>
                <w:b w:val="0"/>
                <w:sz w:val="18"/>
              </w:rPr>
            </w:r>
          </w:p>
        </w:tc>
        <w:tc>
          <w:tcPr>
            <w:tcW w:type="dxa" w:w="4608"/>
          </w:tcPr>
          <w:p>
            <w:pPr>
              <w:spacing w:before="40" w:after="40" w:line="240" w:lineRule="auto"/>
            </w:pPr>
            <w:r/>
            <w:r>
              <w:rPr>
                <w:b w:val="0"/>
                <w:sz w:val="18"/>
              </w:rPr>
              <w:t>(e) Describe any sensitivity analyses</w:t>
            </w:r>
          </w:p>
        </w:tc>
        <w:tc>
          <w:tcPr>
            <w:tcW w:type="dxa" w:w="3888"/>
          </w:tcPr>
          <w:p>
            <w:pPr>
              <w:spacing w:before="40" w:after="40" w:line="240" w:lineRule="auto"/>
            </w:pPr>
            <w:r/>
            <w:r>
              <w:rPr>
                <w:b w:val="0"/>
                <w:sz w:val="18"/>
              </w:rPr>
              <w:t>pp. 7–8 — Statistical analysis (landmark analyses at days 3, 7 and 14; three alternative exclusion rules); p. 12 — Results; Table 4 (D) and (E)</w:t>
            </w:r>
          </w:p>
        </w:tc>
      </w:tr>
      <w:tr>
        <w:tc>
          <w:tcPr>
            <w:tcW w:type="dxa" w:w="10944"/>
            <w:gridSpan w:val="4"/>
          </w:tcPr>
          <w:p>
            <w:pPr>
              <w:spacing w:before="40" w:after="40" w:line="240" w:lineRule="auto"/>
            </w:pPr>
            <w:r/>
            <w:r>
              <w:rPr>
                <w:b/>
                <w:sz w:val="18"/>
              </w:rPr>
              <w:t>Results</w:t>
            </w:r>
          </w:p>
        </w:tc>
      </w:tr>
      <w:tr>
        <w:tc>
          <w:tcPr>
            <w:tcW w:type="dxa" w:w="1800"/>
          </w:tcPr>
          <w:p>
            <w:pPr>
              <w:spacing w:before="40" w:after="40" w:line="240" w:lineRule="auto"/>
            </w:pPr>
            <w:r/>
            <w:r>
              <w:rPr>
                <w:b w:val="0"/>
                <w:sz w:val="18"/>
              </w:rPr>
              <w:t>Participants</w:t>
            </w:r>
          </w:p>
        </w:tc>
        <w:tc>
          <w:tcPr>
            <w:tcW w:type="dxa" w:w="648"/>
          </w:tcPr>
          <w:p>
            <w:pPr>
              <w:spacing w:before="40" w:after="40" w:line="240" w:lineRule="auto"/>
            </w:pPr>
            <w:r/>
            <w:r>
              <w:rPr>
                <w:b w:val="0"/>
                <w:sz w:val="18"/>
              </w:rPr>
              <w:t>13</w:t>
            </w:r>
          </w:p>
        </w:tc>
        <w:tc>
          <w:tcPr>
            <w:tcW w:type="dxa" w:w="4608"/>
          </w:tcPr>
          <w:p>
            <w:pPr>
              <w:spacing w:before="40" w:after="40" w:line="240" w:lineRule="auto"/>
            </w:pPr>
            <w:r/>
            <w:r>
              <w:rPr>
                <w:b w:val="0"/>
                <w:sz w:val="18"/>
              </w:rPr>
              <w:t>(a) Report numbers of individuals at each stage of study—eg numbers potentially eligible, examined for eligibility, confirmed eligible, included in the study, completing follow-up, and analysed</w:t>
            </w:r>
          </w:p>
        </w:tc>
        <w:tc>
          <w:tcPr>
            <w:tcW w:type="dxa" w:w="3888"/>
          </w:tcPr>
          <w:p>
            <w:pPr>
              <w:spacing w:before="40" w:after="40" w:line="240" w:lineRule="auto"/>
            </w:pPr>
            <w:r/>
            <w:r>
              <w:rPr>
                <w:b w:val="0"/>
                <w:sz w:val="18"/>
              </w:rPr>
              <w:t>p. 8 — Patient Flow and Baseline Cohort Characteristics (94 screened → 92 unique → 75 analysed; 26 nintedanib, 49 control); p. 10 — 90-day follow-up complete in 74/75; Figure 1</w:t>
            </w:r>
          </w:p>
        </w:tc>
      </w:tr>
      <w:tr>
        <w:tc>
          <w:tcPr>
            <w:tcW w:type="dxa" w:w="1800"/>
          </w:tcPr>
          <w:p>
            <w:pPr>
              <w:spacing w:before="40" w:after="40" w:line="240" w:lineRule="auto"/>
            </w:pPr>
            <w:r/>
            <w:r>
              <w:rPr>
                <w:b w:val="0"/>
                <w:sz w:val="18"/>
              </w:rPr>
            </w:r>
          </w:p>
        </w:tc>
        <w:tc>
          <w:tcPr>
            <w:tcW w:type="dxa" w:w="648"/>
          </w:tcPr>
          <w:p>
            <w:pPr>
              <w:spacing w:before="40" w:after="40" w:line="240" w:lineRule="auto"/>
            </w:pPr>
            <w:r/>
            <w:r>
              <w:rPr>
                <w:b w:val="0"/>
                <w:sz w:val="18"/>
              </w:rPr>
            </w:r>
          </w:p>
        </w:tc>
        <w:tc>
          <w:tcPr>
            <w:tcW w:type="dxa" w:w="4608"/>
          </w:tcPr>
          <w:p>
            <w:pPr>
              <w:spacing w:before="40" w:after="40" w:line="240" w:lineRule="auto"/>
            </w:pPr>
            <w:r/>
            <w:r>
              <w:rPr>
                <w:b w:val="0"/>
                <w:sz w:val="18"/>
              </w:rPr>
              <w:t>(b) Give reasons for non-participation at each stage</w:t>
            </w:r>
          </w:p>
        </w:tc>
        <w:tc>
          <w:tcPr>
            <w:tcW w:type="dxa" w:w="3888"/>
          </w:tcPr>
          <w:p>
            <w:pPr>
              <w:spacing w:before="40" w:after="40" w:line="240" w:lineRule="auto"/>
            </w:pPr>
            <w:r/>
            <w:r>
              <w:rPr>
                <w:b w:val="0"/>
                <w:sz w:val="18"/>
              </w:rPr>
              <w:t>p. 8 — Reasons for the 17 exclusions (active malignancy n = 7; antifibrotic within 30 days n = 7; non-fibrotic ARDS n = 3); Figure 1</w:t>
            </w:r>
          </w:p>
        </w:tc>
      </w:tr>
      <w:tr>
        <w:tc>
          <w:tcPr>
            <w:tcW w:type="dxa" w:w="1800"/>
          </w:tcPr>
          <w:p>
            <w:pPr>
              <w:spacing w:before="40" w:after="40" w:line="240" w:lineRule="auto"/>
            </w:pPr>
            <w:r/>
            <w:r>
              <w:rPr>
                <w:b w:val="0"/>
                <w:sz w:val="18"/>
              </w:rPr>
            </w:r>
          </w:p>
        </w:tc>
        <w:tc>
          <w:tcPr>
            <w:tcW w:type="dxa" w:w="648"/>
          </w:tcPr>
          <w:p>
            <w:pPr>
              <w:spacing w:before="40" w:after="40" w:line="240" w:lineRule="auto"/>
            </w:pPr>
            <w:r/>
            <w:r>
              <w:rPr>
                <w:b w:val="0"/>
                <w:sz w:val="18"/>
              </w:rPr>
            </w:r>
          </w:p>
        </w:tc>
        <w:tc>
          <w:tcPr>
            <w:tcW w:type="dxa" w:w="4608"/>
          </w:tcPr>
          <w:p>
            <w:pPr>
              <w:spacing w:before="40" w:after="40" w:line="240" w:lineRule="auto"/>
            </w:pPr>
            <w:r/>
            <w:r>
              <w:rPr>
                <w:b w:val="0"/>
                <w:sz w:val="18"/>
              </w:rPr>
              <w:t>(c) Consider use of a flow diagram</w:t>
            </w:r>
          </w:p>
        </w:tc>
        <w:tc>
          <w:tcPr>
            <w:tcW w:type="dxa" w:w="3888"/>
          </w:tcPr>
          <w:p>
            <w:pPr>
              <w:spacing w:before="40" w:after="40" w:line="240" w:lineRule="auto"/>
            </w:pPr>
            <w:r/>
            <w:r>
              <w:rPr>
                <w:b w:val="0"/>
                <w:sz w:val="18"/>
              </w:rPr>
              <w:t>Figure 1 — Patient flow</w:t>
            </w:r>
          </w:p>
        </w:tc>
      </w:tr>
      <w:tr>
        <w:tc>
          <w:tcPr>
            <w:tcW w:type="dxa" w:w="1800"/>
          </w:tcPr>
          <w:p>
            <w:pPr>
              <w:spacing w:before="40" w:after="40" w:line="240" w:lineRule="auto"/>
            </w:pPr>
            <w:r/>
            <w:r>
              <w:rPr>
                <w:b w:val="0"/>
                <w:sz w:val="18"/>
              </w:rPr>
              <w:t>Descriptive data</w:t>
            </w:r>
          </w:p>
        </w:tc>
        <w:tc>
          <w:tcPr>
            <w:tcW w:type="dxa" w:w="648"/>
          </w:tcPr>
          <w:p>
            <w:pPr>
              <w:spacing w:before="40" w:after="40" w:line="240" w:lineRule="auto"/>
            </w:pPr>
            <w:r/>
            <w:r>
              <w:rPr>
                <w:b w:val="0"/>
                <w:sz w:val="18"/>
              </w:rPr>
              <w:t>14</w:t>
            </w:r>
          </w:p>
        </w:tc>
        <w:tc>
          <w:tcPr>
            <w:tcW w:type="dxa" w:w="4608"/>
          </w:tcPr>
          <w:p>
            <w:pPr>
              <w:spacing w:before="40" w:after="40" w:line="240" w:lineRule="auto"/>
            </w:pPr>
            <w:r/>
            <w:r>
              <w:rPr>
                <w:b w:val="0"/>
                <w:sz w:val="18"/>
              </w:rPr>
              <w:t>(a) Give characteristics of study participants (eg demographic, clinical, social) and information on exposures and potential confounders</w:t>
            </w:r>
          </w:p>
        </w:tc>
        <w:tc>
          <w:tcPr>
            <w:tcW w:type="dxa" w:w="3888"/>
          </w:tcPr>
          <w:p>
            <w:pPr>
              <w:spacing w:before="40" w:after="40" w:line="240" w:lineRule="auto"/>
            </w:pPr>
            <w:r/>
            <w:r>
              <w:rPr>
                <w:b w:val="0"/>
                <w:sz w:val="18"/>
              </w:rPr>
              <w:t>pp. 8–9 — Baseline characteristics and Nintedanib Administration; Table 1; Table 2</w:t>
            </w:r>
          </w:p>
        </w:tc>
      </w:tr>
      <w:tr>
        <w:tc>
          <w:tcPr>
            <w:tcW w:type="dxa" w:w="1800"/>
          </w:tcPr>
          <w:p>
            <w:pPr>
              <w:spacing w:before="40" w:after="40" w:line="240" w:lineRule="auto"/>
            </w:pPr>
            <w:r/>
            <w:r>
              <w:rPr>
                <w:b w:val="0"/>
                <w:sz w:val="18"/>
              </w:rPr>
            </w:r>
          </w:p>
        </w:tc>
        <w:tc>
          <w:tcPr>
            <w:tcW w:type="dxa" w:w="648"/>
          </w:tcPr>
          <w:p>
            <w:pPr>
              <w:spacing w:before="40" w:after="40" w:line="240" w:lineRule="auto"/>
            </w:pPr>
            <w:r/>
            <w:r>
              <w:rPr>
                <w:b w:val="0"/>
                <w:sz w:val="18"/>
              </w:rPr>
            </w:r>
          </w:p>
        </w:tc>
        <w:tc>
          <w:tcPr>
            <w:tcW w:type="dxa" w:w="4608"/>
          </w:tcPr>
          <w:p>
            <w:pPr>
              <w:spacing w:before="40" w:after="40" w:line="240" w:lineRule="auto"/>
            </w:pPr>
            <w:r/>
            <w:r>
              <w:rPr>
                <w:b w:val="0"/>
                <w:sz w:val="18"/>
              </w:rPr>
              <w:t>(b) Indicate number of participants with missing data for each variable of interest</w:t>
            </w:r>
          </w:p>
        </w:tc>
        <w:tc>
          <w:tcPr>
            <w:tcW w:type="dxa" w:w="3888"/>
          </w:tcPr>
          <w:p>
            <w:pPr>
              <w:spacing w:before="40" w:after="40" w:line="240" w:lineRule="auto"/>
            </w:pPr>
            <w:r/>
            <w:r>
              <w:rPr>
                <w:b w:val="0"/>
                <w:sz w:val="18"/>
              </w:rPr>
              <w:t>Table 1 — denominators shown after a slash or in parentheses; Table 1 footnote; p. 9 — treatment duration ascertainable in 25/26, safety evaluable in 25</w:t>
            </w:r>
          </w:p>
        </w:tc>
      </w:tr>
      <w:tr>
        <w:tc>
          <w:tcPr>
            <w:tcW w:type="dxa" w:w="1800"/>
          </w:tcPr>
          <w:p>
            <w:pPr>
              <w:spacing w:before="40" w:after="40" w:line="240" w:lineRule="auto"/>
            </w:pPr>
            <w:r/>
            <w:r>
              <w:rPr>
                <w:b w:val="0"/>
                <w:sz w:val="18"/>
              </w:rPr>
            </w:r>
          </w:p>
        </w:tc>
        <w:tc>
          <w:tcPr>
            <w:tcW w:type="dxa" w:w="648"/>
          </w:tcPr>
          <w:p>
            <w:pPr>
              <w:spacing w:before="40" w:after="40" w:line="240" w:lineRule="auto"/>
            </w:pPr>
            <w:r/>
            <w:r>
              <w:rPr>
                <w:b w:val="0"/>
                <w:sz w:val="18"/>
              </w:rPr>
            </w:r>
          </w:p>
        </w:tc>
        <w:tc>
          <w:tcPr>
            <w:tcW w:type="dxa" w:w="4608"/>
          </w:tcPr>
          <w:p>
            <w:pPr>
              <w:spacing w:before="40" w:after="40" w:line="240" w:lineRule="auto"/>
            </w:pPr>
            <w:r/>
            <w:r>
              <w:rPr>
                <w:b w:val="0"/>
                <w:sz w:val="18"/>
              </w:rPr>
              <w:t>(c) Summarise follow-up time (eg, average and total amount)</w:t>
            </w:r>
          </w:p>
        </w:tc>
        <w:tc>
          <w:tcPr>
            <w:tcW w:type="dxa" w:w="3888"/>
          </w:tcPr>
          <w:p>
            <w:pPr>
              <w:spacing w:before="40" w:after="40" w:line="240" w:lineRule="auto"/>
            </w:pPr>
            <w:r/>
            <w:r>
              <w:rPr>
                <w:b w:val="0"/>
                <w:sz w:val="18"/>
              </w:rPr>
              <w:t>p. 10 — Complete 90-day follow-up in 74 of 75 patients (98.7%); one control patient censored at transfer</w:t>
            </w:r>
          </w:p>
        </w:tc>
      </w:tr>
      <w:tr>
        <w:tc>
          <w:tcPr>
            <w:tcW w:type="dxa" w:w="1800"/>
          </w:tcPr>
          <w:p>
            <w:pPr>
              <w:spacing w:before="40" w:after="40" w:line="240" w:lineRule="auto"/>
            </w:pPr>
            <w:r/>
            <w:r>
              <w:rPr>
                <w:b w:val="0"/>
                <w:sz w:val="18"/>
              </w:rPr>
              <w:t>Outcome data</w:t>
            </w:r>
          </w:p>
        </w:tc>
        <w:tc>
          <w:tcPr>
            <w:tcW w:type="dxa" w:w="648"/>
          </w:tcPr>
          <w:p>
            <w:pPr>
              <w:spacing w:before="40" w:after="40" w:line="240" w:lineRule="auto"/>
            </w:pPr>
            <w:r/>
            <w:r>
              <w:rPr>
                <w:b w:val="0"/>
                <w:sz w:val="18"/>
              </w:rPr>
              <w:t>15</w:t>
            </w:r>
          </w:p>
        </w:tc>
        <w:tc>
          <w:tcPr>
            <w:tcW w:type="dxa" w:w="4608"/>
          </w:tcPr>
          <w:p>
            <w:pPr>
              <w:spacing w:before="40" w:after="40" w:line="240" w:lineRule="auto"/>
            </w:pPr>
            <w:r/>
            <w:r>
              <w:rPr>
                <w:b w:val="0"/>
                <w:sz w:val="18"/>
              </w:rPr>
              <w:t>Report numbers of outcome events or summary measures over time</w:t>
            </w:r>
          </w:p>
        </w:tc>
        <w:tc>
          <w:tcPr>
            <w:tcW w:type="dxa" w:w="3888"/>
          </w:tcPr>
          <w:p>
            <w:pPr>
              <w:spacing w:before="40" w:after="40" w:line="240" w:lineRule="auto"/>
            </w:pPr>
            <w:r/>
            <w:r>
              <w:rPr>
                <w:b w:val="0"/>
                <w:sz w:val="18"/>
              </w:rPr>
              <w:t>p. 10 — Survival and Mortality Analyses (28- and 90-day deaths by group); p. 11 — Temporal Patterns and Causes of Mortality; Table 3; Figure 2</w:t>
            </w:r>
          </w:p>
        </w:tc>
      </w:tr>
      <w:tr>
        <w:tc>
          <w:tcPr>
            <w:tcW w:type="dxa" w:w="1800"/>
          </w:tcPr>
          <w:p>
            <w:pPr>
              <w:spacing w:before="40" w:after="40" w:line="240" w:lineRule="auto"/>
            </w:pPr>
            <w:r/>
            <w:r>
              <w:rPr>
                <w:b w:val="0"/>
                <w:sz w:val="18"/>
              </w:rPr>
              <w:t>Main results</w:t>
            </w:r>
          </w:p>
        </w:tc>
        <w:tc>
          <w:tcPr>
            <w:tcW w:type="dxa" w:w="648"/>
          </w:tcPr>
          <w:p>
            <w:pPr>
              <w:spacing w:before="40" w:after="40" w:line="240" w:lineRule="auto"/>
            </w:pPr>
            <w:r/>
            <w:r>
              <w:rPr>
                <w:b w:val="0"/>
                <w:sz w:val="18"/>
              </w:rPr>
              <w:t>16</w:t>
            </w:r>
          </w:p>
        </w:tc>
        <w:tc>
          <w:tcPr>
            <w:tcW w:type="dxa" w:w="4608"/>
          </w:tcPr>
          <w:p>
            <w:pPr>
              <w:spacing w:before="40" w:after="40" w:line="240" w:lineRule="auto"/>
            </w:pPr>
            <w:r/>
            <w:r>
              <w:rPr>
                <w:b w:val="0"/>
                <w:sz w:val="18"/>
              </w:rPr>
              <w:t>(a) Give unadjusted estimates and, if applicable, confounder-adjusted estimates and their precision (eg, 95% confidence interval). Make clear which confounders were adjusted for and why they were included</w:t>
            </w:r>
          </w:p>
        </w:tc>
        <w:tc>
          <w:tcPr>
            <w:tcW w:type="dxa" w:w="3888"/>
          </w:tcPr>
          <w:p>
            <w:pPr>
              <w:spacing w:before="40" w:after="40" w:line="240" w:lineRule="auto"/>
            </w:pPr>
            <w:r/>
            <w:r>
              <w:rPr>
                <w:b w:val="0"/>
                <w:sz w:val="18"/>
              </w:rPr>
              <w:t>p. 10 — Unadjusted mortality and risk differences (Table 3); pp. 11–12 — Adjusted estimates with 95% CIs (Table 4). Models adjusted for age and PaO₂/FiO₂ &lt; 200 on admission; the rationale (≥5 events per variable) is on p. 8</w:t>
            </w:r>
          </w:p>
        </w:tc>
      </w:tr>
      <w:tr>
        <w:tc>
          <w:tcPr>
            <w:tcW w:type="dxa" w:w="1800"/>
          </w:tcPr>
          <w:p>
            <w:pPr>
              <w:spacing w:before="40" w:after="40" w:line="240" w:lineRule="auto"/>
            </w:pPr>
            <w:r/>
            <w:r>
              <w:rPr>
                <w:b w:val="0"/>
                <w:sz w:val="18"/>
              </w:rPr>
            </w:r>
          </w:p>
        </w:tc>
        <w:tc>
          <w:tcPr>
            <w:tcW w:type="dxa" w:w="648"/>
          </w:tcPr>
          <w:p>
            <w:pPr>
              <w:spacing w:before="40" w:after="40" w:line="240" w:lineRule="auto"/>
            </w:pPr>
            <w:r/>
            <w:r>
              <w:rPr>
                <w:b w:val="0"/>
                <w:sz w:val="18"/>
              </w:rPr>
            </w:r>
          </w:p>
        </w:tc>
        <w:tc>
          <w:tcPr>
            <w:tcW w:type="dxa" w:w="4608"/>
          </w:tcPr>
          <w:p>
            <w:pPr>
              <w:spacing w:before="40" w:after="40" w:line="240" w:lineRule="auto"/>
            </w:pPr>
            <w:r/>
            <w:r>
              <w:rPr>
                <w:b w:val="0"/>
                <w:sz w:val="18"/>
              </w:rPr>
              <w:t>(b) Report category boundaries when continuous variables were categorized</w:t>
            </w:r>
          </w:p>
        </w:tc>
        <w:tc>
          <w:tcPr>
            <w:tcW w:type="dxa" w:w="3888"/>
          </w:tcPr>
          <w:p>
            <w:pPr>
              <w:spacing w:before="40" w:after="40" w:line="240" w:lineRule="auto"/>
            </w:pPr>
            <w:r/>
            <w:r>
              <w:rPr>
                <w:b w:val="0"/>
                <w:sz w:val="18"/>
              </w:rPr>
              <w:t>p. 6 — PaO₂/FiO₂ &lt; 200 on admission defined a priori; Table 1; Table 3</w:t>
            </w:r>
          </w:p>
        </w:tc>
      </w:tr>
      <w:tr>
        <w:tc>
          <w:tcPr>
            <w:tcW w:type="dxa" w:w="1800"/>
          </w:tcPr>
          <w:p>
            <w:pPr>
              <w:spacing w:before="40" w:after="40" w:line="240" w:lineRule="auto"/>
            </w:pPr>
            <w:r/>
            <w:r>
              <w:rPr>
                <w:b w:val="0"/>
                <w:sz w:val="18"/>
              </w:rPr>
            </w:r>
          </w:p>
        </w:tc>
        <w:tc>
          <w:tcPr>
            <w:tcW w:type="dxa" w:w="648"/>
          </w:tcPr>
          <w:p>
            <w:pPr>
              <w:spacing w:before="40" w:after="40" w:line="240" w:lineRule="auto"/>
            </w:pPr>
            <w:r/>
            <w:r>
              <w:rPr>
                <w:b w:val="0"/>
                <w:sz w:val="18"/>
              </w:rPr>
            </w:r>
          </w:p>
        </w:tc>
        <w:tc>
          <w:tcPr>
            <w:tcW w:type="dxa" w:w="4608"/>
          </w:tcPr>
          <w:p>
            <w:pPr>
              <w:spacing w:before="40" w:after="40" w:line="240" w:lineRule="auto"/>
            </w:pPr>
            <w:r/>
            <w:r>
              <w:rPr>
                <w:b w:val="0"/>
                <w:sz w:val="18"/>
              </w:rPr>
              <w:t>(c) If relevant, consider translating estimates of relative risk into absolute risk for a meaningful time period</w:t>
            </w:r>
          </w:p>
        </w:tc>
        <w:tc>
          <w:tcPr>
            <w:tcW w:type="dxa" w:w="3888"/>
          </w:tcPr>
          <w:p>
            <w:pPr>
              <w:spacing w:before="40" w:after="40" w:line="240" w:lineRule="auto"/>
            </w:pPr>
            <w:r/>
            <w:r>
              <w:rPr>
                <w:b w:val="0"/>
                <w:sz w:val="18"/>
              </w:rPr>
              <w:t>p. 10 — Absolute risk differences at 28 and 90 days (−25.7% overall; −52.9% in PaO₂/FiO₂ &lt; 200); Table 3</w:t>
            </w:r>
          </w:p>
        </w:tc>
      </w:tr>
      <w:tr>
        <w:tc>
          <w:tcPr>
            <w:tcW w:type="dxa" w:w="1800"/>
          </w:tcPr>
          <w:p>
            <w:pPr>
              <w:spacing w:before="40" w:after="40" w:line="240" w:lineRule="auto"/>
            </w:pPr>
            <w:r/>
            <w:r>
              <w:rPr>
                <w:b w:val="0"/>
                <w:sz w:val="18"/>
              </w:rPr>
              <w:t>Other analyses</w:t>
            </w:r>
          </w:p>
        </w:tc>
        <w:tc>
          <w:tcPr>
            <w:tcW w:type="dxa" w:w="648"/>
          </w:tcPr>
          <w:p>
            <w:pPr>
              <w:spacing w:before="40" w:after="40" w:line="240" w:lineRule="auto"/>
            </w:pPr>
            <w:r/>
            <w:r>
              <w:rPr>
                <w:b w:val="0"/>
                <w:sz w:val="18"/>
              </w:rPr>
              <w:t>17</w:t>
            </w:r>
          </w:p>
        </w:tc>
        <w:tc>
          <w:tcPr>
            <w:tcW w:type="dxa" w:w="4608"/>
          </w:tcPr>
          <w:p>
            <w:pPr>
              <w:spacing w:before="40" w:after="40" w:line="240" w:lineRule="auto"/>
            </w:pPr>
            <w:r/>
            <w:r>
              <w:rPr>
                <w:b w:val="0"/>
                <w:sz w:val="18"/>
              </w:rPr>
              <w:t>Report other analyses done—eg analyses of subgroups and interactions, and sensitivity analyses</w:t>
            </w:r>
          </w:p>
        </w:tc>
        <w:tc>
          <w:tcPr>
            <w:tcW w:type="dxa" w:w="3888"/>
          </w:tcPr>
          <w:p>
            <w:pPr>
              <w:spacing w:before="40" w:after="40" w:line="240" w:lineRule="auto"/>
            </w:pPr>
            <w:r/>
            <w:r>
              <w:rPr>
                <w:b w:val="0"/>
                <w:sz w:val="18"/>
              </w:rPr>
              <w:t>pp. 11–12 — Subgroup analyses by admission PaO₂/FiO₂, interaction test, period-specific hazard ratios, landmark analyses at days 3, 7 and 14, and three sensitivity analyses; Table 4 (A)–(E)</w:t>
            </w:r>
          </w:p>
        </w:tc>
      </w:tr>
      <w:tr>
        <w:tc>
          <w:tcPr>
            <w:tcW w:type="dxa" w:w="10944"/>
            <w:gridSpan w:val="4"/>
          </w:tcPr>
          <w:p>
            <w:pPr>
              <w:spacing w:before="40" w:after="40" w:line="240" w:lineRule="auto"/>
            </w:pPr>
            <w:r/>
            <w:r>
              <w:rPr>
                <w:b/>
                <w:sz w:val="18"/>
              </w:rPr>
              <w:t>Discussion</w:t>
            </w:r>
          </w:p>
        </w:tc>
      </w:tr>
      <w:tr>
        <w:tc>
          <w:tcPr>
            <w:tcW w:type="dxa" w:w="1800"/>
          </w:tcPr>
          <w:p>
            <w:pPr>
              <w:spacing w:before="40" w:after="40" w:line="240" w:lineRule="auto"/>
            </w:pPr>
            <w:r/>
            <w:r>
              <w:rPr>
                <w:b w:val="0"/>
                <w:sz w:val="18"/>
              </w:rPr>
              <w:t>Key results</w:t>
            </w:r>
          </w:p>
        </w:tc>
        <w:tc>
          <w:tcPr>
            <w:tcW w:type="dxa" w:w="648"/>
          </w:tcPr>
          <w:p>
            <w:pPr>
              <w:spacing w:before="40" w:after="40" w:line="240" w:lineRule="auto"/>
            </w:pPr>
            <w:r/>
            <w:r>
              <w:rPr>
                <w:b w:val="0"/>
                <w:sz w:val="18"/>
              </w:rPr>
              <w:t>18</w:t>
            </w:r>
          </w:p>
        </w:tc>
        <w:tc>
          <w:tcPr>
            <w:tcW w:type="dxa" w:w="4608"/>
          </w:tcPr>
          <w:p>
            <w:pPr>
              <w:spacing w:before="40" w:after="40" w:line="240" w:lineRule="auto"/>
            </w:pPr>
            <w:r/>
            <w:r>
              <w:rPr>
                <w:b w:val="0"/>
                <w:sz w:val="18"/>
              </w:rPr>
              <w:t>Summarise key results with reference to study objectives</w:t>
            </w:r>
          </w:p>
        </w:tc>
        <w:tc>
          <w:tcPr>
            <w:tcW w:type="dxa" w:w="3888"/>
          </w:tcPr>
          <w:p>
            <w:pPr>
              <w:spacing w:before="40" w:after="40" w:line="240" w:lineRule="auto"/>
            </w:pPr>
            <w:r/>
            <w:r>
              <w:rPr>
                <w:b w:val="0"/>
                <w:sz w:val="18"/>
              </w:rPr>
              <w:t>p. 13 — Discussion, first paragraph</w:t>
            </w:r>
          </w:p>
        </w:tc>
      </w:tr>
      <w:tr>
        <w:tc>
          <w:tcPr>
            <w:tcW w:type="dxa" w:w="1800"/>
          </w:tcPr>
          <w:p>
            <w:pPr>
              <w:spacing w:before="40" w:after="40" w:line="240" w:lineRule="auto"/>
            </w:pPr>
            <w:r/>
            <w:r>
              <w:rPr>
                <w:b w:val="0"/>
                <w:sz w:val="18"/>
              </w:rPr>
              <w:t>Limitations</w:t>
            </w:r>
          </w:p>
        </w:tc>
        <w:tc>
          <w:tcPr>
            <w:tcW w:type="dxa" w:w="648"/>
          </w:tcPr>
          <w:p>
            <w:pPr>
              <w:spacing w:before="40" w:after="40" w:line="240" w:lineRule="auto"/>
            </w:pPr>
            <w:r/>
            <w:r>
              <w:rPr>
                <w:b w:val="0"/>
                <w:sz w:val="18"/>
              </w:rPr>
              <w:t>19</w:t>
            </w:r>
          </w:p>
        </w:tc>
        <w:tc>
          <w:tcPr>
            <w:tcW w:type="dxa" w:w="4608"/>
          </w:tcPr>
          <w:p>
            <w:pPr>
              <w:spacing w:before="40" w:after="40" w:line="240" w:lineRule="auto"/>
            </w:pPr>
            <w:r/>
            <w:r>
              <w:rPr>
                <w:b w:val="0"/>
                <w:sz w:val="18"/>
              </w:rPr>
              <w:t>Discuss limitations of the study, taking into account sources of potential bias or imprecision. Discuss both direction and magnitude of any potential bias</w:t>
            </w:r>
          </w:p>
        </w:tc>
        <w:tc>
          <w:tcPr>
            <w:tcW w:type="dxa" w:w="3888"/>
          </w:tcPr>
          <w:p>
            <w:pPr>
              <w:spacing w:before="40" w:after="40" w:line="240" w:lineRule="auto"/>
            </w:pPr>
            <w:r/>
            <w:r>
              <w:rPr>
                <w:b w:val="0"/>
                <w:sz w:val="18"/>
              </w:rPr>
              <w:t>p. 16 — Study Limitations (retrospective single-center design and sample size; confounding by indication, with the expected direction stated; residual confounding; absence of real-time multidisciplinary discussion; no serial oxygenation data in controls; chart-based adverse-event capture; unadjusted multiplicity)</w:t>
            </w:r>
          </w:p>
        </w:tc>
      </w:tr>
      <w:tr>
        <w:tc>
          <w:tcPr>
            <w:tcW w:type="dxa" w:w="1800"/>
          </w:tcPr>
          <w:p>
            <w:pPr>
              <w:spacing w:before="40" w:after="40" w:line="240" w:lineRule="auto"/>
            </w:pPr>
            <w:r/>
            <w:r>
              <w:rPr>
                <w:b w:val="0"/>
                <w:sz w:val="18"/>
              </w:rPr>
              <w:t>Interpretation</w:t>
            </w:r>
          </w:p>
        </w:tc>
        <w:tc>
          <w:tcPr>
            <w:tcW w:type="dxa" w:w="648"/>
          </w:tcPr>
          <w:p>
            <w:pPr>
              <w:spacing w:before="40" w:after="40" w:line="240" w:lineRule="auto"/>
            </w:pPr>
            <w:r/>
            <w:r>
              <w:rPr>
                <w:b w:val="0"/>
                <w:sz w:val="18"/>
              </w:rPr>
              <w:t>20</w:t>
            </w:r>
          </w:p>
        </w:tc>
        <w:tc>
          <w:tcPr>
            <w:tcW w:type="dxa" w:w="4608"/>
          </w:tcPr>
          <w:p>
            <w:pPr>
              <w:spacing w:before="40" w:after="40" w:line="240" w:lineRule="auto"/>
            </w:pPr>
            <w:r/>
            <w:r>
              <w:rPr>
                <w:b w:val="0"/>
                <w:sz w:val="18"/>
              </w:rPr>
              <w:t>Give a cautious overall interpretation of results considering objectives, limitations, multiplicity of analyses, results from similar studies, and other relevant evidence</w:t>
            </w:r>
          </w:p>
        </w:tc>
        <w:tc>
          <w:tcPr>
            <w:tcW w:type="dxa" w:w="3888"/>
          </w:tcPr>
          <w:p>
            <w:pPr>
              <w:spacing w:before="40" w:after="40" w:line="240" w:lineRule="auto"/>
            </w:pPr>
            <w:r/>
            <w:r>
              <w:rPr>
                <w:b w:val="0"/>
                <w:sz w:val="18"/>
              </w:rPr>
              <w:t>pp. 13–16 — Discussion (mechanistic rationale; short-term versus long-term outcomes; comparison with the two previous nintedanib cohorts; safety); p. 17 — Conclusions</w:t>
            </w:r>
          </w:p>
        </w:tc>
      </w:tr>
      <w:tr>
        <w:tc>
          <w:tcPr>
            <w:tcW w:type="dxa" w:w="1800"/>
          </w:tcPr>
          <w:p>
            <w:pPr>
              <w:spacing w:before="40" w:after="40" w:line="240" w:lineRule="auto"/>
            </w:pPr>
            <w:r/>
            <w:r>
              <w:rPr>
                <w:b w:val="0"/>
                <w:sz w:val="18"/>
              </w:rPr>
              <w:t>Generalisability</w:t>
            </w:r>
          </w:p>
        </w:tc>
        <w:tc>
          <w:tcPr>
            <w:tcW w:type="dxa" w:w="648"/>
          </w:tcPr>
          <w:p>
            <w:pPr>
              <w:spacing w:before="40" w:after="40" w:line="240" w:lineRule="auto"/>
            </w:pPr>
            <w:r/>
            <w:r>
              <w:rPr>
                <w:b w:val="0"/>
                <w:sz w:val="18"/>
              </w:rPr>
              <w:t>21</w:t>
            </w:r>
          </w:p>
        </w:tc>
        <w:tc>
          <w:tcPr>
            <w:tcW w:type="dxa" w:w="4608"/>
          </w:tcPr>
          <w:p>
            <w:pPr>
              <w:spacing w:before="40" w:after="40" w:line="240" w:lineRule="auto"/>
            </w:pPr>
            <w:r/>
            <w:r>
              <w:rPr>
                <w:b w:val="0"/>
                <w:sz w:val="18"/>
              </w:rPr>
              <w:t>Discuss the generalisability (external validity) of the study results</w:t>
            </w:r>
          </w:p>
        </w:tc>
        <w:tc>
          <w:tcPr>
            <w:tcW w:type="dxa" w:w="3888"/>
          </w:tcPr>
          <w:p>
            <w:pPr>
              <w:spacing w:before="40" w:after="40" w:line="240" w:lineRule="auto"/>
            </w:pPr>
            <w:r/>
            <w:r>
              <w:rPr>
                <w:b w:val="0"/>
                <w:sz w:val="18"/>
              </w:rPr>
              <w:t>p. 16 — Study Limitations (single-center cohort, elderly population, high proportion of unclassifiable ILD); p. 17 — Conclusions (prospective evaluation in severe hypoxemia warranted)</w:t>
            </w:r>
          </w:p>
        </w:tc>
      </w:tr>
      <w:tr>
        <w:tc>
          <w:tcPr>
            <w:tcW w:type="dxa" w:w="10944"/>
            <w:gridSpan w:val="4"/>
          </w:tcPr>
          <w:p>
            <w:pPr>
              <w:spacing w:before="40" w:after="40" w:line="240" w:lineRule="auto"/>
            </w:pPr>
            <w:r/>
            <w:r>
              <w:rPr>
                <w:b/>
                <w:sz w:val="18"/>
              </w:rPr>
              <w:t>Other information</w:t>
            </w:r>
          </w:p>
        </w:tc>
      </w:tr>
      <w:tr>
        <w:tc>
          <w:tcPr>
            <w:tcW w:type="dxa" w:w="1800"/>
          </w:tcPr>
          <w:p>
            <w:pPr>
              <w:spacing w:before="40" w:after="40" w:line="240" w:lineRule="auto"/>
            </w:pPr>
            <w:r/>
            <w:r>
              <w:rPr>
                <w:b w:val="0"/>
                <w:sz w:val="18"/>
              </w:rPr>
              <w:t>Funding</w:t>
            </w:r>
          </w:p>
        </w:tc>
        <w:tc>
          <w:tcPr>
            <w:tcW w:type="dxa" w:w="648"/>
          </w:tcPr>
          <w:p>
            <w:pPr>
              <w:spacing w:before="40" w:after="40" w:line="240" w:lineRule="auto"/>
            </w:pPr>
            <w:r/>
            <w:r>
              <w:rPr>
                <w:b w:val="0"/>
                <w:sz w:val="18"/>
              </w:rPr>
              <w:t>22</w:t>
            </w:r>
          </w:p>
        </w:tc>
        <w:tc>
          <w:tcPr>
            <w:tcW w:type="dxa" w:w="4608"/>
          </w:tcPr>
          <w:p>
            <w:pPr>
              <w:spacing w:before="40" w:after="40" w:line="240" w:lineRule="auto"/>
            </w:pPr>
            <w:r/>
            <w:r>
              <w:rPr>
                <w:b w:val="0"/>
                <w:sz w:val="18"/>
              </w:rPr>
              <w:t>Give the source of funding and the role of the funders for the present study and, if applicable, for the original study on which the present article is based</w:t>
            </w:r>
          </w:p>
        </w:tc>
        <w:tc>
          <w:tcPr>
            <w:tcW w:type="dxa" w:w="3888"/>
          </w:tcPr>
          <w:p>
            <w:pPr>
              <w:spacing w:before="40" w:after="40" w:line="240" w:lineRule="auto"/>
            </w:pPr>
            <w:r/>
            <w:r>
              <w:rPr>
                <w:b w:val="0"/>
                <w:sz w:val="18"/>
              </w:rPr>
              <w:t>p. 18 — Declarations, Funding (no specific grant from any funding agency in the public, commercial, or not-for-profit sectors)</w:t>
            </w:r>
          </w:p>
        </w:tc>
      </w:tr>
    </w:tbl>
    <w:p/>
    <w:p>
      <w:pPr>
        <w:spacing w:after="80"/>
      </w:pPr>
      <w:r>
        <w:rPr>
          <w:b w:val="0"/>
          <w:i/>
          <w:sz w:val="16"/>
        </w:rPr>
        <w:t>Note: An Explanation and Elaboration article discusses each checklist item and gives methodological background and published examples of transparent reporting. The STROBE checklist is best used in conjunction with this article (freely available on the websites of PLoS Medicine at http://www.plosmedicine.org/, Annals of Internal Medicine at http://www.annals.org/, and Epidemiology at http://www.epidem.com/). Information on the STROBE Initiative is available at http://www.strobe-statement.org.</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