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77657" w14:textId="59FE479D" w:rsidR="0087627A" w:rsidRDefault="00CF26F6">
      <w:r>
        <w:rPr>
          <w:noProof/>
        </w:rPr>
        <w:drawing>
          <wp:inline distT="0" distB="0" distL="0" distR="0" wp14:anchorId="72C732CC" wp14:editId="0A3BAC8B">
            <wp:extent cx="5274310" cy="483616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836160"/>
                    </a:xfrm>
                    <a:prstGeom prst="rect">
                      <a:avLst/>
                    </a:prstGeom>
                  </pic:spPr>
                </pic:pic>
              </a:graphicData>
            </a:graphic>
          </wp:inline>
        </w:drawing>
      </w:r>
    </w:p>
    <w:p w14:paraId="0B0E2CA1" w14:textId="39D2C0C1" w:rsidR="00CF26F6" w:rsidRDefault="00CF26F6"/>
    <w:p w14:paraId="653982A7" w14:textId="6DA310B6" w:rsidR="00CF26F6" w:rsidRDefault="00CF26F6">
      <w:pPr>
        <w:rPr>
          <w:rFonts w:ascii="Times New Roman" w:hAnsi="Times New Roman" w:cs="Times New Roman"/>
        </w:rPr>
      </w:pPr>
      <w:r w:rsidRPr="00145E74">
        <w:rPr>
          <w:rFonts w:ascii="Times New Roman" w:hAnsi="Times New Roman" w:cs="Times New Roman"/>
          <w:b/>
          <w:bCs/>
        </w:rPr>
        <w:t>Supplementary Figure 1</w:t>
      </w:r>
      <w:r w:rsidRPr="00CF26F6">
        <w:rPr>
          <w:rFonts w:ascii="Times New Roman" w:hAnsi="Times New Roman" w:cs="Times New Roman"/>
        </w:rPr>
        <w:t xml:space="preserve"> Clinical and molecular characterization of LINC01671 in OCCC.</w:t>
      </w:r>
    </w:p>
    <w:p w14:paraId="23C50E4E" w14:textId="1ACA8C7A" w:rsidR="00A9613A" w:rsidRPr="00CF26F6" w:rsidRDefault="00A9613A">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 </w:t>
      </w:r>
      <w:r w:rsidRPr="00A9613A">
        <w:rPr>
          <w:rFonts w:ascii="Times New Roman" w:hAnsi="Times New Roman" w:cs="Times New Roman"/>
        </w:rPr>
        <w:t>Univariate and multivariate Cox proportional hazards analysis of overall survival in the FUSCC OCCC cohort (n=45).</w:t>
      </w:r>
      <w:r>
        <w:rPr>
          <w:rFonts w:ascii="Times New Roman" w:hAnsi="Times New Roman" w:cs="Times New Roman"/>
        </w:rPr>
        <w:t xml:space="preserve"> B </w:t>
      </w:r>
      <w:r w:rsidR="00257C30" w:rsidRPr="00257C30">
        <w:rPr>
          <w:rFonts w:ascii="Times New Roman" w:hAnsi="Times New Roman" w:cs="Times New Roman"/>
        </w:rPr>
        <w:t>Receiver operating characteristic (ROC) analysis of prognostic factors. Left: Multi-ROC analysis incorporating significant risk factors identified in univariate analysis (including LINC01671 and FIGO stage). Right: Time-dependent ROC curves of LINC01671 expression for predicting 1-, 3-, and 5-year overall survival, with corresponding AUC values indicated.</w:t>
      </w:r>
      <w:r w:rsidR="00257C30">
        <w:rPr>
          <w:rFonts w:ascii="Times New Roman" w:hAnsi="Times New Roman" w:cs="Times New Roman"/>
        </w:rPr>
        <w:t xml:space="preserve"> C </w:t>
      </w:r>
      <w:r w:rsidR="00257C30" w:rsidRPr="00257C30">
        <w:rPr>
          <w:rFonts w:ascii="Times New Roman" w:hAnsi="Times New Roman" w:cs="Times New Roman"/>
        </w:rPr>
        <w:t>Genomic locus and transcript structure of LINC01671 (transcript LINC01671-201) on chromosome 21, as derived from the NCBI database.</w:t>
      </w:r>
      <w:r w:rsidR="00257C30" w:rsidRPr="00257C30">
        <w:t xml:space="preserve"> </w:t>
      </w:r>
      <w:r w:rsidR="00257C30">
        <w:rPr>
          <w:rFonts w:ascii="Times New Roman" w:hAnsi="Times New Roman" w:cs="Times New Roman" w:hint="cs"/>
        </w:rPr>
        <w:t>D</w:t>
      </w:r>
      <w:r w:rsidR="00257C30">
        <w:rPr>
          <w:rFonts w:ascii="Times New Roman" w:hAnsi="Times New Roman" w:cs="Times New Roman"/>
        </w:rPr>
        <w:t xml:space="preserve"> </w:t>
      </w:r>
      <w:r w:rsidR="00257C30" w:rsidRPr="00257C30">
        <w:rPr>
          <w:rFonts w:ascii="Times New Roman" w:hAnsi="Times New Roman" w:cs="Times New Roman"/>
        </w:rPr>
        <w:t>Coding potential assessment of LINC01671 using the CPC2 algorithm and Ensembl annotation, confirming its classification as a non-coding RNA.</w:t>
      </w:r>
    </w:p>
    <w:p w14:paraId="08D5AA44" w14:textId="07F1B073" w:rsidR="00CF26F6" w:rsidRDefault="00CF26F6"/>
    <w:p w14:paraId="5E0AD2AA" w14:textId="6040A803" w:rsidR="00CF26F6" w:rsidRDefault="00CF26F6"/>
    <w:p w14:paraId="2B7A5647" w14:textId="0F4CBDCF" w:rsidR="00CF26F6" w:rsidRDefault="00CF26F6"/>
    <w:p w14:paraId="0E1A63C7" w14:textId="257277E6" w:rsidR="00CF26F6" w:rsidRDefault="00CF26F6"/>
    <w:p w14:paraId="336E8BA5" w14:textId="32F011A8" w:rsidR="00CF26F6" w:rsidRDefault="00CF26F6"/>
    <w:p w14:paraId="03300E5C" w14:textId="677BF7A3" w:rsidR="00CF26F6" w:rsidRDefault="00257C30">
      <w:r>
        <w:rPr>
          <w:rFonts w:hint="eastAsia"/>
        </w:rPr>
        <w:t>、</w:t>
      </w:r>
    </w:p>
    <w:p w14:paraId="4FF3CB78" w14:textId="56D199E7" w:rsidR="00CF26F6" w:rsidRDefault="00CF26F6"/>
    <w:p w14:paraId="33B3730A" w14:textId="77777777" w:rsidR="00D636B0" w:rsidRDefault="00D636B0">
      <w:pPr>
        <w:rPr>
          <w:noProof/>
        </w:rPr>
      </w:pPr>
    </w:p>
    <w:p w14:paraId="0BE7EAE7" w14:textId="4C960E67" w:rsidR="00CF26F6" w:rsidRDefault="00CF26F6">
      <w:r>
        <w:rPr>
          <w:rFonts w:hint="eastAsia"/>
          <w:noProof/>
        </w:rPr>
        <w:lastRenderedPageBreak/>
        <w:drawing>
          <wp:inline distT="0" distB="0" distL="0" distR="0" wp14:anchorId="110AEAD1" wp14:editId="795BAA02">
            <wp:extent cx="5274310" cy="1738313"/>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7" cstate="print">
                      <a:extLst>
                        <a:ext uri="{28A0092B-C50C-407E-A947-70E740481C1C}">
                          <a14:useLocalDpi xmlns:a14="http://schemas.microsoft.com/office/drawing/2010/main" val="0"/>
                        </a:ext>
                      </a:extLst>
                    </a:blip>
                    <a:srcRect b="45294"/>
                    <a:stretch/>
                  </pic:blipFill>
                  <pic:spPr bwMode="auto">
                    <a:xfrm>
                      <a:off x="0" y="0"/>
                      <a:ext cx="5274310" cy="1738313"/>
                    </a:xfrm>
                    <a:prstGeom prst="rect">
                      <a:avLst/>
                    </a:prstGeom>
                    <a:ln>
                      <a:noFill/>
                    </a:ln>
                    <a:extLst>
                      <a:ext uri="{53640926-AAD7-44D8-BBD7-CCE9431645EC}">
                        <a14:shadowObscured xmlns:a14="http://schemas.microsoft.com/office/drawing/2010/main"/>
                      </a:ext>
                    </a:extLst>
                  </pic:spPr>
                </pic:pic>
              </a:graphicData>
            </a:graphic>
          </wp:inline>
        </w:drawing>
      </w:r>
    </w:p>
    <w:p w14:paraId="773C9680" w14:textId="5DBEE265" w:rsidR="00CF26F6" w:rsidRDefault="00257C30">
      <w:pPr>
        <w:rPr>
          <w:rFonts w:ascii="Times New Roman" w:hAnsi="Times New Roman" w:cs="Times New Roman"/>
        </w:rPr>
      </w:pPr>
      <w:r w:rsidRPr="00257C30">
        <w:rPr>
          <w:rFonts w:ascii="Times New Roman" w:hAnsi="Times New Roman" w:cs="Times New Roman"/>
        </w:rPr>
        <w:t>Supplementary Figure 2 Validation of LINC01671 modulation efficiency and its impact on tumor growth in an independent cohort.</w:t>
      </w:r>
    </w:p>
    <w:p w14:paraId="7F00321A" w14:textId="03904BCC" w:rsidR="00257C30" w:rsidRPr="00257C30" w:rsidRDefault="00257C30">
      <w:pPr>
        <w:rPr>
          <w:rFonts w:ascii="Times New Roman" w:hAnsi="Times New Roman" w:cs="Times New Roman"/>
        </w:rPr>
      </w:pPr>
      <w:r>
        <w:rPr>
          <w:rFonts w:ascii="Times New Roman" w:hAnsi="Times New Roman" w:cs="Times New Roman" w:hint="eastAsia"/>
        </w:rPr>
        <w:t>A</w:t>
      </w:r>
      <w:r w:rsidR="005F51D7">
        <w:rPr>
          <w:rFonts w:ascii="Times New Roman" w:hAnsi="Times New Roman" w:cs="Times New Roman" w:hint="eastAsia"/>
        </w:rPr>
        <w:t>,</w:t>
      </w:r>
      <w:r w:rsidR="005F51D7">
        <w:rPr>
          <w:rFonts w:ascii="Times New Roman" w:hAnsi="Times New Roman" w:cs="Times New Roman"/>
        </w:rPr>
        <w:t>B</w:t>
      </w:r>
      <w:r>
        <w:rPr>
          <w:rFonts w:ascii="Times New Roman" w:hAnsi="Times New Roman" w:cs="Times New Roman"/>
        </w:rPr>
        <w:t xml:space="preserve"> </w:t>
      </w:r>
      <w:r w:rsidRPr="00257C30">
        <w:rPr>
          <w:rFonts w:ascii="Times New Roman" w:hAnsi="Times New Roman" w:cs="Times New Roman"/>
        </w:rPr>
        <w:t>qRT–PCR analysis confirming efficient knockdown and overexpression of LINC01671 in TOV21G and OVISE cells used for subsequent functional assays.</w:t>
      </w:r>
      <w:r>
        <w:rPr>
          <w:rFonts w:ascii="Times New Roman" w:hAnsi="Times New Roman" w:cs="Times New Roman"/>
        </w:rPr>
        <w:t xml:space="preserve"> </w:t>
      </w:r>
    </w:p>
    <w:p w14:paraId="7C0E3466" w14:textId="47FD2457" w:rsidR="00CF26F6" w:rsidRDefault="00CF26F6"/>
    <w:p w14:paraId="5567FE0A" w14:textId="118996B5" w:rsidR="00CF26F6" w:rsidRDefault="00CF26F6"/>
    <w:p w14:paraId="666765C2" w14:textId="27B7B2AC" w:rsidR="00CF26F6" w:rsidRDefault="00CF26F6"/>
    <w:p w14:paraId="4D4E393D" w14:textId="4CF6C14F" w:rsidR="00CF26F6" w:rsidRDefault="00CF26F6"/>
    <w:p w14:paraId="3162DFF9" w14:textId="393718FE" w:rsidR="00CF26F6" w:rsidRDefault="00CF26F6"/>
    <w:p w14:paraId="11C69155" w14:textId="09C2212E" w:rsidR="00CF26F6" w:rsidRDefault="00CF26F6"/>
    <w:p w14:paraId="777F9722" w14:textId="74D5E0BE" w:rsidR="00CF26F6" w:rsidRDefault="00CF26F6"/>
    <w:p w14:paraId="4C1BE0B8" w14:textId="6488CAE2" w:rsidR="00CF26F6" w:rsidRDefault="00CF26F6"/>
    <w:p w14:paraId="6EDC2A59" w14:textId="0F5187E7" w:rsidR="00CF26F6" w:rsidRDefault="00CF26F6"/>
    <w:p w14:paraId="45D76E3A" w14:textId="74AC8195" w:rsidR="00CF26F6" w:rsidRDefault="00CF26F6"/>
    <w:p w14:paraId="18F41B28" w14:textId="67C281E7" w:rsidR="00CF26F6" w:rsidRDefault="00CF26F6"/>
    <w:p w14:paraId="2BFE79D9" w14:textId="5C954821" w:rsidR="00CF26F6" w:rsidRDefault="00CF26F6"/>
    <w:p w14:paraId="65FD1312" w14:textId="38D187C2" w:rsidR="00CF26F6" w:rsidRDefault="00CF26F6"/>
    <w:p w14:paraId="5951FEBB" w14:textId="39A6434C" w:rsidR="00CF26F6" w:rsidRDefault="00CF26F6"/>
    <w:p w14:paraId="3A707BA6" w14:textId="08445C43" w:rsidR="00CF26F6" w:rsidRDefault="00CF26F6"/>
    <w:p w14:paraId="4194185C" w14:textId="697746BA" w:rsidR="00CF26F6" w:rsidRDefault="00CF26F6"/>
    <w:p w14:paraId="1FE14E73" w14:textId="218B5571" w:rsidR="00CF26F6" w:rsidRDefault="00CF26F6"/>
    <w:p w14:paraId="79598459" w14:textId="7A37424A" w:rsidR="00CF26F6" w:rsidRDefault="00CF26F6"/>
    <w:p w14:paraId="34F709BE" w14:textId="043D976B" w:rsidR="00CF26F6" w:rsidRDefault="00CF26F6"/>
    <w:p w14:paraId="2315C01B" w14:textId="1477885B" w:rsidR="00CF26F6" w:rsidRDefault="00CF26F6"/>
    <w:p w14:paraId="48B6B58B" w14:textId="245F6EF6" w:rsidR="00CF26F6" w:rsidRDefault="00CF26F6"/>
    <w:p w14:paraId="566A0744" w14:textId="34918A7F" w:rsidR="00CF26F6" w:rsidRDefault="00CF26F6">
      <w:r>
        <w:rPr>
          <w:rFonts w:hint="eastAsia"/>
          <w:noProof/>
        </w:rPr>
        <w:lastRenderedPageBreak/>
        <w:drawing>
          <wp:inline distT="0" distB="0" distL="0" distR="0" wp14:anchorId="125C1882" wp14:editId="7EA25486">
            <wp:extent cx="5274310" cy="524637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246370"/>
                    </a:xfrm>
                    <a:prstGeom prst="rect">
                      <a:avLst/>
                    </a:prstGeom>
                  </pic:spPr>
                </pic:pic>
              </a:graphicData>
            </a:graphic>
          </wp:inline>
        </w:drawing>
      </w:r>
    </w:p>
    <w:p w14:paraId="1882BB92" w14:textId="7A197B34" w:rsidR="00CF26F6" w:rsidRDefault="00257C30">
      <w:pPr>
        <w:rPr>
          <w:rFonts w:ascii="Times New Roman" w:hAnsi="Times New Roman" w:cs="Times New Roman"/>
        </w:rPr>
      </w:pPr>
      <w:r w:rsidRPr="0038124B">
        <w:rPr>
          <w:rFonts w:ascii="Times New Roman" w:hAnsi="Times New Roman" w:cs="Times New Roman"/>
          <w:b/>
          <w:bCs/>
        </w:rPr>
        <w:t>Supplementary Figure 3</w:t>
      </w:r>
      <w:r w:rsidRPr="00257C30">
        <w:rPr>
          <w:rFonts w:ascii="Times New Roman" w:hAnsi="Times New Roman" w:cs="Times New Roman"/>
        </w:rPr>
        <w:t xml:space="preserve"> Bioinformatic characterization and metabolomic profiling of LINC01671-regulated pathways.</w:t>
      </w:r>
    </w:p>
    <w:p w14:paraId="389B313C" w14:textId="34E518F0" w:rsidR="00CF26F6" w:rsidRPr="00E04EAF" w:rsidRDefault="00257C30">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,B </w:t>
      </w:r>
      <w:r w:rsidR="00E04EAF" w:rsidRPr="00E04EAF">
        <w:rPr>
          <w:rFonts w:ascii="Times New Roman" w:hAnsi="Times New Roman" w:cs="Times New Roman"/>
        </w:rPr>
        <w:t xml:space="preserve">Gene Ontology (GO) network of </w:t>
      </w:r>
      <w:r w:rsidR="00E04EAF">
        <w:rPr>
          <w:rFonts w:ascii="Times New Roman" w:hAnsi="Times New Roman" w:cs="Times New Roman"/>
        </w:rPr>
        <w:t>c</w:t>
      </w:r>
      <w:r w:rsidR="00E04EAF" w:rsidRPr="00E04EAF">
        <w:rPr>
          <w:rFonts w:ascii="Times New Roman" w:hAnsi="Times New Roman" w:cs="Times New Roman"/>
        </w:rPr>
        <w:t xml:space="preserve">ellular </w:t>
      </w:r>
      <w:r w:rsidR="00E04EAF">
        <w:rPr>
          <w:rFonts w:ascii="Times New Roman" w:hAnsi="Times New Roman" w:cs="Times New Roman"/>
        </w:rPr>
        <w:t>c</w:t>
      </w:r>
      <w:r w:rsidR="00E04EAF" w:rsidRPr="00E04EAF">
        <w:rPr>
          <w:rFonts w:ascii="Times New Roman" w:hAnsi="Times New Roman" w:cs="Times New Roman"/>
        </w:rPr>
        <w:t>omponent</w:t>
      </w:r>
      <w:r w:rsidR="00E04EAF">
        <w:rPr>
          <w:rFonts w:ascii="Times New Roman" w:hAnsi="Times New Roman" w:cs="Times New Roman"/>
        </w:rPr>
        <w:t xml:space="preserve"> (CC) and</w:t>
      </w:r>
      <w:r w:rsidR="00E04EAF" w:rsidRPr="00E04EAF">
        <w:rPr>
          <w:rFonts w:ascii="Times New Roman" w:hAnsi="Times New Roman" w:cs="Times New Roman"/>
        </w:rPr>
        <w:t xml:space="preserve"> Molecular Function</w:t>
      </w:r>
      <w:r w:rsidR="00E04EAF">
        <w:rPr>
          <w:rFonts w:ascii="Times New Roman" w:hAnsi="Times New Roman" w:cs="Times New Roman"/>
        </w:rPr>
        <w:t xml:space="preserve"> (MF)</w:t>
      </w:r>
      <w:r w:rsidR="00E04EAF" w:rsidRPr="00E04EAF">
        <w:rPr>
          <w:rFonts w:ascii="Times New Roman" w:hAnsi="Times New Roman" w:cs="Times New Roman"/>
        </w:rPr>
        <w:t xml:space="preserve"> associated with the top 200 correlated genes</w:t>
      </w:r>
      <w:r w:rsidR="00E04EAF">
        <w:rPr>
          <w:rFonts w:ascii="Times New Roman" w:hAnsi="Times New Roman" w:cs="Times New Roman"/>
        </w:rPr>
        <w:t xml:space="preserve"> </w:t>
      </w:r>
      <w:r w:rsidR="00E04EAF" w:rsidRPr="00E04EAF">
        <w:rPr>
          <w:rFonts w:ascii="Times New Roman" w:hAnsi="Times New Roman" w:cs="Times New Roman"/>
        </w:rPr>
        <w:t>positively correlated with LINC01671 expression in the GSE226870 dataset.</w:t>
      </w:r>
      <w:r w:rsidR="00E04EAF">
        <w:rPr>
          <w:rFonts w:ascii="Times New Roman" w:hAnsi="Times New Roman" w:cs="Times New Roman"/>
        </w:rPr>
        <w:t xml:space="preserve"> C </w:t>
      </w:r>
      <w:r w:rsidR="00E04EAF" w:rsidRPr="00E04EAF">
        <w:rPr>
          <w:rFonts w:ascii="Times New Roman" w:hAnsi="Times New Roman" w:cs="Times New Roman"/>
        </w:rPr>
        <w:t xml:space="preserve">KEGG pathway enrichment analysis of the top 200 genes </w:t>
      </w:r>
      <w:bookmarkStart w:id="0" w:name="_Hlk221645727"/>
      <w:r w:rsidR="00E04EAF" w:rsidRPr="00E04EAF">
        <w:rPr>
          <w:rFonts w:ascii="Times New Roman" w:hAnsi="Times New Roman" w:cs="Times New Roman"/>
        </w:rPr>
        <w:t>positively correlated with LINC01671 expression in the GSE226870 dataset.</w:t>
      </w:r>
      <w:bookmarkEnd w:id="0"/>
      <w:r w:rsidR="00E04EAF">
        <w:rPr>
          <w:rFonts w:ascii="Times New Roman" w:hAnsi="Times New Roman" w:cs="Times New Roman"/>
        </w:rPr>
        <w:t xml:space="preserve"> D,E HLA and i</w:t>
      </w:r>
      <w:r w:rsidR="00E04EAF" w:rsidRPr="00E04EAF">
        <w:rPr>
          <w:rFonts w:ascii="Times New Roman" w:hAnsi="Times New Roman" w:cs="Times New Roman"/>
        </w:rPr>
        <w:t>mmune cell–related signature analysis indicating that LINC01671 knockdown is associated with increased signatures of T cells, cytotoxic lymphocytes, and monocytic lineages in the tumor microenvironment.</w:t>
      </w:r>
      <w:r w:rsidR="00E04EAF">
        <w:rPr>
          <w:rFonts w:ascii="Times New Roman" w:hAnsi="Times New Roman" w:cs="Times New Roman"/>
        </w:rPr>
        <w:t xml:space="preserve"> F,G </w:t>
      </w:r>
      <w:r w:rsidR="00E04EAF" w:rsidRPr="00E04EAF">
        <w:rPr>
          <w:rFonts w:ascii="Times New Roman" w:hAnsi="Times New Roman" w:cs="Times New Roman"/>
        </w:rPr>
        <w:t>Principal component analysis (PCA) and permutation testing of targeted metabolomics (Metabolon Q300) demonstrating distinct metabolic profiles between sh-NC and sh-LINC01671 TOV21G cells.</w:t>
      </w:r>
    </w:p>
    <w:p w14:paraId="42D9E056" w14:textId="3B80233A" w:rsidR="00CF26F6" w:rsidRDefault="00CF26F6"/>
    <w:p w14:paraId="3DD435B2" w14:textId="111CCE66" w:rsidR="00CF26F6" w:rsidRDefault="00CF26F6"/>
    <w:p w14:paraId="1926E5A4" w14:textId="04447C1B" w:rsidR="00CF26F6" w:rsidRDefault="00CF26F6"/>
    <w:p w14:paraId="5259BBC6" w14:textId="57857BF6" w:rsidR="00CF26F6" w:rsidRDefault="00CF26F6"/>
    <w:p w14:paraId="57FCFE7C" w14:textId="1FBBC393" w:rsidR="00CF26F6" w:rsidRDefault="00CF26F6"/>
    <w:p w14:paraId="014AA0CB" w14:textId="27073CAD" w:rsidR="00CF26F6" w:rsidRDefault="00CF26F6"/>
    <w:p w14:paraId="171381C5" w14:textId="2C2360C8" w:rsidR="00CF26F6" w:rsidRDefault="00CF26F6">
      <w:r>
        <w:rPr>
          <w:noProof/>
        </w:rPr>
        <w:lastRenderedPageBreak/>
        <w:drawing>
          <wp:inline distT="0" distB="0" distL="0" distR="0" wp14:anchorId="6444AD79" wp14:editId="5B82C3A8">
            <wp:extent cx="5274310" cy="4076065"/>
            <wp:effectExtent l="0" t="0" r="254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076065"/>
                    </a:xfrm>
                    <a:prstGeom prst="rect">
                      <a:avLst/>
                    </a:prstGeom>
                  </pic:spPr>
                </pic:pic>
              </a:graphicData>
            </a:graphic>
          </wp:inline>
        </w:drawing>
      </w:r>
    </w:p>
    <w:p w14:paraId="4288D600" w14:textId="1DC642AC" w:rsidR="00CF26F6" w:rsidRDefault="00D317E2">
      <w:pPr>
        <w:rPr>
          <w:rFonts w:ascii="Times New Roman" w:hAnsi="Times New Roman" w:cs="Times New Roman"/>
        </w:rPr>
      </w:pPr>
      <w:r w:rsidRPr="0038124B">
        <w:rPr>
          <w:rFonts w:ascii="Times New Roman" w:hAnsi="Times New Roman" w:cs="Times New Roman"/>
          <w:b/>
          <w:bCs/>
        </w:rPr>
        <w:t>Supplementary Figure 4</w:t>
      </w:r>
      <w:r>
        <w:rPr>
          <w:rFonts w:ascii="Times New Roman" w:hAnsi="Times New Roman" w:cs="Times New Roman"/>
        </w:rPr>
        <w:t xml:space="preserve"> </w:t>
      </w:r>
      <w:r w:rsidRPr="00D317E2">
        <w:rPr>
          <w:rFonts w:ascii="Times New Roman" w:hAnsi="Times New Roman" w:cs="Times New Roman"/>
        </w:rPr>
        <w:t>LINC01671 depletion attenuates the expression of co</w:t>
      </w:r>
      <w:r>
        <w:rPr>
          <w:rFonts w:ascii="Times New Roman" w:hAnsi="Times New Roman" w:cs="Times New Roman"/>
        </w:rPr>
        <w:t>re</w:t>
      </w:r>
      <w:r w:rsidRPr="00D317E2">
        <w:rPr>
          <w:rFonts w:ascii="Times New Roman" w:hAnsi="Times New Roman" w:cs="Times New Roman"/>
        </w:rPr>
        <w:t xml:space="preserve"> glycolytic enzymes.</w:t>
      </w:r>
    </w:p>
    <w:p w14:paraId="59F87E13" w14:textId="185F36F0" w:rsidR="00D317E2" w:rsidRPr="00D317E2" w:rsidRDefault="00D317E2">
      <w:pPr>
        <w:rPr>
          <w:rFonts w:ascii="Times New Roman" w:hAnsi="Times New Roman" w:cs="Times New Roman"/>
        </w:rPr>
      </w:pPr>
      <w:r>
        <w:rPr>
          <w:rFonts w:ascii="Times New Roman" w:hAnsi="Times New Roman" w:cs="Times New Roman"/>
        </w:rPr>
        <w:t xml:space="preserve">A-G, </w:t>
      </w:r>
      <w:r w:rsidRPr="00D317E2">
        <w:rPr>
          <w:rFonts w:ascii="Times New Roman" w:hAnsi="Times New Roman" w:cs="Times New Roman"/>
        </w:rPr>
        <w:t>Transcriptomic analysis of key glycolytic enzymes in OCCC cell. Relative mRNA expression levels of ALDOC (A), ENO2 (B), HK2 (C), LDHA (D), PGK1 (E), PGM1 (F), and TPI1 (G) are shown for TOV21G and OVISE cells transfected with control (sh-NC) or LINC01671-targeting (sh-LINC01671) shRNAs.</w:t>
      </w:r>
    </w:p>
    <w:p w14:paraId="449E633A" w14:textId="040B6093" w:rsidR="00CF26F6" w:rsidRPr="00D317E2" w:rsidRDefault="00CF26F6">
      <w:pPr>
        <w:rPr>
          <w:rFonts w:ascii="Times New Roman" w:hAnsi="Times New Roman" w:cs="Times New Roman"/>
        </w:rPr>
      </w:pPr>
    </w:p>
    <w:p w14:paraId="4F36ED3B" w14:textId="0937DEA8" w:rsidR="00CF26F6" w:rsidRDefault="00CF26F6"/>
    <w:p w14:paraId="3F658DED" w14:textId="36028E19" w:rsidR="00CF26F6" w:rsidRDefault="00CF26F6"/>
    <w:p w14:paraId="1B12161F" w14:textId="1FE77037" w:rsidR="00CF26F6" w:rsidRDefault="00CF26F6"/>
    <w:p w14:paraId="0CC8B65D" w14:textId="0B08D319" w:rsidR="00CF26F6" w:rsidRDefault="00CF26F6"/>
    <w:p w14:paraId="6C971A3B" w14:textId="7BD63374" w:rsidR="00CF26F6" w:rsidRDefault="00CF26F6"/>
    <w:p w14:paraId="6380EA3D" w14:textId="63A72529" w:rsidR="00CF26F6" w:rsidRDefault="00CF26F6"/>
    <w:p w14:paraId="1E499187" w14:textId="0760B6A6" w:rsidR="00CF26F6" w:rsidRDefault="00CF26F6"/>
    <w:p w14:paraId="244BA02D" w14:textId="044C95B9" w:rsidR="00CF26F6" w:rsidRDefault="00CF26F6"/>
    <w:p w14:paraId="0918969A" w14:textId="0F5654DC" w:rsidR="00CF26F6" w:rsidRDefault="00CF26F6"/>
    <w:p w14:paraId="7E023743" w14:textId="360F0026" w:rsidR="00CF26F6" w:rsidRDefault="00CF26F6"/>
    <w:p w14:paraId="7885808D" w14:textId="34A19DC1" w:rsidR="00CF26F6" w:rsidRDefault="00CF26F6"/>
    <w:p w14:paraId="372DCAC2" w14:textId="72C83F8D" w:rsidR="00CF26F6" w:rsidRDefault="00CF26F6"/>
    <w:p w14:paraId="073B0494" w14:textId="7E2B5B15" w:rsidR="00CF26F6" w:rsidRDefault="00CF26F6"/>
    <w:p w14:paraId="6052331B" w14:textId="4C7F8406" w:rsidR="00CF26F6" w:rsidRDefault="00CF26F6"/>
    <w:p w14:paraId="52F8C5A0" w14:textId="2CC27719" w:rsidR="00CF26F6" w:rsidRDefault="00CF26F6"/>
    <w:p w14:paraId="3B5FCA1B" w14:textId="64D94759" w:rsidR="00CF26F6" w:rsidRDefault="00CF26F6"/>
    <w:p w14:paraId="601B3C7D" w14:textId="3B198C8B" w:rsidR="00CF26F6" w:rsidRDefault="00CF26F6"/>
    <w:p w14:paraId="5E318816" w14:textId="0A5052EF" w:rsidR="005D74C6" w:rsidRDefault="005D74C6">
      <w:r>
        <w:rPr>
          <w:rFonts w:hint="eastAsia"/>
          <w:noProof/>
        </w:rPr>
        <w:drawing>
          <wp:inline distT="0" distB="0" distL="0" distR="0" wp14:anchorId="0B28B933" wp14:editId="02DACCC5">
            <wp:extent cx="5274310" cy="5654675"/>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5654675"/>
                    </a:xfrm>
                    <a:prstGeom prst="rect">
                      <a:avLst/>
                    </a:prstGeom>
                  </pic:spPr>
                </pic:pic>
              </a:graphicData>
            </a:graphic>
          </wp:inline>
        </w:drawing>
      </w:r>
    </w:p>
    <w:p w14:paraId="468A448F" w14:textId="68ED1AC6" w:rsidR="005D74C6" w:rsidRDefault="005D74C6">
      <w:pPr>
        <w:rPr>
          <w:rFonts w:ascii="Times New Roman" w:hAnsi="Times New Roman" w:cs="Times New Roman"/>
        </w:rPr>
      </w:pPr>
      <w:r w:rsidRPr="0038124B">
        <w:rPr>
          <w:rFonts w:ascii="Times New Roman" w:hAnsi="Times New Roman" w:cs="Times New Roman"/>
          <w:b/>
          <w:bCs/>
        </w:rPr>
        <w:t>Supplementary Figure 5</w:t>
      </w:r>
      <w:r>
        <w:rPr>
          <w:rFonts w:ascii="Times New Roman" w:hAnsi="Times New Roman" w:cs="Times New Roman"/>
        </w:rPr>
        <w:t xml:space="preserve"> </w:t>
      </w:r>
      <w:r w:rsidRPr="00CA03AB">
        <w:rPr>
          <w:rFonts w:ascii="Times New Roman" w:hAnsi="Times New Roman" w:cs="Times New Roman"/>
        </w:rPr>
        <w:t xml:space="preserve">LINC01671 modulates tumor antigen presentation and </w:t>
      </w:r>
      <w:r>
        <w:rPr>
          <w:rFonts w:ascii="Times New Roman" w:hAnsi="Times New Roman" w:cs="Times New Roman"/>
        </w:rPr>
        <w:t>impair</w:t>
      </w:r>
      <w:r w:rsidRPr="00CA03AB">
        <w:rPr>
          <w:rFonts w:ascii="Times New Roman" w:hAnsi="Times New Roman" w:cs="Times New Roman"/>
        </w:rPr>
        <w:t>s CD8+ T cell effector function</w:t>
      </w:r>
      <w:r>
        <w:rPr>
          <w:rFonts w:ascii="Times New Roman" w:hAnsi="Times New Roman" w:cs="Times New Roman"/>
        </w:rPr>
        <w:t xml:space="preserve"> in OVISE cell</w:t>
      </w:r>
      <w:r w:rsidRPr="00CA03AB">
        <w:rPr>
          <w:rFonts w:ascii="Times New Roman" w:hAnsi="Times New Roman" w:cs="Times New Roman"/>
        </w:rPr>
        <w:t>.</w:t>
      </w:r>
    </w:p>
    <w:p w14:paraId="7F2C8940" w14:textId="77777777" w:rsidR="005D74C6" w:rsidRDefault="005D74C6" w:rsidP="005D74C6">
      <w:pPr>
        <w:rPr>
          <w:rFonts w:ascii="Times New Roman" w:hAnsi="Times New Roman" w:cs="Times New Roman"/>
        </w:rPr>
      </w:pPr>
      <w:r>
        <w:rPr>
          <w:rFonts w:ascii="Times New Roman" w:hAnsi="Times New Roman" w:cs="Times New Roman"/>
        </w:rPr>
        <w:t xml:space="preserve">A. </w:t>
      </w:r>
      <w:r w:rsidRPr="003C1C8C">
        <w:rPr>
          <w:rFonts w:ascii="Times New Roman" w:hAnsi="Times New Roman" w:cs="Times New Roman"/>
        </w:rPr>
        <w:t>Flow cytometric analysis of MHC I and II expression on tumor cells.</w:t>
      </w:r>
    </w:p>
    <w:p w14:paraId="6A9A649E" w14:textId="77777777" w:rsidR="005D74C6" w:rsidRPr="00CA03AB" w:rsidRDefault="005D74C6" w:rsidP="005D74C6">
      <w:pPr>
        <w:rPr>
          <w:rFonts w:ascii="Times New Roman" w:hAnsi="Times New Roman" w:cs="Times New Roman"/>
          <w:b/>
          <w:bCs/>
          <w:noProof/>
        </w:rPr>
      </w:pPr>
      <w:r>
        <w:rPr>
          <w:rFonts w:ascii="Times New Roman" w:hAnsi="Times New Roman" w:cs="Times New Roman" w:hint="eastAsia"/>
        </w:rPr>
        <w:t>B</w:t>
      </w:r>
      <w:r>
        <w:rPr>
          <w:rFonts w:ascii="Times New Roman" w:hAnsi="Times New Roman" w:cs="Times New Roman"/>
        </w:rPr>
        <w:t xml:space="preserve">-D. </w:t>
      </w:r>
      <w:r w:rsidRPr="003C1C8C">
        <w:rPr>
          <w:rFonts w:ascii="Times New Roman" w:hAnsi="Times New Roman" w:cs="Times New Roman"/>
        </w:rPr>
        <w:t>Flow cytometry-based T cell cytotoxic assay.</w:t>
      </w:r>
      <w:r w:rsidRPr="003C1C8C">
        <w:t xml:space="preserve"> </w:t>
      </w:r>
      <w:r w:rsidRPr="003C1C8C">
        <w:rPr>
          <w:rFonts w:ascii="Times New Roman" w:hAnsi="Times New Roman" w:cs="Times New Roman"/>
        </w:rPr>
        <w:t xml:space="preserve">The experimental cohorts were cocultured with </w:t>
      </w:r>
      <w:r>
        <w:rPr>
          <w:rFonts w:ascii="Times New Roman" w:hAnsi="Times New Roman" w:cs="Times New Roman"/>
        </w:rPr>
        <w:t>CD8+T cells.</w:t>
      </w:r>
      <w:r w:rsidRPr="003C1C8C">
        <w:rPr>
          <w:rFonts w:ascii="Georgia" w:hAnsi="Georgia"/>
          <w:color w:val="1F1F1F"/>
        </w:rPr>
        <w:t xml:space="preserve"> </w:t>
      </w:r>
      <w:r>
        <w:rPr>
          <w:rFonts w:ascii="Georgia" w:hAnsi="Georgia"/>
          <w:color w:val="1F1F1F"/>
        </w:rPr>
        <w:t>Intracellular GzmB (B),</w:t>
      </w:r>
      <w:bookmarkStart w:id="1" w:name="OLE_LINK23"/>
      <w:r>
        <w:rPr>
          <w:rFonts w:ascii="Georgia" w:hAnsi="Georgia"/>
          <w:color w:val="1F1F1F"/>
        </w:rPr>
        <w:t xml:space="preserve"> IFN-γ </w:t>
      </w:r>
      <w:bookmarkEnd w:id="1"/>
      <w:r>
        <w:rPr>
          <w:rFonts w:ascii="Georgia" w:hAnsi="Georgia" w:hint="eastAsia"/>
          <w:color w:val="1F1F1F"/>
        </w:rPr>
        <w:t>(</w:t>
      </w:r>
      <w:r>
        <w:rPr>
          <w:rFonts w:ascii="Georgia" w:hAnsi="Georgia"/>
          <w:color w:val="1F1F1F"/>
        </w:rPr>
        <w:t xml:space="preserve">C) and perforin (D) expression </w:t>
      </w:r>
      <w:r w:rsidRPr="003C1C8C">
        <w:rPr>
          <w:rFonts w:ascii="Georgia" w:hAnsi="Georgia"/>
          <w:color w:val="1F1F1F"/>
        </w:rPr>
        <w:t>analysis after cell membrane permeabilization.</w:t>
      </w:r>
      <w:r w:rsidRPr="00D85342">
        <w:rPr>
          <w:rFonts w:ascii="Times New Roman" w:hAnsi="Times New Roman" w:cs="Times New Roman"/>
        </w:rPr>
        <w:t xml:space="preserve"> </w:t>
      </w:r>
      <w:r w:rsidRPr="00381293">
        <w:rPr>
          <w:rFonts w:ascii="Times New Roman" w:hAnsi="Times New Roman" w:cs="Times New Roman"/>
        </w:rPr>
        <w:t>*</w:t>
      </w:r>
      <w:r w:rsidRPr="00381293">
        <w:rPr>
          <w:rFonts w:ascii="Times New Roman" w:hAnsi="Times New Roman" w:cs="Times New Roman"/>
          <w:i/>
          <w:iCs/>
        </w:rPr>
        <w:t>P</w:t>
      </w:r>
      <w:r w:rsidRPr="00381293">
        <w:rPr>
          <w:rFonts w:ascii="Times New Roman" w:hAnsi="Times New Roman" w:cs="Times New Roman"/>
        </w:rPr>
        <w:t>&lt;0.05; **</w:t>
      </w:r>
      <w:r w:rsidRPr="00381293">
        <w:rPr>
          <w:rFonts w:ascii="Times New Roman" w:hAnsi="Times New Roman" w:cs="Times New Roman"/>
          <w:i/>
          <w:iCs/>
        </w:rPr>
        <w:t>P</w:t>
      </w:r>
      <w:r w:rsidRPr="00381293">
        <w:rPr>
          <w:rFonts w:ascii="Times New Roman" w:hAnsi="Times New Roman" w:cs="Times New Roman"/>
        </w:rPr>
        <w:t>&lt;0.01; ***</w:t>
      </w:r>
      <w:r w:rsidRPr="00381293">
        <w:rPr>
          <w:rFonts w:ascii="Times New Roman" w:hAnsi="Times New Roman" w:cs="Times New Roman"/>
          <w:i/>
          <w:iCs/>
        </w:rPr>
        <w:t>P</w:t>
      </w:r>
      <w:r w:rsidRPr="00381293">
        <w:rPr>
          <w:rFonts w:ascii="Times New Roman" w:hAnsi="Times New Roman" w:cs="Times New Roman"/>
        </w:rPr>
        <w:t>&lt;0.001; ns no significance.</w:t>
      </w:r>
    </w:p>
    <w:p w14:paraId="6B290ACC" w14:textId="77777777" w:rsidR="005D74C6" w:rsidRPr="005D74C6" w:rsidRDefault="005D74C6"/>
    <w:p w14:paraId="26B43C0C" w14:textId="05635F78" w:rsidR="00CF26F6" w:rsidRDefault="00905090">
      <w:r>
        <w:rPr>
          <w:noProof/>
        </w:rPr>
        <w:lastRenderedPageBreak/>
        <w:drawing>
          <wp:inline distT="0" distB="0" distL="0" distR="0" wp14:anchorId="50522568" wp14:editId="60A6401B">
            <wp:extent cx="5274310" cy="7181215"/>
            <wp:effectExtent l="0" t="0" r="254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7181215"/>
                    </a:xfrm>
                    <a:prstGeom prst="rect">
                      <a:avLst/>
                    </a:prstGeom>
                  </pic:spPr>
                </pic:pic>
              </a:graphicData>
            </a:graphic>
          </wp:inline>
        </w:drawing>
      </w:r>
    </w:p>
    <w:p w14:paraId="2F800B52" w14:textId="6891C403" w:rsidR="00CF26F6" w:rsidRDefault="00D317E2">
      <w:pPr>
        <w:rPr>
          <w:rFonts w:ascii="Times New Roman" w:hAnsi="Times New Roman" w:cs="Times New Roman"/>
        </w:rPr>
      </w:pPr>
      <w:r w:rsidRPr="0038124B">
        <w:rPr>
          <w:rFonts w:ascii="Times New Roman" w:hAnsi="Times New Roman" w:cs="Times New Roman"/>
          <w:b/>
          <w:bCs/>
        </w:rPr>
        <w:t xml:space="preserve">Supplementary Figure </w:t>
      </w:r>
      <w:r w:rsidR="005D74C6" w:rsidRPr="0038124B">
        <w:rPr>
          <w:rFonts w:ascii="Times New Roman" w:hAnsi="Times New Roman" w:cs="Times New Roman"/>
          <w:b/>
          <w:bCs/>
        </w:rPr>
        <w:t>6</w:t>
      </w:r>
      <w:r w:rsidRPr="00D317E2">
        <w:rPr>
          <w:rFonts w:ascii="Times New Roman" w:hAnsi="Times New Roman" w:cs="Times New Roman"/>
        </w:rPr>
        <w:t xml:space="preserve"> LDHA is required for LINC01671-driven malignant phenotypes in OCCC cells.</w:t>
      </w:r>
    </w:p>
    <w:p w14:paraId="0B0BFEA2" w14:textId="503DE3F1" w:rsidR="008B342C" w:rsidRDefault="00E009F1">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 </w:t>
      </w:r>
      <w:r w:rsidRPr="00E009F1">
        <w:rPr>
          <w:rFonts w:ascii="Times New Roman" w:hAnsi="Times New Roman" w:cs="Times New Roman"/>
        </w:rPr>
        <w:t>Western blot analysis confirming efficient knockdown and overexpression of LDHA in TOV21G and OVISE cells.</w:t>
      </w:r>
      <w:r>
        <w:rPr>
          <w:rFonts w:ascii="Times New Roman" w:hAnsi="Times New Roman" w:cs="Times New Roman"/>
        </w:rPr>
        <w:t xml:space="preserve"> </w:t>
      </w:r>
    </w:p>
    <w:p w14:paraId="715E7102" w14:textId="6026CEA9" w:rsidR="008151B4" w:rsidRDefault="008151B4">
      <w:pPr>
        <w:rPr>
          <w:rFonts w:ascii="Times New Roman" w:hAnsi="Times New Roman" w:cs="Times New Roman"/>
        </w:rPr>
      </w:pPr>
      <w:bookmarkStart w:id="2" w:name="OLE_LINK27"/>
      <w:r>
        <w:rPr>
          <w:rFonts w:ascii="Times New Roman" w:hAnsi="Times New Roman" w:cs="Times New Roman" w:hint="eastAsia"/>
        </w:rPr>
        <w:t>B</w:t>
      </w:r>
      <w:r>
        <w:rPr>
          <w:rFonts w:ascii="Times New Roman" w:hAnsi="Times New Roman" w:cs="Times New Roman"/>
        </w:rPr>
        <w:t xml:space="preserve"> </w:t>
      </w:r>
      <w:r w:rsidRPr="008151B4">
        <w:rPr>
          <w:rFonts w:ascii="Times New Roman" w:hAnsi="Times New Roman" w:cs="Times New Roman"/>
        </w:rPr>
        <w:t>Intracellular GzmB</w:t>
      </w:r>
      <w:r w:rsidRPr="008151B4">
        <w:t xml:space="preserve"> </w:t>
      </w:r>
      <w:r w:rsidRPr="008151B4">
        <w:rPr>
          <w:rFonts w:ascii="Times New Roman" w:hAnsi="Times New Roman" w:cs="Times New Roman"/>
        </w:rPr>
        <w:t>expression analysis after cell membrane permeabilization.</w:t>
      </w:r>
    </w:p>
    <w:p w14:paraId="4BD303AF" w14:textId="6929BC29" w:rsidR="008151B4" w:rsidRDefault="008151B4">
      <w:pPr>
        <w:rPr>
          <w:rFonts w:ascii="Times New Roman" w:hAnsi="Times New Roman" w:cs="Times New Roman"/>
        </w:rPr>
      </w:pPr>
      <w:r>
        <w:rPr>
          <w:rFonts w:ascii="Times New Roman" w:hAnsi="Times New Roman" w:cs="Times New Roman"/>
        </w:rPr>
        <w:t xml:space="preserve">C </w:t>
      </w:r>
      <w:r w:rsidRPr="008151B4">
        <w:rPr>
          <w:rFonts w:ascii="Times New Roman" w:hAnsi="Times New Roman" w:cs="Times New Roman"/>
        </w:rPr>
        <w:t xml:space="preserve">Intracellular </w:t>
      </w:r>
      <w:r>
        <w:rPr>
          <w:rFonts w:ascii="Georgia" w:hAnsi="Georgia"/>
          <w:color w:val="1F1F1F"/>
        </w:rPr>
        <w:t>IFN-γ</w:t>
      </w:r>
      <w:r w:rsidRPr="008151B4">
        <w:t xml:space="preserve"> </w:t>
      </w:r>
      <w:r w:rsidRPr="008151B4">
        <w:rPr>
          <w:rFonts w:ascii="Times New Roman" w:hAnsi="Times New Roman" w:cs="Times New Roman"/>
        </w:rPr>
        <w:t>expression analysis after cell membrane permeabilization.</w:t>
      </w:r>
    </w:p>
    <w:bookmarkEnd w:id="2"/>
    <w:p w14:paraId="42EC1D25" w14:textId="20A6202A" w:rsidR="00E009F1" w:rsidRDefault="008151B4">
      <w:pPr>
        <w:rPr>
          <w:rFonts w:ascii="Times New Roman" w:hAnsi="Times New Roman" w:cs="Times New Roman"/>
        </w:rPr>
      </w:pPr>
      <w:r>
        <w:rPr>
          <w:rFonts w:ascii="Times New Roman" w:hAnsi="Times New Roman" w:cs="Times New Roman"/>
        </w:rPr>
        <w:t>D</w:t>
      </w:r>
      <w:r w:rsidR="00E009F1">
        <w:rPr>
          <w:rFonts w:ascii="Times New Roman" w:hAnsi="Times New Roman" w:cs="Times New Roman"/>
        </w:rPr>
        <w:t xml:space="preserve"> </w:t>
      </w:r>
      <w:r w:rsidR="00E009F1" w:rsidRPr="00E009F1">
        <w:rPr>
          <w:rFonts w:ascii="Times New Roman" w:hAnsi="Times New Roman" w:cs="Times New Roman"/>
        </w:rPr>
        <w:t xml:space="preserve">Western blot validation of LDHA silencing in LINC01671-overexpressing cells used for rescue </w:t>
      </w:r>
      <w:r w:rsidR="00E009F1" w:rsidRPr="00E009F1">
        <w:rPr>
          <w:rFonts w:ascii="Times New Roman" w:hAnsi="Times New Roman" w:cs="Times New Roman"/>
        </w:rPr>
        <w:lastRenderedPageBreak/>
        <w:t>experiments.</w:t>
      </w:r>
      <w:r w:rsidR="00E009F1">
        <w:rPr>
          <w:rFonts w:ascii="Times New Roman" w:hAnsi="Times New Roman" w:cs="Times New Roman"/>
        </w:rPr>
        <w:t xml:space="preserve"> </w:t>
      </w:r>
      <w:r>
        <w:rPr>
          <w:rFonts w:ascii="Times New Roman" w:hAnsi="Times New Roman" w:cs="Times New Roman"/>
        </w:rPr>
        <w:t>E,F</w:t>
      </w:r>
      <w:r w:rsidR="00E009F1">
        <w:rPr>
          <w:rFonts w:ascii="Times New Roman" w:hAnsi="Times New Roman" w:cs="Times New Roman"/>
        </w:rPr>
        <w:t xml:space="preserve"> </w:t>
      </w:r>
      <w:r w:rsidR="00E009F1" w:rsidRPr="00E009F1">
        <w:rPr>
          <w:rFonts w:ascii="Times New Roman" w:hAnsi="Times New Roman" w:cs="Times New Roman"/>
        </w:rPr>
        <w:t>Rescue assays showing that silencing of L</w:t>
      </w:r>
      <w:r w:rsidR="00E009F1">
        <w:rPr>
          <w:rFonts w:ascii="Times New Roman" w:hAnsi="Times New Roman" w:cs="Times New Roman"/>
        </w:rPr>
        <w:t xml:space="preserve">DHA </w:t>
      </w:r>
      <w:r w:rsidR="00E009F1" w:rsidRPr="00E009F1">
        <w:rPr>
          <w:rFonts w:ascii="Times New Roman" w:hAnsi="Times New Roman" w:cs="Times New Roman"/>
        </w:rPr>
        <w:t xml:space="preserve">significantly attenuated the </w:t>
      </w:r>
      <w:r w:rsidR="00E009F1">
        <w:rPr>
          <w:rFonts w:ascii="Times New Roman" w:hAnsi="Times New Roman" w:cs="Times New Roman"/>
        </w:rPr>
        <w:t>LINC01671</w:t>
      </w:r>
      <w:r w:rsidR="00E009F1" w:rsidRPr="00E009F1">
        <w:rPr>
          <w:rFonts w:ascii="Times New Roman" w:hAnsi="Times New Roman" w:cs="Times New Roman"/>
        </w:rPr>
        <w:t xml:space="preserve"> overexpression–mediated increase in cell proliferation</w:t>
      </w:r>
      <w:r w:rsidR="00E009F1">
        <w:rPr>
          <w:rFonts w:ascii="Times New Roman" w:hAnsi="Times New Roman" w:cs="Times New Roman"/>
        </w:rPr>
        <w:t xml:space="preserve"> in TOV21G and OVISE cells. </w:t>
      </w:r>
      <w:r>
        <w:rPr>
          <w:rFonts w:ascii="Times New Roman" w:hAnsi="Times New Roman" w:cs="Times New Roman"/>
        </w:rPr>
        <w:t>G,H</w:t>
      </w:r>
      <w:r w:rsidR="00E009F1">
        <w:rPr>
          <w:rFonts w:ascii="Times New Roman" w:hAnsi="Times New Roman" w:cs="Times New Roman"/>
        </w:rPr>
        <w:t xml:space="preserve"> </w:t>
      </w:r>
      <w:r w:rsidR="00E009F1" w:rsidRPr="00E009F1">
        <w:rPr>
          <w:rFonts w:ascii="Times New Roman" w:hAnsi="Times New Roman" w:cs="Times New Roman"/>
        </w:rPr>
        <w:t>Rescue assays showing that silencing of LDHA significantly attenuated the LINC01671 overexpression–mediated increase in cell invasion in TOV21G and OVISE cells.</w:t>
      </w:r>
      <w:r w:rsidRPr="008151B4">
        <w:rPr>
          <w:rFonts w:ascii="Times New Roman" w:hAnsi="Times New Roman" w:cs="Times New Roman"/>
        </w:rPr>
        <w:t xml:space="preserve"> </w:t>
      </w:r>
      <w:r w:rsidRPr="00381293">
        <w:rPr>
          <w:rFonts w:ascii="Times New Roman" w:hAnsi="Times New Roman" w:cs="Times New Roman"/>
        </w:rPr>
        <w:t>*</w:t>
      </w:r>
      <w:r w:rsidRPr="00381293">
        <w:rPr>
          <w:rFonts w:ascii="Times New Roman" w:hAnsi="Times New Roman" w:cs="Times New Roman"/>
          <w:i/>
          <w:iCs/>
        </w:rPr>
        <w:t>P</w:t>
      </w:r>
      <w:r w:rsidRPr="00381293">
        <w:rPr>
          <w:rFonts w:ascii="Times New Roman" w:hAnsi="Times New Roman" w:cs="Times New Roman"/>
        </w:rPr>
        <w:t>&lt;0.05; **</w:t>
      </w:r>
      <w:r w:rsidRPr="00381293">
        <w:rPr>
          <w:rFonts w:ascii="Times New Roman" w:hAnsi="Times New Roman" w:cs="Times New Roman"/>
          <w:i/>
          <w:iCs/>
        </w:rPr>
        <w:t>P</w:t>
      </w:r>
      <w:r w:rsidRPr="00381293">
        <w:rPr>
          <w:rFonts w:ascii="Times New Roman" w:hAnsi="Times New Roman" w:cs="Times New Roman"/>
        </w:rPr>
        <w:t>&lt;0.01; ***</w:t>
      </w:r>
      <w:r w:rsidRPr="00381293">
        <w:rPr>
          <w:rFonts w:ascii="Times New Roman" w:hAnsi="Times New Roman" w:cs="Times New Roman"/>
          <w:i/>
          <w:iCs/>
        </w:rPr>
        <w:t>P</w:t>
      </w:r>
      <w:r w:rsidRPr="00381293">
        <w:rPr>
          <w:rFonts w:ascii="Times New Roman" w:hAnsi="Times New Roman" w:cs="Times New Roman"/>
        </w:rPr>
        <w:t>&lt;0.001; ns no significance.</w:t>
      </w:r>
    </w:p>
    <w:p w14:paraId="05D81A51" w14:textId="5DB64761" w:rsidR="00E009F1" w:rsidRPr="00D317E2" w:rsidRDefault="00E009F1">
      <w:pPr>
        <w:rPr>
          <w:rFonts w:ascii="Times New Roman" w:hAnsi="Times New Roman" w:cs="Times New Roman"/>
        </w:rPr>
      </w:pPr>
    </w:p>
    <w:p w14:paraId="33B95359" w14:textId="67BF4569" w:rsidR="00CF26F6" w:rsidRDefault="00CF26F6"/>
    <w:p w14:paraId="2FD6C34F" w14:textId="5D0F7255" w:rsidR="00CF26F6" w:rsidRDefault="00CF26F6"/>
    <w:p w14:paraId="34A20F68" w14:textId="4835CB2B" w:rsidR="00CF26F6" w:rsidRDefault="00CF26F6"/>
    <w:p w14:paraId="52C007E9" w14:textId="2BFC66F0" w:rsidR="00CF26F6" w:rsidRDefault="00CF26F6"/>
    <w:p w14:paraId="0D05D13E" w14:textId="3338F903" w:rsidR="00CF26F6" w:rsidRDefault="00CF26F6"/>
    <w:p w14:paraId="2BB5B87D" w14:textId="7573696D" w:rsidR="00CF26F6" w:rsidRDefault="00CF26F6"/>
    <w:p w14:paraId="67A06884" w14:textId="0FD67BC7" w:rsidR="00CF26F6" w:rsidRDefault="00CF26F6"/>
    <w:p w14:paraId="32574362" w14:textId="202CA182" w:rsidR="00CF26F6" w:rsidRDefault="00CF26F6"/>
    <w:p w14:paraId="6B3CBF2E" w14:textId="147F4871" w:rsidR="008151B4" w:rsidRDefault="008151B4"/>
    <w:p w14:paraId="720ACCEC" w14:textId="23646A94" w:rsidR="008151B4" w:rsidRDefault="008151B4"/>
    <w:p w14:paraId="5E597885" w14:textId="29716E78" w:rsidR="008151B4" w:rsidRDefault="008151B4"/>
    <w:p w14:paraId="7FA7B780" w14:textId="60379565" w:rsidR="008151B4" w:rsidRDefault="008151B4"/>
    <w:p w14:paraId="4F6B331C" w14:textId="5E9496D5" w:rsidR="008151B4" w:rsidRDefault="008151B4"/>
    <w:p w14:paraId="056B452C" w14:textId="7F4949A6" w:rsidR="008151B4" w:rsidRDefault="008151B4"/>
    <w:p w14:paraId="399B6D00" w14:textId="1AB1710B" w:rsidR="008151B4" w:rsidRDefault="008151B4"/>
    <w:p w14:paraId="244A76E2" w14:textId="57BF854E" w:rsidR="008151B4" w:rsidRDefault="008151B4"/>
    <w:p w14:paraId="6969ECEE" w14:textId="1FB3605F" w:rsidR="008151B4" w:rsidRDefault="008151B4"/>
    <w:p w14:paraId="3F84E44B" w14:textId="6836EB88" w:rsidR="008151B4" w:rsidRDefault="008151B4"/>
    <w:p w14:paraId="1DF6BBE4" w14:textId="1D92DA7E" w:rsidR="008151B4" w:rsidRDefault="008151B4"/>
    <w:p w14:paraId="25D4E440" w14:textId="734521DF" w:rsidR="008151B4" w:rsidRDefault="008151B4"/>
    <w:p w14:paraId="3E3151D0" w14:textId="051C5E53" w:rsidR="008151B4" w:rsidRDefault="008151B4"/>
    <w:p w14:paraId="2C5B4DC0" w14:textId="45C2900C" w:rsidR="008151B4" w:rsidRDefault="008151B4"/>
    <w:p w14:paraId="541CF945" w14:textId="7693AEE5" w:rsidR="008151B4" w:rsidRDefault="008151B4"/>
    <w:p w14:paraId="1AA97770" w14:textId="7257BB0F" w:rsidR="008151B4" w:rsidRDefault="008151B4"/>
    <w:p w14:paraId="2AB01135" w14:textId="3F90E151" w:rsidR="008151B4" w:rsidRDefault="008151B4"/>
    <w:p w14:paraId="3420A9B5" w14:textId="641B50F4" w:rsidR="008151B4" w:rsidRDefault="008151B4"/>
    <w:p w14:paraId="06FD966F" w14:textId="4980C21E" w:rsidR="008151B4" w:rsidRDefault="008151B4"/>
    <w:p w14:paraId="6BA3CFAA" w14:textId="066293A3" w:rsidR="008151B4" w:rsidRDefault="008151B4"/>
    <w:p w14:paraId="0EC696D4" w14:textId="739508D9" w:rsidR="008151B4" w:rsidRDefault="008151B4"/>
    <w:p w14:paraId="378151C3" w14:textId="772A7316" w:rsidR="008151B4" w:rsidRDefault="008151B4"/>
    <w:p w14:paraId="328E1D9C" w14:textId="1112C503" w:rsidR="008151B4" w:rsidRDefault="008151B4"/>
    <w:p w14:paraId="181CC7AE" w14:textId="23250B8B" w:rsidR="008151B4" w:rsidRDefault="008151B4"/>
    <w:p w14:paraId="5F38A936" w14:textId="1BC07508" w:rsidR="008151B4" w:rsidRDefault="008151B4"/>
    <w:p w14:paraId="391BDCCE" w14:textId="77777777" w:rsidR="008151B4" w:rsidRDefault="008151B4"/>
    <w:p w14:paraId="75E0153A" w14:textId="309B42FD" w:rsidR="00CF26F6" w:rsidRDefault="00CF26F6"/>
    <w:p w14:paraId="4F65B38F" w14:textId="0BA65204" w:rsidR="00CF26F6" w:rsidRDefault="00CF26F6"/>
    <w:p w14:paraId="49E439E2" w14:textId="538D703D" w:rsidR="00CF26F6" w:rsidRDefault="00CF26F6"/>
    <w:p w14:paraId="0F3644F2" w14:textId="2FFFA0FA" w:rsidR="00CF26F6" w:rsidRDefault="00CF26F6"/>
    <w:p w14:paraId="7CCF5EF9" w14:textId="34DD2CE1" w:rsidR="00CF26F6" w:rsidRDefault="00CF26F6">
      <w:r>
        <w:rPr>
          <w:rFonts w:hint="eastAsia"/>
          <w:noProof/>
        </w:rPr>
        <w:lastRenderedPageBreak/>
        <w:drawing>
          <wp:inline distT="0" distB="0" distL="0" distR="0" wp14:anchorId="133546CB" wp14:editId="5E91AE3A">
            <wp:extent cx="5274310" cy="2131695"/>
            <wp:effectExtent l="0" t="0" r="254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131695"/>
                    </a:xfrm>
                    <a:prstGeom prst="rect">
                      <a:avLst/>
                    </a:prstGeom>
                  </pic:spPr>
                </pic:pic>
              </a:graphicData>
            </a:graphic>
          </wp:inline>
        </w:drawing>
      </w:r>
    </w:p>
    <w:p w14:paraId="26F80894" w14:textId="6739CC76" w:rsidR="00E009F1" w:rsidRDefault="00E009F1" w:rsidP="00E009F1">
      <w:pPr>
        <w:rPr>
          <w:rFonts w:ascii="Times New Roman" w:hAnsi="Times New Roman" w:cs="Times New Roman"/>
        </w:rPr>
      </w:pPr>
      <w:r w:rsidRPr="0038124B">
        <w:rPr>
          <w:rFonts w:ascii="Times New Roman" w:hAnsi="Times New Roman" w:cs="Times New Roman"/>
          <w:b/>
          <w:bCs/>
        </w:rPr>
        <w:t xml:space="preserve">Supplementary Figure </w:t>
      </w:r>
      <w:r w:rsidR="00CF3B94" w:rsidRPr="0038124B">
        <w:rPr>
          <w:rFonts w:ascii="Times New Roman" w:hAnsi="Times New Roman" w:cs="Times New Roman"/>
          <w:b/>
          <w:bCs/>
        </w:rPr>
        <w:t>7</w:t>
      </w:r>
      <w:r w:rsidRPr="00E009F1">
        <w:rPr>
          <w:rFonts w:ascii="Times New Roman" w:hAnsi="Times New Roman" w:cs="Times New Roman"/>
        </w:rPr>
        <w:t xml:space="preserve"> Screening and bioinformatic prediction of LINC01671-interacting proteins.</w:t>
      </w:r>
    </w:p>
    <w:p w14:paraId="0E3240F9" w14:textId="7CF2A80B" w:rsidR="00E009F1" w:rsidRDefault="00E009F1" w:rsidP="00E009F1">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 xml:space="preserve"> </w:t>
      </w:r>
      <w:r w:rsidRPr="00E009F1">
        <w:rPr>
          <w:rFonts w:ascii="Times New Roman" w:hAnsi="Times New Roman" w:cs="Times New Roman"/>
        </w:rPr>
        <w:t>Silver-stained SDS-PAGE gel showing proteins retrieved from OCCC cell lysates using biotinylated LINC01671 sense or antisense probes.</w:t>
      </w:r>
      <w:r>
        <w:rPr>
          <w:rFonts w:ascii="Times New Roman" w:hAnsi="Times New Roman" w:cs="Times New Roman" w:hint="eastAsia"/>
        </w:rPr>
        <w:t xml:space="preserve"> </w:t>
      </w:r>
      <w:r>
        <w:rPr>
          <w:rFonts w:ascii="Times New Roman" w:hAnsi="Times New Roman" w:cs="Times New Roman"/>
        </w:rPr>
        <w:t xml:space="preserve">B </w:t>
      </w:r>
      <w:r w:rsidRPr="00E009F1">
        <w:rPr>
          <w:rFonts w:ascii="Times New Roman" w:hAnsi="Times New Roman" w:cs="Times New Roman"/>
        </w:rPr>
        <w:t>The binding sites of IGF2BP1 in the 3’ UTR region of PKM2 were predicted using RBPsuite.</w:t>
      </w:r>
    </w:p>
    <w:p w14:paraId="0425ACB4" w14:textId="345F2EDD" w:rsidR="008151B4" w:rsidRDefault="008151B4" w:rsidP="00E009F1">
      <w:pPr>
        <w:rPr>
          <w:rFonts w:ascii="Times New Roman" w:hAnsi="Times New Roman" w:cs="Times New Roman"/>
        </w:rPr>
      </w:pPr>
    </w:p>
    <w:p w14:paraId="429593F9" w14:textId="7F5AA06E" w:rsidR="008151B4" w:rsidRDefault="008151B4" w:rsidP="00E009F1">
      <w:pPr>
        <w:rPr>
          <w:rFonts w:ascii="Times New Roman" w:hAnsi="Times New Roman" w:cs="Times New Roman"/>
        </w:rPr>
      </w:pPr>
    </w:p>
    <w:p w14:paraId="52C98828" w14:textId="18794B76" w:rsidR="008151B4" w:rsidRDefault="008151B4" w:rsidP="00E009F1">
      <w:pPr>
        <w:rPr>
          <w:rFonts w:ascii="Times New Roman" w:hAnsi="Times New Roman" w:cs="Times New Roman"/>
        </w:rPr>
      </w:pPr>
    </w:p>
    <w:p w14:paraId="0050BB0C" w14:textId="34247248" w:rsidR="008151B4" w:rsidRDefault="008151B4" w:rsidP="00E009F1">
      <w:pPr>
        <w:rPr>
          <w:rFonts w:ascii="Times New Roman" w:hAnsi="Times New Roman" w:cs="Times New Roman"/>
        </w:rPr>
      </w:pPr>
    </w:p>
    <w:p w14:paraId="75411377" w14:textId="5C94A641" w:rsidR="008151B4" w:rsidRDefault="008151B4" w:rsidP="00E009F1">
      <w:pPr>
        <w:rPr>
          <w:rFonts w:ascii="Times New Roman" w:hAnsi="Times New Roman" w:cs="Times New Roman"/>
        </w:rPr>
      </w:pPr>
    </w:p>
    <w:p w14:paraId="4DBAE65A" w14:textId="1623E343" w:rsidR="008151B4" w:rsidRDefault="008151B4" w:rsidP="00E009F1">
      <w:pPr>
        <w:rPr>
          <w:rFonts w:ascii="Times New Roman" w:hAnsi="Times New Roman" w:cs="Times New Roman"/>
        </w:rPr>
      </w:pPr>
    </w:p>
    <w:p w14:paraId="79D24FA3" w14:textId="4D70A38A" w:rsidR="008151B4" w:rsidRDefault="008151B4" w:rsidP="00E009F1">
      <w:pPr>
        <w:rPr>
          <w:rFonts w:ascii="Times New Roman" w:hAnsi="Times New Roman" w:cs="Times New Roman"/>
        </w:rPr>
      </w:pPr>
      <w:r>
        <w:rPr>
          <w:rFonts w:ascii="Times New Roman" w:hAnsi="Times New Roman" w:cs="Times New Roman" w:hint="eastAsia"/>
          <w:noProof/>
        </w:rPr>
        <w:drawing>
          <wp:inline distT="0" distB="0" distL="0" distR="0" wp14:anchorId="6186B445" wp14:editId="0FE6D406">
            <wp:extent cx="5274310" cy="248285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82850"/>
                    </a:xfrm>
                    <a:prstGeom prst="rect">
                      <a:avLst/>
                    </a:prstGeom>
                  </pic:spPr>
                </pic:pic>
              </a:graphicData>
            </a:graphic>
          </wp:inline>
        </w:drawing>
      </w:r>
    </w:p>
    <w:p w14:paraId="753EC08B" w14:textId="5D6FAEBF" w:rsidR="008151B4" w:rsidRDefault="008151B4" w:rsidP="00E009F1">
      <w:pPr>
        <w:rPr>
          <w:rFonts w:ascii="Times New Roman" w:hAnsi="Times New Roman" w:cs="Times New Roman"/>
        </w:rPr>
      </w:pPr>
      <w:r w:rsidRPr="0038124B">
        <w:rPr>
          <w:rFonts w:ascii="Times New Roman" w:hAnsi="Times New Roman" w:cs="Times New Roman"/>
          <w:b/>
          <w:bCs/>
        </w:rPr>
        <w:t>Supplementary Figure 8</w:t>
      </w:r>
      <w:r w:rsidR="003C3C48" w:rsidRPr="003C3C48">
        <w:t xml:space="preserve"> </w:t>
      </w:r>
      <w:r w:rsidR="003C3C48">
        <w:rPr>
          <w:rFonts w:ascii="Times New Roman" w:hAnsi="Times New Roman" w:cs="Times New Roman"/>
        </w:rPr>
        <w:t>IGF2BP3</w:t>
      </w:r>
      <w:r w:rsidR="003C3C48" w:rsidRPr="003C3C48">
        <w:rPr>
          <w:rFonts w:ascii="Times New Roman" w:hAnsi="Times New Roman" w:cs="Times New Roman"/>
        </w:rPr>
        <w:t xml:space="preserve"> impairs CD8+ T cell effector function in TOV21G cell.</w:t>
      </w:r>
    </w:p>
    <w:p w14:paraId="3A5A7F52" w14:textId="6FCEA794" w:rsidR="003C3C48" w:rsidRDefault="003C3C48" w:rsidP="003C3C48">
      <w:pPr>
        <w:rPr>
          <w:rFonts w:ascii="Times New Roman" w:hAnsi="Times New Roman" w:cs="Times New Roman"/>
        </w:rPr>
      </w:pPr>
      <w:r>
        <w:rPr>
          <w:rFonts w:ascii="Times New Roman" w:hAnsi="Times New Roman" w:cs="Times New Roman"/>
        </w:rPr>
        <w:t xml:space="preserve">A </w:t>
      </w:r>
      <w:r w:rsidRPr="008151B4">
        <w:rPr>
          <w:rFonts w:ascii="Times New Roman" w:hAnsi="Times New Roman" w:cs="Times New Roman"/>
        </w:rPr>
        <w:t>Intracellular GzmB</w:t>
      </w:r>
      <w:r w:rsidRPr="008151B4">
        <w:t xml:space="preserve"> </w:t>
      </w:r>
      <w:r w:rsidRPr="008151B4">
        <w:rPr>
          <w:rFonts w:ascii="Times New Roman" w:hAnsi="Times New Roman" w:cs="Times New Roman"/>
        </w:rPr>
        <w:t>expression analysis after cell membrane permeabilization.</w:t>
      </w:r>
    </w:p>
    <w:p w14:paraId="3CD349DA" w14:textId="23DFEC15" w:rsidR="003C3C48" w:rsidRDefault="003C3C48" w:rsidP="003C3C48">
      <w:pPr>
        <w:rPr>
          <w:rFonts w:ascii="Times New Roman" w:hAnsi="Times New Roman" w:cs="Times New Roman"/>
        </w:rPr>
      </w:pPr>
      <w:r>
        <w:rPr>
          <w:rFonts w:ascii="Times New Roman" w:hAnsi="Times New Roman" w:cs="Times New Roman"/>
        </w:rPr>
        <w:t xml:space="preserve">B </w:t>
      </w:r>
      <w:r w:rsidRPr="008151B4">
        <w:rPr>
          <w:rFonts w:ascii="Times New Roman" w:hAnsi="Times New Roman" w:cs="Times New Roman"/>
        </w:rPr>
        <w:t xml:space="preserve">Intracellular </w:t>
      </w:r>
      <w:r>
        <w:rPr>
          <w:rFonts w:ascii="Georgia" w:hAnsi="Georgia"/>
          <w:color w:val="1F1F1F"/>
        </w:rPr>
        <w:t>IFN-γ</w:t>
      </w:r>
      <w:r w:rsidRPr="008151B4">
        <w:t xml:space="preserve"> </w:t>
      </w:r>
      <w:r w:rsidRPr="008151B4">
        <w:rPr>
          <w:rFonts w:ascii="Times New Roman" w:hAnsi="Times New Roman" w:cs="Times New Roman"/>
        </w:rPr>
        <w:t>expression analysis after cell membrane permeabilization.</w:t>
      </w:r>
    </w:p>
    <w:p w14:paraId="208FC136" w14:textId="77777777" w:rsidR="003C3C48" w:rsidRPr="003C3C48" w:rsidRDefault="003C3C48" w:rsidP="00E009F1">
      <w:pPr>
        <w:rPr>
          <w:rFonts w:ascii="Times New Roman" w:hAnsi="Times New Roman" w:cs="Times New Roman"/>
        </w:rPr>
      </w:pPr>
    </w:p>
    <w:sectPr w:rsidR="003C3C48" w:rsidRPr="003C3C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D008F" w14:textId="77777777" w:rsidR="00BC7A21" w:rsidRDefault="00BC7A21" w:rsidP="00CF26F6">
      <w:r>
        <w:separator/>
      </w:r>
    </w:p>
  </w:endnote>
  <w:endnote w:type="continuationSeparator" w:id="0">
    <w:p w14:paraId="4A04BBA9" w14:textId="77777777" w:rsidR="00BC7A21" w:rsidRDefault="00BC7A21" w:rsidP="00CF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118C" w14:textId="77777777" w:rsidR="00BC7A21" w:rsidRDefault="00BC7A21" w:rsidP="00CF26F6">
      <w:r>
        <w:separator/>
      </w:r>
    </w:p>
  </w:footnote>
  <w:footnote w:type="continuationSeparator" w:id="0">
    <w:p w14:paraId="65413EDA" w14:textId="77777777" w:rsidR="00BC7A21" w:rsidRDefault="00BC7A21" w:rsidP="00CF2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41"/>
    <w:rsid w:val="00030CDC"/>
    <w:rsid w:val="000E5AB7"/>
    <w:rsid w:val="00145E74"/>
    <w:rsid w:val="00257C30"/>
    <w:rsid w:val="00337D41"/>
    <w:rsid w:val="0038124B"/>
    <w:rsid w:val="003C3C48"/>
    <w:rsid w:val="00452109"/>
    <w:rsid w:val="005D74C6"/>
    <w:rsid w:val="005F51D7"/>
    <w:rsid w:val="00727D79"/>
    <w:rsid w:val="008151B4"/>
    <w:rsid w:val="008548AA"/>
    <w:rsid w:val="0087627A"/>
    <w:rsid w:val="008B342C"/>
    <w:rsid w:val="008D06BF"/>
    <w:rsid w:val="00905090"/>
    <w:rsid w:val="00A40498"/>
    <w:rsid w:val="00A44033"/>
    <w:rsid w:val="00A9613A"/>
    <w:rsid w:val="00BC7A21"/>
    <w:rsid w:val="00CF26F6"/>
    <w:rsid w:val="00CF3B94"/>
    <w:rsid w:val="00D317E2"/>
    <w:rsid w:val="00D636B0"/>
    <w:rsid w:val="00DD7929"/>
    <w:rsid w:val="00E009F1"/>
    <w:rsid w:val="00E04EAF"/>
    <w:rsid w:val="00EC5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6FB95"/>
  <w15:chartTrackingRefBased/>
  <w15:docId w15:val="{38191CC5-BD38-4E43-9881-D113DA38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26F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F26F6"/>
    <w:rPr>
      <w:sz w:val="18"/>
      <w:szCs w:val="18"/>
    </w:rPr>
  </w:style>
  <w:style w:type="paragraph" w:styleId="a5">
    <w:name w:val="footer"/>
    <w:basedOn w:val="a"/>
    <w:link w:val="a6"/>
    <w:uiPriority w:val="99"/>
    <w:unhideWhenUsed/>
    <w:rsid w:val="00CF26F6"/>
    <w:pPr>
      <w:tabs>
        <w:tab w:val="center" w:pos="4153"/>
        <w:tab w:val="right" w:pos="8306"/>
      </w:tabs>
      <w:snapToGrid w:val="0"/>
      <w:jc w:val="left"/>
    </w:pPr>
    <w:rPr>
      <w:sz w:val="18"/>
      <w:szCs w:val="18"/>
    </w:rPr>
  </w:style>
  <w:style w:type="character" w:customStyle="1" w:styleId="a6">
    <w:name w:val="页脚 字符"/>
    <w:basedOn w:val="a0"/>
    <w:link w:val="a5"/>
    <w:uiPriority w:val="99"/>
    <w:rsid w:val="00CF26F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8</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XIAONAN</dc:creator>
  <cp:keywords/>
  <dc:description/>
  <cp:lastModifiedBy>ZHOU XIAONAN</cp:lastModifiedBy>
  <cp:revision>10</cp:revision>
  <dcterms:created xsi:type="dcterms:W3CDTF">2026-02-10T11:21:00Z</dcterms:created>
  <dcterms:modified xsi:type="dcterms:W3CDTF">2026-04-09T03:38:00Z</dcterms:modified>
</cp:coreProperties>
</file>