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material</w:t>
      </w: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382D">
        <w:rPr>
          <w:rFonts w:ascii="Times New Roman" w:hAnsi="Times New Roman" w:cs="Times New Roman"/>
          <w:b/>
          <w:sz w:val="20"/>
          <w:szCs w:val="20"/>
        </w:rPr>
        <w:t>Appendix 1</w:t>
      </w:r>
      <w:r>
        <w:rPr>
          <w:rFonts w:ascii="Times New Roman" w:hAnsi="Times New Roman" w:cs="Times New Roman"/>
          <w:b/>
          <w:sz w:val="20"/>
          <w:szCs w:val="20"/>
        </w:rPr>
        <w:t>: Quality assessment of the included studies with JBI tools</w:t>
      </w:r>
    </w:p>
    <w:p w:rsidR="00B50F68" w:rsidRDefault="00B50F68" w:rsidP="00B50F6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2230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832230">
        <w:rPr>
          <w:rFonts w:ascii="Times New Roman" w:hAnsi="Times New Roman" w:cs="Times New Roman"/>
          <w:b/>
          <w:sz w:val="20"/>
          <w:szCs w:val="20"/>
        </w:rPr>
        <w:t xml:space="preserve"> Quality assessment of the included studies on</w:t>
      </w:r>
      <w:r>
        <w:rPr>
          <w:rFonts w:ascii="Times New Roman" w:hAnsi="Times New Roman" w:cs="Times New Roman"/>
          <w:b/>
          <w:sz w:val="20"/>
          <w:szCs w:val="20"/>
        </w:rPr>
        <w:t xml:space="preserve"> risk factors associated with high occurrence of</w:t>
      </w:r>
      <w:r>
        <w:rPr>
          <w:rFonts w:ascii="Times New Roman" w:hAnsi="Times New Roman" w:cs="Times New Roman"/>
          <w:b/>
          <w:sz w:val="18"/>
          <w:szCs w:val="18"/>
        </w:rPr>
        <w:t xml:space="preserve"> HAIs among </w:t>
      </w:r>
      <w:r>
        <w:rPr>
          <w:rFonts w:ascii="Times New Roman" w:hAnsi="Times New Roman" w:cs="Times New Roman"/>
          <w:b/>
          <w:sz w:val="20"/>
          <w:szCs w:val="20"/>
        </w:rPr>
        <w:t>TB hospitalized</w:t>
      </w:r>
      <w:r w:rsidRPr="008D199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patients</w:t>
      </w:r>
      <w:r>
        <w:rPr>
          <w:rFonts w:ascii="Times New Roman" w:hAnsi="Times New Roman" w:cs="Times New Roman"/>
          <w:b/>
          <w:sz w:val="20"/>
          <w:szCs w:val="20"/>
        </w:rPr>
        <w:t xml:space="preserve"> with JBI checklist for cross-sectional study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71"/>
        <w:gridCol w:w="989"/>
        <w:gridCol w:w="957"/>
        <w:gridCol w:w="937"/>
        <w:gridCol w:w="937"/>
        <w:gridCol w:w="974"/>
        <w:gridCol w:w="937"/>
        <w:gridCol w:w="890"/>
        <w:gridCol w:w="893"/>
        <w:gridCol w:w="1038"/>
        <w:gridCol w:w="965"/>
        <w:gridCol w:w="968"/>
        <w:gridCol w:w="792"/>
      </w:tblGrid>
      <w:tr w:rsidR="00B50F68" w:rsidRPr="00625F5B" w:rsidTr="00F94DF6">
        <w:trPr>
          <w:jc w:val="center"/>
        </w:trPr>
        <w:tc>
          <w:tcPr>
            <w:tcW w:w="1311" w:type="pct"/>
            <w:gridSpan w:val="2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Questions/ Study</w:t>
            </w:r>
          </w:p>
        </w:tc>
        <w:tc>
          <w:tcPr>
            <w:tcW w:w="343" w:type="pct"/>
            <w:vAlign w:val="center"/>
          </w:tcPr>
          <w:p w:rsidR="00B50F68" w:rsidRPr="00E302EF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Xiang et al. (2019)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Jiang et al. (2019)</w:t>
            </w:r>
          </w:p>
        </w:tc>
        <w:tc>
          <w:tcPr>
            <w:tcW w:w="336" w:type="pct"/>
            <w:vAlign w:val="center"/>
          </w:tcPr>
          <w:p w:rsidR="00B50F68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Zhou et al. (2018)</w:t>
            </w:r>
          </w:p>
        </w:tc>
        <w:tc>
          <w:tcPr>
            <w:tcW w:w="349" w:type="pct"/>
            <w:vAlign w:val="center"/>
          </w:tcPr>
          <w:p w:rsidR="00B50F68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Huang et al. (2019)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Chen et al. (2018)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Liu et al. (2015)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Dai et al. (2014)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Gong &amp; Wang (2013)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Zhang et al. (2012)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Zhong et al. (2010)</w:t>
            </w:r>
          </w:p>
        </w:tc>
        <w:tc>
          <w:tcPr>
            <w:tcW w:w="284" w:type="pct"/>
            <w:vAlign w:val="center"/>
          </w:tcPr>
          <w:p w:rsidR="00B50F68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Zeng (2015)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1. Were the criteria for inclusion in the sample clearly defined?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2. Were the study subjects and the setting described in detail?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3. Was the exposure measured in a valid and reliable way?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4. Were objective, standard criteria used for measurement of the condition?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5. Were confounding factors identified?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6. Were strategies to deal with confounding factors stated?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7. Were the outcomes measured in a valid and reliable way?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 w:val="restar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 Was appropriate statistical analysis used?</w:t>
            </w: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F68" w:rsidRPr="00625F5B" w:rsidTr="00F94DF6">
        <w:trPr>
          <w:jc w:val="center"/>
        </w:trPr>
        <w:tc>
          <w:tcPr>
            <w:tcW w:w="957" w:type="pct"/>
            <w:vMerge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F5B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  <w:tc>
          <w:tcPr>
            <w:tcW w:w="343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B50F68" w:rsidRPr="00625F5B" w:rsidRDefault="00B50F68" w:rsidP="00F94D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50F68" w:rsidRDefault="00B50F68" w:rsidP="00B50F68">
      <w:pPr>
        <w:pStyle w:val="EndNoteBibliography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50F68" w:rsidRDefault="00B50F68" w:rsidP="00B50F68">
      <w:pPr>
        <w:pStyle w:val="EndNoteBibliography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Appendix 2: Forest plots of the risk factors in the meta-analyses</w:t>
      </w:r>
    </w:p>
    <w:p w:rsidR="00B50F68" w:rsidRDefault="00B50F68" w:rsidP="00B50F68">
      <w:pPr>
        <w:pStyle w:val="EndNoteBibliography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73B8B5" wp14:editId="6D81BEC9">
            <wp:extent cx="2874463" cy="11664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e-Forest pl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87" cy="117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581065A" wp14:editId="61DD82BC">
            <wp:extent cx="2875336" cy="1151466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mplications-Forest pl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917" cy="116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9ED508C" wp14:editId="7037D410">
            <wp:extent cx="2877373" cy="11639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iabetes mellitus-Forest pl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373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74C7">
        <w:rPr>
          <w:rFonts w:ascii="Times New Roman" w:hAnsi="Times New Roman" w:cs="Times New Roman"/>
          <w:b/>
          <w:sz w:val="16"/>
          <w:szCs w:val="16"/>
        </w:rPr>
        <w:t xml:space="preserve">Figure 1-1 Age (≥ 60 years vs. &lt; 60 years)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  <w:r w:rsidRPr="009F74C7">
        <w:rPr>
          <w:rFonts w:ascii="Times New Roman" w:hAnsi="Times New Roman" w:cs="Times New Roman"/>
          <w:b/>
          <w:sz w:val="16"/>
          <w:szCs w:val="16"/>
        </w:rPr>
        <w:t>Figure 1-2 Complications (Yes vs. No)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</w:t>
      </w:r>
      <w:r w:rsidRPr="009F74C7">
        <w:rPr>
          <w:rFonts w:ascii="Times New Roman" w:hAnsi="Times New Roman" w:cs="Times New Roman"/>
          <w:b/>
          <w:sz w:val="16"/>
          <w:szCs w:val="16"/>
        </w:rPr>
        <w:t xml:space="preserve"> Figure 1-3 Diabetes mellitus (Yes vs. No) </w:t>
      </w:r>
    </w:p>
    <w:p w:rsidR="00B50F68" w:rsidRPr="009F74C7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0F68" w:rsidRPr="009F74C7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74C7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28CF5569" wp14:editId="350C70B1">
            <wp:extent cx="2876576" cy="115146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ender-Forest pl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701" cy="115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394BFE15" wp14:editId="335F45EB">
            <wp:extent cx="2876675" cy="11518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vasive procedure-Forest plo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133" cy="11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9F74C7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690A1D7D" wp14:editId="441A2B70">
            <wp:extent cx="2910990" cy="11520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ngth of hospitalisation-Forest plo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99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BFE">
        <w:rPr>
          <w:rFonts w:ascii="Times New Roman" w:hAnsi="Times New Roman" w:cs="Times New Roman"/>
          <w:b/>
          <w:sz w:val="16"/>
          <w:szCs w:val="16"/>
        </w:rPr>
        <w:t xml:space="preserve">Figure 1-4 Gender (Male vs. Female)                                                    Figure 1-5 Invasive procedure (Yes vs. No)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Figure 1-6 Length of hospitaliz</w:t>
      </w:r>
      <w:r w:rsidRPr="00E16BFE">
        <w:rPr>
          <w:rFonts w:ascii="Times New Roman" w:hAnsi="Times New Roman" w:cs="Times New Roman"/>
          <w:b/>
          <w:sz w:val="16"/>
          <w:szCs w:val="16"/>
        </w:rPr>
        <w:t>ation (&gt; 15 days vs. ≤ 15 days)</w:t>
      </w: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3B013829" wp14:editId="38D459E2">
            <wp:extent cx="2877185" cy="1168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egativity of the sputum-Forest plo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131" cy="117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588F689" wp14:editId="3266D1E4">
            <wp:extent cx="2873901" cy="1143000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econdary tuberculosis-Forest plo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75" cy="115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4C7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D8EF5CA" wp14:editId="607817AE">
            <wp:extent cx="2876918" cy="116353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moking-Forest plo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343" cy="117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68" w:rsidRPr="009F74C7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BFE">
        <w:rPr>
          <w:rFonts w:ascii="Times New Roman" w:hAnsi="Times New Roman" w:cs="Times New Roman"/>
          <w:b/>
          <w:sz w:val="14"/>
          <w:szCs w:val="16"/>
        </w:rPr>
        <w:t>Figure 1-7 Negativity of the sputum smear for acid fact staining (Yes vs. No)</w:t>
      </w:r>
      <w:r w:rsidRPr="009F74C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9F74C7">
        <w:rPr>
          <w:rFonts w:ascii="Times New Roman" w:hAnsi="Times New Roman" w:cs="Times New Roman"/>
          <w:b/>
          <w:sz w:val="16"/>
          <w:szCs w:val="16"/>
        </w:rPr>
        <w:t>Figure 1-8 Secondary tuberculosis (Yes vs. No)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9F74C7">
        <w:rPr>
          <w:rFonts w:ascii="Times New Roman" w:hAnsi="Times New Roman" w:cs="Times New Roman"/>
          <w:b/>
          <w:sz w:val="16"/>
          <w:szCs w:val="16"/>
        </w:rPr>
        <w:t xml:space="preserve">Figure 1-9 Smoking (Yes vs. No) </w:t>
      </w:r>
    </w:p>
    <w:p w:rsidR="00B50F68" w:rsidRPr="00E16BFE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0F68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A314B1E" wp14:editId="501BC717">
            <wp:extent cx="4390608" cy="1156758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nderlying diseases-Forest plo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489" cy="116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4B1ADAC" wp14:editId="3F60840A">
            <wp:extent cx="4383012" cy="114659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se of antibiotics-Forest plo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535" cy="115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68" w:rsidRPr="009F74C7" w:rsidRDefault="00B50F68" w:rsidP="00B50F68">
      <w:pPr>
        <w:spacing w:line="36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9F74C7">
        <w:rPr>
          <w:rFonts w:ascii="Times New Roman" w:hAnsi="Times New Roman" w:cs="Times New Roman"/>
          <w:b/>
          <w:sz w:val="16"/>
          <w:szCs w:val="16"/>
        </w:rPr>
        <w:t>Figure 1-10 Underlying disease (Yes vs. No)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</w:t>
      </w:r>
      <w:r w:rsidRPr="009F74C7">
        <w:rPr>
          <w:rFonts w:ascii="Times New Roman" w:hAnsi="Times New Roman" w:cs="Times New Roman"/>
          <w:b/>
          <w:sz w:val="16"/>
          <w:szCs w:val="16"/>
        </w:rPr>
        <w:t xml:space="preserve">  Figure 1-11 Use of antibiotics (Yes vs. No) </w:t>
      </w:r>
    </w:p>
    <w:p w:rsidR="00B50F68" w:rsidRPr="00E16BFE" w:rsidRDefault="00B50F68" w:rsidP="00B50F68">
      <w:pPr>
        <w:pStyle w:val="EndNoteBibliography"/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C01277" w:rsidRDefault="00C01277">
      <w:bookmarkStart w:id="0" w:name="_GoBack"/>
      <w:bookmarkEnd w:id="0"/>
    </w:p>
    <w:sectPr w:rsidR="00C01277" w:rsidSect="00E77D3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68"/>
    <w:rsid w:val="00B50F68"/>
    <w:rsid w:val="00C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8A804-5D4E-4C17-ADCE-EC02B52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B50F68"/>
    <w:pPr>
      <w:spacing w:line="240" w:lineRule="auto"/>
      <w:jc w:val="both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0F68"/>
    <w:rPr>
      <w:rFonts w:ascii="Calibri" w:eastAsiaTheme="minorHAnsi" w:hAnsi="Calibri" w:cs="Calibr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Company>University of Manchester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Xinliang Liu</dc:creator>
  <cp:keywords/>
  <dc:description/>
  <cp:lastModifiedBy>Xinliang Liu</cp:lastModifiedBy>
  <cp:revision>1</cp:revision>
  <dcterms:created xsi:type="dcterms:W3CDTF">2021-12-08T12:19:00Z</dcterms:created>
  <dcterms:modified xsi:type="dcterms:W3CDTF">2021-12-08T12:19:00Z</dcterms:modified>
</cp:coreProperties>
</file>