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7465C" w14:textId="77777777" w:rsidR="00FC39D1" w:rsidRPr="00703976" w:rsidRDefault="00FC39D1" w:rsidP="00FC39D1">
      <w:pPr>
        <w:spacing w:before="0" w:after="0"/>
        <w:rPr>
          <w:rFonts w:cs="Times New Roman"/>
          <w:b/>
          <w:bCs/>
          <w:szCs w:val="24"/>
          <w:lang w:val="en-PH"/>
        </w:rPr>
      </w:pPr>
      <w:r w:rsidRPr="00703976">
        <w:rPr>
          <w:rFonts w:cs="Times New Roman"/>
          <w:b/>
          <w:bCs/>
          <w:szCs w:val="24"/>
          <w:lang w:val="en-PH"/>
        </w:rPr>
        <w:t>Supplemental Materials</w:t>
      </w:r>
    </w:p>
    <w:p w14:paraId="1883263E" w14:textId="77777777" w:rsidR="00FC39D1" w:rsidRPr="00703976" w:rsidRDefault="00FC39D1" w:rsidP="00FC39D1">
      <w:pPr>
        <w:spacing w:before="0" w:after="0"/>
        <w:rPr>
          <w:rFonts w:cs="Times New Roman"/>
          <w:b/>
          <w:bCs/>
          <w:szCs w:val="24"/>
          <w:lang w:val="en-PH"/>
        </w:rPr>
      </w:pPr>
    </w:p>
    <w:p w14:paraId="7A5EE4CC" w14:textId="77777777" w:rsidR="00FC39D1" w:rsidRPr="00703976" w:rsidRDefault="00FC39D1" w:rsidP="00FC39D1">
      <w:pPr>
        <w:pStyle w:val="NormalWeb"/>
        <w:spacing w:before="0" w:beforeAutospacing="0" w:after="0" w:afterAutospacing="0"/>
      </w:pPr>
      <w:r w:rsidRPr="00703976">
        <w:rPr>
          <w:b/>
          <w:bCs/>
        </w:rPr>
        <w:t>Table S1. DAS-ELISA absorbance values (OD₄₀₅) of rice accessions carrying eIF4G</w:t>
      </w:r>
      <w:r w:rsidRPr="00703976">
        <w:rPr>
          <w:b/>
          <w:bCs/>
          <w:i/>
          <w:iCs/>
          <w:vertAlign w:val="superscript"/>
        </w:rPr>
        <w:t>tsv1</w:t>
      </w:r>
      <w:r w:rsidRPr="00703976">
        <w:rPr>
          <w:b/>
          <w:bCs/>
        </w:rPr>
        <w:t xml:space="preserve"> alleles following RTSV inoculation.</w:t>
      </w:r>
      <w:r w:rsidRPr="00703976">
        <w:t xml:space="preserve"> Ten biological replicates were evaluated per accession. Mean OD₄₀₅ values were compared with the susceptible control TN1 and the resistant control TW16 using two-sample, two-tailed Welch’s </w:t>
      </w:r>
      <w:r w:rsidRPr="00703976">
        <w:rPr>
          <w:i/>
          <w:iCs/>
        </w:rPr>
        <w:t>t</w:t>
      </w:r>
      <w:r w:rsidRPr="00703976">
        <w:t xml:space="preserve">-tests. P-values were adjusted for multiple testing using the Benjamini-Hochberg (BH) procedure. Accessions were classified as resistant (R) when they differed significantly from TN1 (BH-adjusted </w:t>
      </w:r>
      <w:r w:rsidRPr="00703976">
        <w:rPr>
          <w:i/>
          <w:iCs/>
        </w:rPr>
        <w:t>p</w:t>
      </w:r>
      <w:r w:rsidRPr="00703976">
        <w:t xml:space="preserve">-value ≤ 0.001) but not from TW16 (BH-adjusted </w:t>
      </w:r>
      <w:r w:rsidRPr="00703976">
        <w:rPr>
          <w:i/>
          <w:iCs/>
        </w:rPr>
        <w:t>p</w:t>
      </w:r>
      <w:r w:rsidRPr="00703976">
        <w:t xml:space="preserve">-value &gt; 0.001), and as susceptible (S) when they did not differ significantly from TN1 (BH-adjusted </w:t>
      </w:r>
      <w:r w:rsidRPr="00703976">
        <w:rPr>
          <w:i/>
          <w:iCs/>
        </w:rPr>
        <w:t>p</w:t>
      </w:r>
      <w:r w:rsidRPr="00703976">
        <w:t xml:space="preserve">-value &gt; 0.001) but differed significantly from TW16 (BH-adjusted </w:t>
      </w:r>
      <w:r w:rsidRPr="00703976">
        <w:rPr>
          <w:i/>
          <w:iCs/>
        </w:rPr>
        <w:t>p</w:t>
      </w:r>
      <w:r w:rsidRPr="00703976">
        <w:t xml:space="preserve">-value ≤ 0.001). For accessions differing significantly from both controls, classification was assigned based on the higher adjusted </w:t>
      </w:r>
      <w:r w:rsidRPr="00703976">
        <w:rPr>
          <w:i/>
          <w:iCs/>
        </w:rPr>
        <w:t>p</w:t>
      </w:r>
      <w:r w:rsidRPr="00703976">
        <w:t>-value, indicating greater similarity to either the resistant or susceptible control.</w:t>
      </w:r>
    </w:p>
    <w:p w14:paraId="257C62DE" w14:textId="77777777" w:rsidR="00FC39D1" w:rsidRPr="00703976" w:rsidRDefault="00FC39D1" w:rsidP="00FC39D1">
      <w:pPr>
        <w:pStyle w:val="NormalWeb"/>
        <w:spacing w:before="0" w:beforeAutospacing="0" w:after="0" w:afterAutospacing="0"/>
      </w:pPr>
    </w:p>
    <w:p w14:paraId="2FE9A2C2" w14:textId="77777777" w:rsidR="00FC39D1" w:rsidRPr="00703976" w:rsidRDefault="00FC39D1" w:rsidP="00FC39D1">
      <w:pPr>
        <w:pStyle w:val="NormalWeb"/>
        <w:spacing w:before="0" w:beforeAutospacing="0" w:after="0" w:afterAutospacing="0"/>
      </w:pPr>
      <w:r w:rsidRPr="00703976">
        <w:rPr>
          <w:b/>
          <w:bCs/>
        </w:rPr>
        <w:t>Table S2. Rice accessions used for eIF4G</w:t>
      </w:r>
      <w:r w:rsidRPr="00703976">
        <w:rPr>
          <w:b/>
          <w:bCs/>
          <w:i/>
          <w:iCs/>
          <w:vertAlign w:val="superscript"/>
        </w:rPr>
        <w:t xml:space="preserve">tsv1 </w:t>
      </w:r>
      <w:r w:rsidRPr="00703976">
        <w:rPr>
          <w:b/>
          <w:bCs/>
        </w:rPr>
        <w:t>allele mining.</w:t>
      </w:r>
      <w:r w:rsidRPr="00703976">
        <w:t xml:space="preserve"> The table lists the rice accessions evaluated in this study, including accession name, International Rice Genebank Collection (IRGC) number, rice subpopulation classification, geographic origin, continental distribution. Accessions were classified into subpopulations based on available germplasm information. “</w:t>
      </w:r>
      <w:r>
        <w:t>-</w:t>
      </w:r>
      <w:r w:rsidRPr="00703976">
        <w:t>” indicates unavailable metadata for origin or continent.</w:t>
      </w:r>
    </w:p>
    <w:p w14:paraId="3115CA96" w14:textId="77777777" w:rsidR="00FC39D1" w:rsidRPr="00703976" w:rsidRDefault="00FC39D1" w:rsidP="00FC39D1">
      <w:pPr>
        <w:pStyle w:val="NormalWeb"/>
        <w:spacing w:before="0" w:beforeAutospacing="0" w:after="0" w:afterAutospacing="0"/>
      </w:pPr>
    </w:p>
    <w:p w14:paraId="2C09BBBA" w14:textId="77777777" w:rsidR="00FC39D1" w:rsidRPr="00703976" w:rsidRDefault="00FC39D1" w:rsidP="00FC39D1">
      <w:pPr>
        <w:pStyle w:val="NormalWeb"/>
        <w:spacing w:before="0" w:beforeAutospacing="0" w:after="0" w:afterAutospacing="0"/>
      </w:pPr>
      <w:r w:rsidRPr="00703976">
        <w:rPr>
          <w:b/>
          <w:bCs/>
        </w:rPr>
        <w:t>Table S3. PACE assay primer sequences of  eIF4G</w:t>
      </w:r>
      <w:r w:rsidRPr="00703976">
        <w:rPr>
          <w:b/>
          <w:bCs/>
          <w:i/>
          <w:iCs/>
          <w:vertAlign w:val="superscript"/>
        </w:rPr>
        <w:t xml:space="preserve">tsv1 </w:t>
      </w:r>
      <w:r w:rsidRPr="00703976">
        <w:rPr>
          <w:b/>
          <w:bCs/>
        </w:rPr>
        <w:t>resistant alleles identified in this study</w:t>
      </w:r>
      <w:r w:rsidRPr="00703976">
        <w:t>. Each marker set consists of two allele-specific forward primers labeled with FAM and HEX fluorophores for discrimination of resistant (R) and susceptible (S) alleles, respectively, together with a common reverse primer.</w:t>
      </w:r>
    </w:p>
    <w:p w14:paraId="0C73A33E" w14:textId="77777777" w:rsidR="00FC39D1" w:rsidRPr="00703976" w:rsidRDefault="00FC39D1" w:rsidP="00FC39D1">
      <w:pPr>
        <w:pStyle w:val="NormalWeb"/>
        <w:spacing w:before="0" w:beforeAutospacing="0" w:after="0" w:afterAutospacing="0"/>
      </w:pPr>
    </w:p>
    <w:p w14:paraId="4B4A3EBD" w14:textId="77777777" w:rsidR="00FC39D1" w:rsidRPr="00703976" w:rsidRDefault="00FC39D1" w:rsidP="00FC39D1">
      <w:pPr>
        <w:pStyle w:val="NormalWeb"/>
        <w:spacing w:before="0" w:beforeAutospacing="0" w:after="0" w:afterAutospacing="0"/>
      </w:pPr>
      <w:r w:rsidRPr="00703976">
        <w:rPr>
          <w:b/>
          <w:bCs/>
        </w:rPr>
        <w:t>Table S4. Rice accessions used in the PACE assay and their corresponding eIF4G</w:t>
      </w:r>
      <w:r w:rsidRPr="00703976">
        <w:rPr>
          <w:b/>
          <w:bCs/>
          <w:i/>
          <w:iCs/>
          <w:vertAlign w:val="superscript"/>
        </w:rPr>
        <w:t xml:space="preserve">tsv1 </w:t>
      </w:r>
      <w:r w:rsidRPr="00703976">
        <w:rPr>
          <w:b/>
          <w:bCs/>
        </w:rPr>
        <w:t>alleles and RTSV accumulation</w:t>
      </w:r>
      <w:r w:rsidRPr="00703976">
        <w:t>. RTSV accumulation was estimated by DAS-ELISA and is presented as optical density (OD</w:t>
      </w:r>
      <w:r w:rsidRPr="00703976">
        <w:rPr>
          <w:vertAlign w:val="subscript"/>
        </w:rPr>
        <w:t>405</w:t>
      </w:r>
      <w:r w:rsidRPr="00703976">
        <w:t>) values measured at 405 nm.</w:t>
      </w:r>
    </w:p>
    <w:p w14:paraId="7A55C1DB" w14:textId="77777777" w:rsidR="00FC39D1" w:rsidRPr="00703976" w:rsidRDefault="00FC39D1" w:rsidP="00FC39D1">
      <w:pPr>
        <w:pStyle w:val="NormalWeb"/>
        <w:spacing w:before="0" w:beforeAutospacing="0" w:after="0" w:afterAutospacing="0"/>
      </w:pPr>
    </w:p>
    <w:p w14:paraId="46FAEFA9" w14:textId="77777777" w:rsidR="00FC39D1" w:rsidRPr="00703976" w:rsidRDefault="00FC39D1" w:rsidP="00FC39D1">
      <w:pPr>
        <w:pStyle w:val="NormalWeb"/>
        <w:spacing w:before="0" w:beforeAutospacing="0" w:after="0" w:afterAutospacing="0"/>
      </w:pPr>
      <w:r w:rsidRPr="00703976">
        <w:rPr>
          <w:b/>
          <w:bCs/>
        </w:rPr>
        <w:t xml:space="preserve">Table S5. Tungro disease severity of IRRI154, IR23X1020, and control varieties following RTSV inoculation. </w:t>
      </w:r>
      <w:r w:rsidRPr="00703976">
        <w:t>Disease severity was evaluated using a 1-9 standard evaluation scale based on plant height reduction and leaf discoloration symptoms. Scale scores were defined as follows: 1, no symptoms; 3, 1-10% plant height reduction without distinct leaf discoloration; 5, 11-30% plant height reduction without distinct leaf discoloration; 7, 31-50% plant height reduction with yellow to orange leaf discoloration; and 9, &gt;50% plant height reduction with yellow to orange leaf discoloration. Disease index (DI) values were computed from individual plant scores and classified as resistant (R), moderately resistant (M), or susceptible (S). TN1 was included as S control, while TW16 served as the R control.</w:t>
      </w:r>
    </w:p>
    <w:p w14:paraId="23C8FF09" w14:textId="77777777" w:rsidR="00FC39D1" w:rsidRPr="00703976" w:rsidRDefault="00FC39D1" w:rsidP="00FC39D1">
      <w:pPr>
        <w:pStyle w:val="NormalWeb"/>
        <w:spacing w:before="0" w:beforeAutospacing="0" w:after="0" w:afterAutospacing="0"/>
      </w:pPr>
    </w:p>
    <w:p w14:paraId="70ECD189" w14:textId="77777777" w:rsidR="00FC39D1" w:rsidRPr="00703976" w:rsidRDefault="00FC39D1" w:rsidP="00FC39D1">
      <w:pPr>
        <w:pStyle w:val="NormalWeb"/>
        <w:spacing w:before="0" w:beforeAutospacing="0" w:after="0" w:afterAutospacing="0"/>
        <w:rPr>
          <w:b/>
          <w:bCs/>
        </w:rPr>
      </w:pPr>
      <w:r w:rsidRPr="00703976">
        <w:rPr>
          <w:b/>
          <w:bCs/>
        </w:rPr>
        <w:t>Table S6. Thermal cycling conditions used for PACE PCR genotyping of eIF4Gtsv1 alleles.</w:t>
      </w:r>
    </w:p>
    <w:p w14:paraId="482F69BC" w14:textId="77777777" w:rsidR="00FC39D1" w:rsidRPr="00703976" w:rsidRDefault="00FC39D1" w:rsidP="00FC39D1">
      <w:pPr>
        <w:spacing w:before="0" w:after="0"/>
        <w:rPr>
          <w:rFonts w:cs="Times New Roman"/>
          <w:b/>
          <w:bCs/>
          <w:szCs w:val="24"/>
          <w:lang w:val="en-PH"/>
        </w:rPr>
      </w:pPr>
    </w:p>
    <w:p w14:paraId="5DF8199A" w14:textId="77777777" w:rsidR="00FC39D1" w:rsidRPr="00703976" w:rsidRDefault="00FC39D1" w:rsidP="00FC39D1">
      <w:pPr>
        <w:spacing w:before="0" w:after="0"/>
        <w:rPr>
          <w:rFonts w:cs="Times New Roman"/>
          <w:b/>
          <w:bCs/>
          <w:szCs w:val="24"/>
        </w:rPr>
      </w:pPr>
    </w:p>
    <w:p w14:paraId="11FB0DA7" w14:textId="77777777" w:rsidR="00FC39D1" w:rsidRPr="00703976" w:rsidRDefault="00FC39D1" w:rsidP="00FC39D1">
      <w:pPr>
        <w:spacing w:before="0" w:after="0"/>
        <w:rPr>
          <w:rFonts w:cs="Times New Roman"/>
          <w:b/>
          <w:bCs/>
        </w:rPr>
      </w:pPr>
      <w:r w:rsidRPr="00703976">
        <w:rPr>
          <w:rFonts w:cs="Times New Roman"/>
          <w:b/>
          <w:bCs/>
          <w:noProof/>
          <w14:ligatures w14:val="standardContextual"/>
        </w:rPr>
        <w:lastRenderedPageBreak/>
        <w:drawing>
          <wp:anchor distT="0" distB="0" distL="114300" distR="114300" simplePos="0" relativeHeight="251659264" behindDoc="0" locked="0" layoutInCell="1" allowOverlap="1" wp14:anchorId="4326FB33" wp14:editId="497FA50D">
            <wp:simplePos x="0" y="0"/>
            <wp:positionH relativeFrom="margin">
              <wp:posOffset>964565</wp:posOffset>
            </wp:positionH>
            <wp:positionV relativeFrom="paragraph">
              <wp:posOffset>167640</wp:posOffset>
            </wp:positionV>
            <wp:extent cx="3898265" cy="4330065"/>
            <wp:effectExtent l="0" t="0" r="635" b="635"/>
            <wp:wrapSquare wrapText="bothSides"/>
            <wp:docPr id="1434381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381963" name="Picture 1434381963"/>
                    <pic:cNvPicPr/>
                  </pic:nvPicPr>
                  <pic:blipFill>
                    <a:blip r:embed="rId4" cstate="print">
                      <a:extLst>
                        <a:ext uri="{28A0092B-C50C-407E-A947-70E740481C1C}">
                          <a14:useLocalDpi xmlns:a14="http://schemas.microsoft.com/office/drawing/2010/main" val="0"/>
                        </a:ext>
                      </a:extLst>
                    </a:blip>
                    <a:stretch>
                      <a:fillRect/>
                    </a:stretch>
                  </pic:blipFill>
                  <pic:spPr>
                    <a:xfrm>
                      <a:off x="0" y="0"/>
                      <a:ext cx="3898265" cy="4330065"/>
                    </a:xfrm>
                    <a:prstGeom prst="rect">
                      <a:avLst/>
                    </a:prstGeom>
                  </pic:spPr>
                </pic:pic>
              </a:graphicData>
            </a:graphic>
            <wp14:sizeRelH relativeFrom="margin">
              <wp14:pctWidth>0</wp14:pctWidth>
            </wp14:sizeRelH>
            <wp14:sizeRelV relativeFrom="margin">
              <wp14:pctHeight>0</wp14:pctHeight>
            </wp14:sizeRelV>
          </wp:anchor>
        </w:drawing>
      </w:r>
    </w:p>
    <w:p w14:paraId="674777F0" w14:textId="77777777" w:rsidR="00FC39D1" w:rsidRPr="00703976" w:rsidRDefault="00FC39D1" w:rsidP="00FC39D1">
      <w:pPr>
        <w:spacing w:before="0" w:after="0"/>
        <w:rPr>
          <w:rFonts w:cs="Times New Roman"/>
          <w:b/>
          <w:bCs/>
        </w:rPr>
      </w:pPr>
    </w:p>
    <w:p w14:paraId="3BD11BD6" w14:textId="77777777" w:rsidR="00FC39D1" w:rsidRPr="00703976" w:rsidRDefault="00FC39D1" w:rsidP="00FC39D1">
      <w:pPr>
        <w:spacing w:before="0" w:after="0"/>
        <w:rPr>
          <w:rFonts w:cs="Times New Roman"/>
          <w:b/>
          <w:bCs/>
        </w:rPr>
      </w:pPr>
    </w:p>
    <w:p w14:paraId="6025BEED" w14:textId="77777777" w:rsidR="00FC39D1" w:rsidRPr="00703976" w:rsidRDefault="00FC39D1" w:rsidP="00FC39D1">
      <w:pPr>
        <w:spacing w:before="0" w:after="0"/>
        <w:rPr>
          <w:rFonts w:cs="Times New Roman"/>
          <w:b/>
          <w:bCs/>
        </w:rPr>
      </w:pPr>
    </w:p>
    <w:p w14:paraId="231A704D" w14:textId="77777777" w:rsidR="00FC39D1" w:rsidRPr="00703976" w:rsidRDefault="00FC39D1" w:rsidP="00FC39D1">
      <w:pPr>
        <w:spacing w:before="0" w:after="0"/>
        <w:rPr>
          <w:rFonts w:cs="Times New Roman"/>
          <w:b/>
          <w:bCs/>
        </w:rPr>
      </w:pPr>
    </w:p>
    <w:p w14:paraId="48530A85" w14:textId="77777777" w:rsidR="00FC39D1" w:rsidRPr="00703976" w:rsidRDefault="00FC39D1" w:rsidP="00FC39D1">
      <w:pPr>
        <w:spacing w:before="0" w:after="0"/>
        <w:rPr>
          <w:rFonts w:cs="Times New Roman"/>
          <w:b/>
          <w:bCs/>
        </w:rPr>
      </w:pPr>
    </w:p>
    <w:p w14:paraId="34C77446" w14:textId="77777777" w:rsidR="00FC39D1" w:rsidRPr="00703976" w:rsidRDefault="00FC39D1" w:rsidP="00FC39D1">
      <w:pPr>
        <w:spacing w:before="0" w:after="0"/>
        <w:rPr>
          <w:rFonts w:cs="Times New Roman"/>
          <w:b/>
          <w:bCs/>
        </w:rPr>
      </w:pPr>
    </w:p>
    <w:p w14:paraId="62C460BE" w14:textId="77777777" w:rsidR="00FC39D1" w:rsidRPr="00703976" w:rsidRDefault="00FC39D1" w:rsidP="00FC39D1">
      <w:pPr>
        <w:spacing w:before="0" w:after="0"/>
        <w:rPr>
          <w:rFonts w:cs="Times New Roman"/>
          <w:b/>
          <w:bCs/>
        </w:rPr>
      </w:pPr>
    </w:p>
    <w:p w14:paraId="22C04586" w14:textId="77777777" w:rsidR="00FC39D1" w:rsidRPr="00703976" w:rsidRDefault="00FC39D1" w:rsidP="00FC39D1">
      <w:pPr>
        <w:spacing w:before="0" w:after="0"/>
        <w:rPr>
          <w:rFonts w:cs="Times New Roman"/>
          <w:b/>
          <w:bCs/>
        </w:rPr>
      </w:pPr>
    </w:p>
    <w:p w14:paraId="4537D9C1" w14:textId="77777777" w:rsidR="00FC39D1" w:rsidRPr="00703976" w:rsidRDefault="00FC39D1" w:rsidP="00FC39D1">
      <w:pPr>
        <w:spacing w:before="0" w:after="0"/>
        <w:rPr>
          <w:rFonts w:cs="Times New Roman"/>
          <w:b/>
          <w:bCs/>
        </w:rPr>
      </w:pPr>
    </w:p>
    <w:p w14:paraId="0AA9A42C" w14:textId="77777777" w:rsidR="00FC39D1" w:rsidRPr="00703976" w:rsidRDefault="00FC39D1" w:rsidP="00FC39D1">
      <w:pPr>
        <w:spacing w:before="0" w:after="0"/>
        <w:rPr>
          <w:rFonts w:cs="Times New Roman"/>
          <w:b/>
          <w:bCs/>
        </w:rPr>
      </w:pPr>
    </w:p>
    <w:p w14:paraId="290BE468" w14:textId="77777777" w:rsidR="00FC39D1" w:rsidRPr="00703976" w:rsidRDefault="00FC39D1" w:rsidP="00FC39D1">
      <w:pPr>
        <w:spacing w:before="0" w:after="0"/>
        <w:rPr>
          <w:rFonts w:cs="Times New Roman"/>
          <w:b/>
          <w:bCs/>
        </w:rPr>
      </w:pPr>
    </w:p>
    <w:p w14:paraId="48463B01" w14:textId="77777777" w:rsidR="00FC39D1" w:rsidRPr="00703976" w:rsidRDefault="00FC39D1" w:rsidP="00FC39D1">
      <w:pPr>
        <w:spacing w:before="0" w:after="0"/>
        <w:rPr>
          <w:rFonts w:cs="Times New Roman"/>
          <w:b/>
          <w:bCs/>
        </w:rPr>
      </w:pPr>
    </w:p>
    <w:p w14:paraId="49526B4E" w14:textId="77777777" w:rsidR="00FC39D1" w:rsidRPr="00703976" w:rsidRDefault="00FC39D1" w:rsidP="00FC39D1">
      <w:pPr>
        <w:spacing w:before="0" w:after="0"/>
        <w:rPr>
          <w:rFonts w:cs="Times New Roman"/>
          <w:b/>
          <w:bCs/>
        </w:rPr>
      </w:pPr>
    </w:p>
    <w:p w14:paraId="79EB7649" w14:textId="77777777" w:rsidR="00FC39D1" w:rsidRPr="00703976" w:rsidRDefault="00FC39D1" w:rsidP="00FC39D1">
      <w:pPr>
        <w:spacing w:before="0" w:after="0"/>
        <w:rPr>
          <w:rFonts w:cs="Times New Roman"/>
          <w:b/>
          <w:bCs/>
        </w:rPr>
      </w:pPr>
    </w:p>
    <w:p w14:paraId="5925BE63" w14:textId="77777777" w:rsidR="00FC39D1" w:rsidRPr="00703976" w:rsidRDefault="00FC39D1" w:rsidP="00FC39D1">
      <w:pPr>
        <w:spacing w:before="0" w:after="0"/>
        <w:rPr>
          <w:rFonts w:cs="Times New Roman"/>
          <w:b/>
          <w:bCs/>
        </w:rPr>
      </w:pPr>
    </w:p>
    <w:p w14:paraId="1805BD26" w14:textId="77777777" w:rsidR="00FC39D1" w:rsidRPr="00703976" w:rsidRDefault="00FC39D1" w:rsidP="00FC39D1">
      <w:pPr>
        <w:spacing w:before="0" w:after="0"/>
        <w:rPr>
          <w:rFonts w:cs="Times New Roman"/>
          <w:b/>
          <w:bCs/>
        </w:rPr>
      </w:pPr>
    </w:p>
    <w:p w14:paraId="2F3624D6" w14:textId="77777777" w:rsidR="00FC39D1" w:rsidRPr="00703976" w:rsidRDefault="00FC39D1" w:rsidP="00FC39D1">
      <w:pPr>
        <w:spacing w:before="0" w:after="0"/>
        <w:rPr>
          <w:rFonts w:cs="Times New Roman"/>
          <w:b/>
          <w:bCs/>
        </w:rPr>
      </w:pPr>
    </w:p>
    <w:p w14:paraId="4B2FEAE7" w14:textId="77777777" w:rsidR="00FC39D1" w:rsidRPr="00703976" w:rsidRDefault="00FC39D1" w:rsidP="00FC39D1">
      <w:pPr>
        <w:spacing w:before="0" w:after="0"/>
        <w:rPr>
          <w:rFonts w:cs="Times New Roman"/>
          <w:b/>
          <w:bCs/>
        </w:rPr>
      </w:pPr>
    </w:p>
    <w:p w14:paraId="08536C80" w14:textId="77777777" w:rsidR="00FC39D1" w:rsidRPr="00703976" w:rsidRDefault="00FC39D1" w:rsidP="00FC39D1">
      <w:pPr>
        <w:spacing w:before="0" w:after="0"/>
        <w:rPr>
          <w:rFonts w:cs="Times New Roman"/>
          <w:b/>
          <w:bCs/>
        </w:rPr>
      </w:pPr>
    </w:p>
    <w:p w14:paraId="0376100B" w14:textId="77777777" w:rsidR="00FC39D1" w:rsidRPr="00703976" w:rsidRDefault="00FC39D1" w:rsidP="00FC39D1">
      <w:pPr>
        <w:spacing w:before="0" w:after="0"/>
        <w:rPr>
          <w:rFonts w:cs="Times New Roman"/>
          <w:b/>
          <w:bCs/>
        </w:rPr>
      </w:pPr>
    </w:p>
    <w:p w14:paraId="6352298C" w14:textId="77777777" w:rsidR="00FC39D1" w:rsidRPr="00703976" w:rsidRDefault="00FC39D1" w:rsidP="00FC39D1">
      <w:pPr>
        <w:spacing w:before="0" w:after="0"/>
        <w:rPr>
          <w:rFonts w:cs="Times New Roman"/>
          <w:b/>
          <w:bCs/>
        </w:rPr>
      </w:pPr>
    </w:p>
    <w:p w14:paraId="6210B87F" w14:textId="77777777" w:rsidR="00FC39D1" w:rsidRPr="00703976" w:rsidRDefault="00FC39D1" w:rsidP="00FC39D1">
      <w:pPr>
        <w:spacing w:before="0" w:after="0"/>
        <w:rPr>
          <w:rFonts w:cs="Times New Roman"/>
          <w:b/>
          <w:bCs/>
        </w:rPr>
      </w:pPr>
    </w:p>
    <w:p w14:paraId="3682DBC5" w14:textId="77777777" w:rsidR="00FC39D1" w:rsidRPr="00703976" w:rsidRDefault="00FC39D1" w:rsidP="00FC39D1">
      <w:pPr>
        <w:spacing w:before="0" w:after="0"/>
        <w:rPr>
          <w:rFonts w:cs="Times New Roman"/>
          <w:b/>
          <w:bCs/>
        </w:rPr>
      </w:pPr>
    </w:p>
    <w:p w14:paraId="5535E32A" w14:textId="77777777" w:rsidR="00FC39D1" w:rsidRPr="00703976" w:rsidRDefault="00FC39D1" w:rsidP="00FC39D1">
      <w:pPr>
        <w:spacing w:before="0" w:after="0"/>
        <w:rPr>
          <w:rFonts w:cs="Times New Roman"/>
          <w:b/>
          <w:bCs/>
        </w:rPr>
      </w:pPr>
    </w:p>
    <w:p w14:paraId="0F58B0DB" w14:textId="77777777" w:rsidR="00FC39D1" w:rsidRPr="00703976" w:rsidRDefault="00FC39D1" w:rsidP="00FC39D1">
      <w:pPr>
        <w:spacing w:before="0" w:after="0"/>
        <w:rPr>
          <w:rFonts w:cs="Times New Roman"/>
          <w:b/>
          <w:bCs/>
        </w:rPr>
      </w:pPr>
    </w:p>
    <w:p w14:paraId="588578EE" w14:textId="77777777" w:rsidR="00FC39D1" w:rsidRPr="00703976" w:rsidRDefault="00FC39D1" w:rsidP="00FC39D1">
      <w:pPr>
        <w:spacing w:before="0" w:after="0"/>
        <w:rPr>
          <w:rFonts w:cs="Times New Roman"/>
        </w:rPr>
      </w:pPr>
      <w:r w:rsidRPr="00703976">
        <w:rPr>
          <w:rFonts w:cs="Times New Roman"/>
          <w:b/>
          <w:bCs/>
        </w:rPr>
        <w:t>Figure S1.</w:t>
      </w:r>
      <w:r w:rsidRPr="00703976">
        <w:rPr>
          <w:b/>
          <w:bCs/>
          <w:lang w:val="en-PH"/>
        </w:rPr>
        <w:t xml:space="preserve"> Genome-wide association analysis of RTSV response in 345 rice accessions. </w:t>
      </w:r>
      <w:r w:rsidRPr="00703976">
        <w:rPr>
          <w:rFonts w:cs="Times New Roman"/>
        </w:rPr>
        <w:t>Manhattan plots (left) and corresponding quantile-quantile (QQ) plots (right) generated using the log-likelihood ratio test (top), Wald test (middle), and score test (bottom). Horizontal lines indicate the significance threshold.</w:t>
      </w:r>
    </w:p>
    <w:p w14:paraId="137D2538" w14:textId="77777777" w:rsidR="00FC39D1" w:rsidRPr="00703976" w:rsidRDefault="00FC39D1" w:rsidP="00FC39D1">
      <w:pPr>
        <w:spacing w:before="0" w:after="0"/>
        <w:rPr>
          <w:rFonts w:cs="Times New Roman"/>
        </w:rPr>
      </w:pPr>
    </w:p>
    <w:p w14:paraId="43099841" w14:textId="77777777" w:rsidR="00FC39D1" w:rsidRPr="00703976" w:rsidRDefault="00FC39D1" w:rsidP="00FC39D1">
      <w:pPr>
        <w:spacing w:before="0" w:after="0"/>
        <w:rPr>
          <w:rFonts w:cs="Times New Roman"/>
        </w:rPr>
      </w:pPr>
    </w:p>
    <w:p w14:paraId="6222D751" w14:textId="77777777" w:rsidR="00FC39D1" w:rsidRPr="00703976" w:rsidRDefault="00FC39D1" w:rsidP="00FC39D1">
      <w:pPr>
        <w:spacing w:before="0" w:after="0"/>
        <w:rPr>
          <w:rFonts w:cs="Times New Roman"/>
        </w:rPr>
      </w:pPr>
      <w:r w:rsidRPr="00703976">
        <w:rPr>
          <w:rFonts w:cs="Times New Roman"/>
          <w:noProof/>
          <w14:ligatures w14:val="standardContextual"/>
        </w:rPr>
        <w:drawing>
          <wp:inline distT="0" distB="0" distL="0" distR="0" wp14:anchorId="40EBAF2D" wp14:editId="2CAC27D1">
            <wp:extent cx="6139543" cy="2653412"/>
            <wp:effectExtent l="0" t="0" r="0" b="1270"/>
            <wp:docPr id="3072813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81378" name="Picture 307281378"/>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65242" cy="2664519"/>
                    </a:xfrm>
                    <a:prstGeom prst="rect">
                      <a:avLst/>
                    </a:prstGeom>
                  </pic:spPr>
                </pic:pic>
              </a:graphicData>
            </a:graphic>
          </wp:inline>
        </w:drawing>
      </w:r>
    </w:p>
    <w:p w14:paraId="6DAB393B" w14:textId="77777777" w:rsidR="00FC39D1" w:rsidRPr="00703976" w:rsidRDefault="00FC39D1" w:rsidP="00FC39D1">
      <w:pPr>
        <w:spacing w:before="0" w:after="0"/>
        <w:rPr>
          <w:rFonts w:cs="Times New Roman"/>
        </w:rPr>
      </w:pPr>
    </w:p>
    <w:p w14:paraId="5CBF8178" w14:textId="77777777" w:rsidR="00FC39D1" w:rsidRPr="00703976" w:rsidRDefault="00FC39D1" w:rsidP="00FC39D1">
      <w:pPr>
        <w:spacing w:before="0" w:after="0"/>
        <w:rPr>
          <w:rFonts w:cs="Times New Roman"/>
          <w:b/>
          <w:lang w:val="en-PH"/>
        </w:rPr>
      </w:pPr>
      <w:r w:rsidRPr="00703976">
        <w:rPr>
          <w:rFonts w:cs="Times New Roman"/>
          <w:b/>
          <w:bCs/>
          <w:lang w:val="en-PH"/>
        </w:rPr>
        <w:t>Figure S2. PACE clustering plots for the TKM allele.</w:t>
      </w:r>
      <w:r w:rsidRPr="00703976">
        <w:rPr>
          <w:rFonts w:cs="Times New Roman"/>
          <w:b/>
          <w:lang w:val="en-PH"/>
        </w:rPr>
        <w:t xml:space="preserve"> </w:t>
      </w:r>
      <w:r w:rsidRPr="00703976">
        <w:rPr>
          <w:rFonts w:cs="Times New Roman"/>
          <w:bCs/>
          <w:lang w:val="en-PH"/>
        </w:rPr>
        <w:t>(</w:t>
      </w:r>
      <w:r w:rsidRPr="00703976">
        <w:rPr>
          <w:rFonts w:cs="Times New Roman"/>
          <w:b/>
          <w:lang w:val="en-PH"/>
        </w:rPr>
        <w:t>a</w:t>
      </w:r>
      <w:r w:rsidRPr="00703976">
        <w:rPr>
          <w:rFonts w:cs="Times New Roman"/>
          <w:bCs/>
          <w:lang w:val="en-PH"/>
        </w:rPr>
        <w:t xml:space="preserve">) Clustering results obtained using the PACE marker designed at the polymorphic region of </w:t>
      </w:r>
      <w:r w:rsidRPr="00703976">
        <w:rPr>
          <w:rFonts w:cs="Times New Roman"/>
          <w:bCs/>
          <w:i/>
          <w:iCs/>
          <w:lang w:val="en-PH"/>
        </w:rPr>
        <w:t>eIF4G</w:t>
      </w:r>
      <w:r w:rsidRPr="00703976">
        <w:rPr>
          <w:rFonts w:cs="Times New Roman"/>
          <w:bCs/>
          <w:lang w:val="en-PH"/>
        </w:rPr>
        <w:t xml:space="preserve"> for the TKM allele. Red, </w:t>
      </w:r>
      <w:r w:rsidRPr="00703976">
        <w:rPr>
          <w:rFonts w:cs="Times New Roman"/>
          <w:bCs/>
          <w:lang w:val="en-PH"/>
        </w:rPr>
        <w:lastRenderedPageBreak/>
        <w:t>blue, green, and black dots represent homozygous S allele, homozygous alternative allele, heterozygous/mixed DNA, and non-template control (NTC), respectively. (</w:t>
      </w:r>
      <w:r w:rsidRPr="00703976">
        <w:rPr>
          <w:rFonts w:cs="Times New Roman"/>
          <w:b/>
          <w:lang w:val="en-PH"/>
        </w:rPr>
        <w:t>b</w:t>
      </w:r>
      <w:r w:rsidRPr="00703976">
        <w:rPr>
          <w:rFonts w:cs="Times New Roman"/>
          <w:bCs/>
          <w:lang w:val="en-PH"/>
        </w:rPr>
        <w:t xml:space="preserve">) Clustering results obtained using the recommended alternative marker M898 as </w:t>
      </w:r>
      <w:r>
        <w:rPr>
          <w:rFonts w:cs="Times New Roman"/>
          <w:bCs/>
          <w:lang w:val="en-PH"/>
        </w:rPr>
        <w:t>visualized</w:t>
      </w:r>
      <w:r w:rsidRPr="00703976">
        <w:rPr>
          <w:rFonts w:cs="Times New Roman"/>
          <w:bCs/>
          <w:lang w:val="en-PH"/>
        </w:rPr>
        <w:t xml:space="preserve"> in KlusterCaller.</w:t>
      </w:r>
    </w:p>
    <w:p w14:paraId="39D6CE4F" w14:textId="77777777" w:rsidR="00FC39D1" w:rsidRPr="00703976" w:rsidRDefault="00FC39D1" w:rsidP="00FC39D1">
      <w:pPr>
        <w:spacing w:before="0" w:after="0"/>
      </w:pPr>
      <w:r w:rsidRPr="00703976">
        <w:rPr>
          <w:noProof/>
          <w14:ligatures w14:val="standardContextual"/>
        </w:rPr>
        <w:drawing>
          <wp:anchor distT="0" distB="0" distL="114300" distR="114300" simplePos="0" relativeHeight="251660288" behindDoc="0" locked="0" layoutInCell="1" allowOverlap="1" wp14:anchorId="638047ED" wp14:editId="4B54487B">
            <wp:simplePos x="0" y="0"/>
            <wp:positionH relativeFrom="column">
              <wp:posOffset>0</wp:posOffset>
            </wp:positionH>
            <wp:positionV relativeFrom="paragraph">
              <wp:posOffset>273050</wp:posOffset>
            </wp:positionV>
            <wp:extent cx="5946775" cy="2451735"/>
            <wp:effectExtent l="0" t="0" r="0" b="0"/>
            <wp:wrapSquare wrapText="bothSides"/>
            <wp:docPr id="1809200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20038" name="Picture 180920038"/>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6775" cy="2451735"/>
                    </a:xfrm>
                    <a:prstGeom prst="rect">
                      <a:avLst/>
                    </a:prstGeom>
                  </pic:spPr>
                </pic:pic>
              </a:graphicData>
            </a:graphic>
            <wp14:sizeRelH relativeFrom="page">
              <wp14:pctWidth>0</wp14:pctWidth>
            </wp14:sizeRelH>
            <wp14:sizeRelV relativeFrom="page">
              <wp14:pctHeight>0</wp14:pctHeight>
            </wp14:sizeRelV>
          </wp:anchor>
        </w:drawing>
      </w:r>
    </w:p>
    <w:p w14:paraId="00B56DE4" w14:textId="77777777" w:rsidR="00FC39D1" w:rsidRPr="00703976" w:rsidRDefault="00FC39D1" w:rsidP="00FC39D1">
      <w:pPr>
        <w:spacing w:before="0" w:after="0"/>
      </w:pPr>
    </w:p>
    <w:p w14:paraId="4B45785A" w14:textId="77777777" w:rsidR="00FC39D1" w:rsidRPr="00703976" w:rsidRDefault="00FC39D1" w:rsidP="00FC39D1">
      <w:pPr>
        <w:rPr>
          <w:noProof/>
          <w:lang w:val="en-PH"/>
          <w14:ligatures w14:val="standardContextual"/>
        </w:rPr>
      </w:pPr>
      <w:r w:rsidRPr="00703976">
        <w:rPr>
          <w:b/>
          <w:bCs/>
          <w:noProof/>
          <w:lang w:val="en-PH"/>
          <w14:ligatures w14:val="standardContextual"/>
        </w:rPr>
        <w:t xml:space="preserve">Figure S3. Phenotypic response of IRRI 154 carrying the TKM allele following RTSV+RTBV inoculation in Trial 2, 21 days after inoculation. </w:t>
      </w:r>
      <w:r w:rsidRPr="00703976">
        <w:rPr>
          <w:noProof/>
          <w:lang w:val="en-PH"/>
          <w14:ligatures w14:val="standardContextual"/>
        </w:rPr>
        <w:t>(</w:t>
      </w:r>
      <w:r w:rsidRPr="1BF74BBB">
        <w:rPr>
          <w:b/>
          <w:bCs/>
          <w:noProof/>
          <w:lang w:val="en-PH"/>
          <w14:ligatures w14:val="standardContextual"/>
        </w:rPr>
        <w:t>a</w:t>
      </w:r>
      <w:r w:rsidRPr="00703976">
        <w:rPr>
          <w:noProof/>
          <w:lang w:val="en-PH"/>
          <w14:ligatures w14:val="standardContextual"/>
        </w:rPr>
        <w:t>) Representative plants of IRRI 154 (+TKM), IR23X1020 (</w:t>
      </w:r>
      <w:r w:rsidRPr="1BF74BBB">
        <w:rPr>
          <w:noProof/>
          <w:lang w:val="en-PH"/>
          <w14:ligatures w14:val="standardContextual"/>
        </w:rPr>
        <w:t>-</w:t>
      </w:r>
      <w:r w:rsidRPr="00703976">
        <w:rPr>
          <w:noProof/>
          <w:lang w:val="en-PH"/>
          <w14:ligatures w14:val="standardContextual"/>
        </w:rPr>
        <w:t>TKM), TKM6 (TKM donor), TW16 (resistant check), and TN1 (susceptible check) under mock- and RTSV+RTBV-inoculated conditions. (</w:t>
      </w:r>
      <w:r w:rsidRPr="1BF74BBB">
        <w:rPr>
          <w:b/>
          <w:bCs/>
          <w:noProof/>
          <w:lang w:val="en-PH"/>
          <w14:ligatures w14:val="standardContextual"/>
        </w:rPr>
        <w:t>b</w:t>
      </w:r>
      <w:r w:rsidRPr="00703976">
        <w:rPr>
          <w:noProof/>
          <w:lang w:val="en-PH"/>
          <w14:ligatures w14:val="standardContextual"/>
        </w:rPr>
        <w:t>) Distribution of disease severity scores among RTSV+RTBV-inoculated IRRI 154 (+TKM) and IR23X1020 (</w:t>
      </w:r>
      <w:r w:rsidRPr="1BF74BBB">
        <w:rPr>
          <w:noProof/>
          <w:lang w:val="en-PH"/>
        </w:rPr>
        <w:t>-TKM) plants. Numbers within each bar segment indicate the number of plants within the respective genotype that received the indicated disease severity score.</w:t>
      </w:r>
    </w:p>
    <w:p w14:paraId="3DBD6AB4" w14:textId="77777777" w:rsidR="00EB4A2D" w:rsidRDefault="00EB4A2D"/>
    <w:sectPr w:rsidR="00EB4A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9D1"/>
    <w:rsid w:val="001D3053"/>
    <w:rsid w:val="001E3A92"/>
    <w:rsid w:val="00217E67"/>
    <w:rsid w:val="002C7D54"/>
    <w:rsid w:val="0033371E"/>
    <w:rsid w:val="005C0D39"/>
    <w:rsid w:val="0070406C"/>
    <w:rsid w:val="00724754"/>
    <w:rsid w:val="007B36B1"/>
    <w:rsid w:val="00C321FA"/>
    <w:rsid w:val="00C97210"/>
    <w:rsid w:val="00EB4A2D"/>
    <w:rsid w:val="00EE513F"/>
    <w:rsid w:val="00F02BEC"/>
    <w:rsid w:val="00FC39D1"/>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85CA"/>
  <w15:chartTrackingRefBased/>
  <w15:docId w15:val="{F8687FAA-D9D0-4211-8B0C-483666FCF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9D1"/>
    <w:pPr>
      <w:spacing w:before="120" w:after="240" w:line="240" w:lineRule="auto"/>
    </w:pPr>
    <w:rPr>
      <w:rFonts w:ascii="Times New Roman" w:hAnsi="Times New Roman"/>
      <w:kern w:val="0"/>
      <w:szCs w:val="22"/>
      <w:lang w:val="en-US"/>
      <w14:ligatures w14:val="none"/>
    </w:rPr>
  </w:style>
  <w:style w:type="paragraph" w:styleId="Heading1">
    <w:name w:val="heading 1"/>
    <w:basedOn w:val="Normal"/>
    <w:next w:val="Normal"/>
    <w:link w:val="Heading1Char"/>
    <w:uiPriority w:val="9"/>
    <w:qFormat/>
    <w:rsid w:val="00FC39D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FC39D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FC39D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FC39D1"/>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lang w:val="en-IN"/>
      <w14:ligatures w14:val="standardContextual"/>
    </w:rPr>
  </w:style>
  <w:style w:type="paragraph" w:styleId="Heading5">
    <w:name w:val="heading 5"/>
    <w:basedOn w:val="Normal"/>
    <w:next w:val="Normal"/>
    <w:link w:val="Heading5Char"/>
    <w:uiPriority w:val="9"/>
    <w:semiHidden/>
    <w:unhideWhenUsed/>
    <w:qFormat/>
    <w:rsid w:val="00FC39D1"/>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lang w:val="en-IN"/>
      <w14:ligatures w14:val="standardContextual"/>
    </w:rPr>
  </w:style>
  <w:style w:type="paragraph" w:styleId="Heading6">
    <w:name w:val="heading 6"/>
    <w:basedOn w:val="Normal"/>
    <w:next w:val="Normal"/>
    <w:link w:val="Heading6Char"/>
    <w:uiPriority w:val="9"/>
    <w:semiHidden/>
    <w:unhideWhenUsed/>
    <w:qFormat/>
    <w:rsid w:val="00FC39D1"/>
    <w:pPr>
      <w:keepNext/>
      <w:keepLines/>
      <w:spacing w:before="40" w:after="0" w:line="278" w:lineRule="auto"/>
      <w:outlineLvl w:val="5"/>
    </w:pPr>
    <w:rPr>
      <w:rFonts w:asciiTheme="minorHAnsi" w:eastAsiaTheme="majorEastAsia" w:hAnsiTheme="minorHAnsi" w:cstheme="majorBidi"/>
      <w:i/>
      <w:iCs/>
      <w:color w:val="595959" w:themeColor="text1" w:themeTint="A6"/>
      <w:kern w:val="2"/>
      <w:szCs w:val="24"/>
      <w:lang w:val="en-IN"/>
      <w14:ligatures w14:val="standardContextual"/>
    </w:rPr>
  </w:style>
  <w:style w:type="paragraph" w:styleId="Heading7">
    <w:name w:val="heading 7"/>
    <w:basedOn w:val="Normal"/>
    <w:next w:val="Normal"/>
    <w:link w:val="Heading7Char"/>
    <w:uiPriority w:val="9"/>
    <w:semiHidden/>
    <w:unhideWhenUsed/>
    <w:qFormat/>
    <w:rsid w:val="00FC39D1"/>
    <w:pPr>
      <w:keepNext/>
      <w:keepLines/>
      <w:spacing w:before="40" w:after="0" w:line="278" w:lineRule="auto"/>
      <w:outlineLvl w:val="6"/>
    </w:pPr>
    <w:rPr>
      <w:rFonts w:asciiTheme="minorHAnsi" w:eastAsiaTheme="majorEastAsia" w:hAnsiTheme="minorHAnsi" w:cstheme="majorBidi"/>
      <w:color w:val="595959" w:themeColor="text1" w:themeTint="A6"/>
      <w:kern w:val="2"/>
      <w:szCs w:val="24"/>
      <w:lang w:val="en-IN"/>
      <w14:ligatures w14:val="standardContextual"/>
    </w:rPr>
  </w:style>
  <w:style w:type="paragraph" w:styleId="Heading8">
    <w:name w:val="heading 8"/>
    <w:basedOn w:val="Normal"/>
    <w:next w:val="Normal"/>
    <w:link w:val="Heading8Char"/>
    <w:uiPriority w:val="9"/>
    <w:semiHidden/>
    <w:unhideWhenUsed/>
    <w:qFormat/>
    <w:rsid w:val="00FC39D1"/>
    <w:pPr>
      <w:keepNext/>
      <w:keepLines/>
      <w:spacing w:before="0" w:after="0" w:line="278" w:lineRule="auto"/>
      <w:outlineLvl w:val="7"/>
    </w:pPr>
    <w:rPr>
      <w:rFonts w:asciiTheme="minorHAnsi" w:eastAsiaTheme="majorEastAsia" w:hAnsiTheme="minorHAnsi" w:cstheme="majorBidi"/>
      <w:i/>
      <w:iCs/>
      <w:color w:val="272727" w:themeColor="text1" w:themeTint="D8"/>
      <w:kern w:val="2"/>
      <w:szCs w:val="24"/>
      <w:lang w:val="en-IN"/>
      <w14:ligatures w14:val="standardContextual"/>
    </w:rPr>
  </w:style>
  <w:style w:type="paragraph" w:styleId="Heading9">
    <w:name w:val="heading 9"/>
    <w:basedOn w:val="Normal"/>
    <w:next w:val="Normal"/>
    <w:link w:val="Heading9Char"/>
    <w:uiPriority w:val="9"/>
    <w:semiHidden/>
    <w:unhideWhenUsed/>
    <w:qFormat/>
    <w:rsid w:val="00FC39D1"/>
    <w:pPr>
      <w:keepNext/>
      <w:keepLines/>
      <w:spacing w:before="0" w:after="0" w:line="278" w:lineRule="auto"/>
      <w:outlineLvl w:val="8"/>
    </w:pPr>
    <w:rPr>
      <w:rFonts w:asciiTheme="minorHAnsi" w:eastAsiaTheme="majorEastAsia" w:hAnsiTheme="minorHAnsi" w:cstheme="majorBidi"/>
      <w:color w:val="272727" w:themeColor="text1" w:themeTint="D8"/>
      <w:kern w:val="2"/>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39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39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39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39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39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39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39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39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39D1"/>
    <w:rPr>
      <w:rFonts w:eastAsiaTheme="majorEastAsia" w:cstheme="majorBidi"/>
      <w:color w:val="272727" w:themeColor="text1" w:themeTint="D8"/>
    </w:rPr>
  </w:style>
  <w:style w:type="paragraph" w:styleId="Title">
    <w:name w:val="Title"/>
    <w:basedOn w:val="Normal"/>
    <w:next w:val="Normal"/>
    <w:link w:val="TitleChar"/>
    <w:uiPriority w:val="10"/>
    <w:qFormat/>
    <w:rsid w:val="00FC39D1"/>
    <w:pPr>
      <w:spacing w:before="0" w:after="80"/>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FC39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39D1"/>
    <w:pPr>
      <w:numPr>
        <w:ilvl w:val="1"/>
      </w:numPr>
      <w:spacing w:before="0" w:after="160"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FC39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39D1"/>
    <w:pPr>
      <w:spacing w:before="160" w:after="160" w:line="278" w:lineRule="auto"/>
      <w:jc w:val="center"/>
    </w:pPr>
    <w:rPr>
      <w:rFonts w:asciiTheme="minorHAnsi" w:hAnsiTheme="minorHAnsi"/>
      <w:i/>
      <w:iCs/>
      <w:color w:val="404040" w:themeColor="text1" w:themeTint="BF"/>
      <w:kern w:val="2"/>
      <w:szCs w:val="24"/>
      <w:lang w:val="en-IN"/>
      <w14:ligatures w14:val="standardContextual"/>
    </w:rPr>
  </w:style>
  <w:style w:type="character" w:customStyle="1" w:styleId="QuoteChar">
    <w:name w:val="Quote Char"/>
    <w:basedOn w:val="DefaultParagraphFont"/>
    <w:link w:val="Quote"/>
    <w:uiPriority w:val="29"/>
    <w:rsid w:val="00FC39D1"/>
    <w:rPr>
      <w:i/>
      <w:iCs/>
      <w:color w:val="404040" w:themeColor="text1" w:themeTint="BF"/>
    </w:rPr>
  </w:style>
  <w:style w:type="paragraph" w:styleId="ListParagraph">
    <w:name w:val="List Paragraph"/>
    <w:basedOn w:val="Normal"/>
    <w:uiPriority w:val="34"/>
    <w:qFormat/>
    <w:rsid w:val="00FC39D1"/>
    <w:pPr>
      <w:spacing w:before="0" w:after="160" w:line="278" w:lineRule="auto"/>
      <w:ind w:left="720"/>
      <w:contextualSpacing/>
    </w:pPr>
    <w:rPr>
      <w:rFonts w:asciiTheme="minorHAnsi" w:hAnsiTheme="minorHAnsi"/>
      <w:kern w:val="2"/>
      <w:szCs w:val="24"/>
      <w:lang w:val="en-IN"/>
      <w14:ligatures w14:val="standardContextual"/>
    </w:rPr>
  </w:style>
  <w:style w:type="character" w:styleId="IntenseEmphasis">
    <w:name w:val="Intense Emphasis"/>
    <w:basedOn w:val="DefaultParagraphFont"/>
    <w:uiPriority w:val="21"/>
    <w:qFormat/>
    <w:rsid w:val="00FC39D1"/>
    <w:rPr>
      <w:i/>
      <w:iCs/>
      <w:color w:val="0F4761" w:themeColor="accent1" w:themeShade="BF"/>
    </w:rPr>
  </w:style>
  <w:style w:type="paragraph" w:styleId="IntenseQuote">
    <w:name w:val="Intense Quote"/>
    <w:basedOn w:val="Normal"/>
    <w:next w:val="Normal"/>
    <w:link w:val="IntenseQuoteChar"/>
    <w:uiPriority w:val="30"/>
    <w:qFormat/>
    <w:rsid w:val="00FC39D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Cs w:val="24"/>
      <w:lang w:val="en-IN"/>
      <w14:ligatures w14:val="standardContextual"/>
    </w:rPr>
  </w:style>
  <w:style w:type="character" w:customStyle="1" w:styleId="IntenseQuoteChar">
    <w:name w:val="Intense Quote Char"/>
    <w:basedOn w:val="DefaultParagraphFont"/>
    <w:link w:val="IntenseQuote"/>
    <w:uiPriority w:val="30"/>
    <w:rsid w:val="00FC39D1"/>
    <w:rPr>
      <w:i/>
      <w:iCs/>
      <w:color w:val="0F4761" w:themeColor="accent1" w:themeShade="BF"/>
    </w:rPr>
  </w:style>
  <w:style w:type="character" w:styleId="IntenseReference">
    <w:name w:val="Intense Reference"/>
    <w:basedOn w:val="DefaultParagraphFont"/>
    <w:uiPriority w:val="32"/>
    <w:qFormat/>
    <w:rsid w:val="00FC39D1"/>
    <w:rPr>
      <w:b/>
      <w:bCs/>
      <w:smallCaps/>
      <w:color w:val="0F4761" w:themeColor="accent1" w:themeShade="BF"/>
      <w:spacing w:val="5"/>
    </w:rPr>
  </w:style>
  <w:style w:type="paragraph" w:styleId="NormalWeb">
    <w:name w:val="Normal (Web)"/>
    <w:basedOn w:val="Normal"/>
    <w:uiPriority w:val="99"/>
    <w:unhideWhenUsed/>
    <w:rsid w:val="00FC39D1"/>
    <w:pPr>
      <w:spacing w:before="100" w:beforeAutospacing="1" w:after="100" w:afterAutospacing="1"/>
    </w:pPr>
    <w:rPr>
      <w:rFonts w:eastAsia="Times New Roman" w:cs="Times New Roman"/>
      <w:szCs w:val="24"/>
      <w:lang w:val="en-PH"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629</Words>
  <Characters>3590</Characters>
  <Application>Microsoft Office Word</Application>
  <DocSecurity>0</DocSecurity>
  <Lines>29</Lines>
  <Paragraphs>8</Paragraphs>
  <ScaleCrop>false</ScaleCrop>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2026-09-10T12:48:00Z</dcterms:created>
  <dcterms:modified xsi:type="dcterms:W3CDTF">2026-09-10T12:48:00Z</dcterms:modified>
</cp:coreProperties>
</file>