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F5E659CB">
      <w:pPr>
        <w:pStyle w:val="style0"/>
        <w:spacing w:after="180"/>
        <w:rPr>
          <w:rFonts w:ascii="Times New Roman" w:cs="Times New Roman" w:eastAsia="Times-Roman" w:hAnsi="Times New Roman"/>
          <w:b/>
          <w:bCs/>
          <w:color w:val="0000ff"/>
          <w:sz w:val="22"/>
          <w:szCs w:val="22"/>
        </w:rPr>
      </w:pPr>
      <w:r>
        <w:rPr>
          <w:rFonts w:ascii="Times New Roman" w:cs="Times New Roman" w:eastAsia="Times New Roman" w:hAnsi="Times New Roman"/>
          <w:b/>
          <w:color w:val="0000ff"/>
          <w:sz w:val="24"/>
          <w:szCs w:val="24"/>
        </w:rPr>
        <w:t xml:space="preserve">Supplementary </w:t>
      </w:r>
      <w:r>
        <w:rPr>
          <w:rFonts w:ascii="Times New Roman" w:cs="Times New Roman" w:eastAsia="Times New Roman" w:hAnsi="Times New Roman"/>
          <w:b/>
          <w:color w:val="0000ff"/>
          <w:sz w:val="24"/>
          <w:szCs w:val="24"/>
          <w:lang w:val="en-US"/>
        </w:rPr>
        <w:t>Materials (Tables: S1 to S7)</w:t>
      </w:r>
    </w:p>
    <w:tbl>
      <w:tblPr>
        <w:tblW w:w="9286" w:type="dxa"/>
        <w:jc w:val="center"/>
        <w:tblInd w:w="0" w:type="dxa"/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952"/>
        <w:gridCol w:w="1123"/>
        <w:gridCol w:w="747"/>
        <w:gridCol w:w="840"/>
        <w:gridCol w:w="942"/>
        <w:gridCol w:w="943"/>
        <w:gridCol w:w="942"/>
        <w:gridCol w:w="943"/>
        <w:gridCol w:w="943"/>
      </w:tblGrid>
      <w:tr w14:paraId="428CFB86">
        <w:trPr>
          <w:trHeight w:val="1" w:hRule="atLeast"/>
          <w:jc w:val="center"/>
        </w:trPr>
        <w:tc>
          <w:tcPr>
            <w:tcW w:w="92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60481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Table S1.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Detailed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physicochemical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profile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multi-ion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concentrations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for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each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17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surface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wells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Al-Musaymir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District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(at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25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°C)</w:t>
            </w:r>
          </w:p>
        </w:tc>
      </w:tr>
      <w:tr w14:paraId="3CFD085B">
        <w:tblPrEx/>
        <w:trPr>
          <w:trHeight w:val="1" w:hRule="atLeast"/>
          <w:jc w:val="center"/>
        </w:trPr>
        <w:tc>
          <w:tcPr>
            <w:tcW w:w="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0F6F4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color w:val="36363d"/>
              </w:rPr>
            </w:pPr>
          </w:p>
          <w:p w14:paraId="BB59C6D3"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Calibri" w:hAnsi="Times New Roman"/>
                <w:b/>
                <w:color w:val="36363d"/>
              </w:rPr>
              <w:t>Name of well</w:t>
            </w:r>
          </w:p>
        </w:tc>
        <w:tc>
          <w:tcPr>
            <w:tcW w:w="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FCF852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color w:val="36363d"/>
              </w:rPr>
            </w:pPr>
          </w:p>
          <w:p w14:paraId="D0AD71BC"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Village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C2705E95"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Parameter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E49159D5"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Turbidity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9C288C24"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pH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2A2F80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EC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012AD9C8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TDS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7BB3E4A2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NO</w:t>
            </w:r>
            <w:r>
              <w:rPr>
                <w:rFonts w:ascii="Times New Roman" w:cs="Times New Roman" w:eastAsia="Times-Roman" w:hAnsi="Times New Roman"/>
                <w:b/>
                <w:color w:val="36363d"/>
                <w:vertAlign w:val="subscript"/>
              </w:rPr>
              <w:t>3</w:t>
            </w:r>
            <w:r>
              <w:rPr>
                <w:rFonts w:ascii="Times New Roman" w:cs="Times New Roman" w:eastAsia="Times-Roman" w:hAnsi="Times New Roman"/>
                <w:b/>
                <w:color w:val="36363d"/>
                <w:vertAlign w:val="superscript"/>
              </w:rPr>
              <w:t>-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7E673A05"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Fluoride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62396295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  <w:lang w:val="en-US"/>
              </w:rPr>
              <w:t xml:space="preserve">ICBE </w:t>
            </w:r>
          </w:p>
        </w:tc>
      </w:tr>
      <w:tr w14:paraId="F3982798">
        <w:tblPrEx/>
        <w:trPr>
          <w:jc w:val="center"/>
        </w:trPr>
        <w:tc>
          <w:tcPr>
            <w:tcW w:w="9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B0401E06">
            <w:pPr>
              <w:pStyle w:val="style0"/>
              <w:spacing w:after="0"/>
              <w:rPr>
                <w:rFonts w:ascii="Times New Roman" w:cs="Times New Roman" w:eastAsia="Arial" w:hAnsi="Times New Roman"/>
                <w:b/>
                <w:color w:val="36363d"/>
              </w:rPr>
            </w:pPr>
          </w:p>
        </w:tc>
        <w:tc>
          <w:tcPr>
            <w:tcW w:w="9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BDD9D8F8">
            <w:pPr>
              <w:pStyle w:val="style0"/>
              <w:spacing w:after="0"/>
              <w:rPr>
                <w:rFonts w:ascii="Times New Roman" w:cs="Times New Roman" w:eastAsia="Arial" w:hAnsi="Times New Roman"/>
                <w:b/>
                <w:color w:val="36363d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F13835"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Unit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227426"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NTU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A5785229"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-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97E6A50B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µg/cm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E9A7A6A4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mg / L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00CE9C2C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mg / L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2240D897"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 xml:space="preserve">mg / L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748800F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-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  <w:lang w:val="en-US"/>
              </w:rPr>
              <w:t>(%)</w:t>
            </w:r>
          </w:p>
        </w:tc>
      </w:tr>
      <w:tr w14:paraId="FFAAA42A">
        <w:tblPrEx/>
        <w:trPr>
          <w:trHeight w:val="1" w:hRule="atLeast"/>
          <w:jc w:val="center"/>
        </w:trPr>
        <w:tc>
          <w:tcPr>
            <w:tcW w:w="9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9D8A51">
            <w:pPr>
              <w:pStyle w:val="style0"/>
              <w:spacing w:after="0"/>
              <w:rPr>
                <w:rFonts w:ascii="Times New Roman" w:cs="Times New Roman" w:eastAsia="Arial" w:hAnsi="Times New Roman"/>
                <w:b/>
                <w:color w:val="36363d"/>
              </w:rPr>
            </w:pPr>
          </w:p>
        </w:tc>
        <w:tc>
          <w:tcPr>
            <w:tcW w:w="9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EEC1B99B">
            <w:pPr>
              <w:pStyle w:val="style0"/>
              <w:spacing w:after="0"/>
              <w:rPr>
                <w:rFonts w:ascii="Times New Roman" w:cs="Times New Roman" w:eastAsia="Arial" w:hAnsi="Times New Roman"/>
                <w:b/>
                <w:color w:val="36363d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DD477D74"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WHO guidelines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4F8817E"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1-15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00DB12"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6.5-8.5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2B71C3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450-1000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E1D39679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1000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F46E5002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50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E58664BF"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</w:rPr>
              <w:t>0.5-1.5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5D32905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-Roman" w:hAnsi="Times New Roman"/>
                <w:b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color w:val="36363d"/>
                <w:lang w:val="en-US"/>
              </w:rPr>
              <w:t>-</w:t>
            </w:r>
          </w:p>
        </w:tc>
      </w:tr>
      <w:tr w14:paraId="BE21A875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968634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Fadhal Saeed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018377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color w:val="36363d"/>
                <w:sz w:val="20"/>
                <w:szCs w:val="20"/>
                <w:lang w:bidi="ar-EG"/>
              </w:rPr>
              <w:t>Al-Sarahn'a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C3935F4D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7B152E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8C997B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E3E7775E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2030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16E6C108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1218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2F197502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41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2885607A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2.1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8119FA7B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+0.68</w:t>
            </w:r>
          </w:p>
        </w:tc>
      </w:tr>
      <w:tr w14:paraId="744F5937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D9BD30D5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Faraa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72C851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Fara'a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7AD4D1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0C6BF6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0.5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BCD40F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7.38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CB45C51E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2110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6FF8EB87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1266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65091ABD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39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68005BBC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4.4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860040F1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+1.36</w:t>
            </w:r>
          </w:p>
        </w:tc>
      </w:tr>
      <w:tr w14:paraId="631E64F1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A9AF90AE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Nakhelaa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F842B3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Nakhelaa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571CAE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A0AB7BB9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0.2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A96F2904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7.76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D74BEF2F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1409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AAB19E0B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926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8AADE6BD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24.8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764544AA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1.1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3454F94E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+0.45</w:t>
            </w:r>
          </w:p>
        </w:tc>
      </w:tr>
      <w:tr w14:paraId="4696BF41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DC7642AC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Mutein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033C91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Nakhelaa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07283C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8BB54033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2.3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3FC804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7.15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9DB75852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1833.33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D95BF95C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1210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A9427E6A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bCs/>
                <w:color w:val="36363d"/>
              </w:rPr>
              <w:t>60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040C92F6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2.24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60340C65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+0.11</w:t>
            </w:r>
          </w:p>
        </w:tc>
      </w:tr>
      <w:tr w14:paraId="A5F37469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CBA5F347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Qayif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937DD492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Qaaf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8488A510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81B045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E30277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9B3BD0DF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3800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36D11684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2280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49D5E61B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24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09F40EBA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2.17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49E6168E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+2.52</w:t>
            </w:r>
          </w:p>
        </w:tc>
      </w:tr>
      <w:tr w14:paraId="D8AD4108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DCF815DE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Qaaf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A744CD02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Qaaf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939B761B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B2D3B382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2.69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BE577615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7.35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C784EA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2000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821F4C31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1200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AFB78402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bCs/>
                <w:color w:val="36363d"/>
              </w:rPr>
              <w:t>59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BC8738FD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4.3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6542B11A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+1.82</w:t>
            </w:r>
          </w:p>
        </w:tc>
      </w:tr>
      <w:tr w14:paraId="50B461F3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6A3589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Bashria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8A718BF5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Bashria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6307DA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9A11E972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1.14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ABC30FA0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7.06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A4A3EA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2690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48776C3C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1779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F22757B3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35.6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D7FF02CF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2.52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D5A85E0E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+0.40</w:t>
            </w:r>
          </w:p>
        </w:tc>
      </w:tr>
      <w:tr w14:paraId="BE1802E3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C3FAB1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Alhaqaf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F179AA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 xml:space="preserve">Al-Musaymir Center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C32B74B5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8EB75044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9C1C3C73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B9558795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2298.48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4CFACA40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1517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A0CD5BF5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bCs/>
                <w:color w:val="36363d"/>
              </w:rPr>
              <w:t>68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7CA061DB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1.4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A23A4694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-0.06</w:t>
            </w:r>
          </w:p>
        </w:tc>
      </w:tr>
      <w:tr w14:paraId="730AFFC1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CEB3CD9D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color w:val="36363d"/>
                <w:sz w:val="20"/>
                <w:szCs w:val="20"/>
              </w:rPr>
              <w:t>Majwer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D084C5D0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Goal Madram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D1DE1DCB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Sample-9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F55E12DC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AB66B87B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664C8A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2400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6C0027F7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1380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8EB51B15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/>
                <w:bCs/>
                <w:color w:val="36363d"/>
              </w:rPr>
              <w:t>50.1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B30EF6F3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1.7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18FF1994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+2.86</w:t>
            </w:r>
          </w:p>
        </w:tc>
      </w:tr>
      <w:tr w14:paraId="0D030F6F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8B14042B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Mareeb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A9ADC38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Mareeb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6A840C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Sample-10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3358DC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F5BFCE22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7.4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AB49A127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1800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6A366EA8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1080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91F1385D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15.2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C734B54A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2.4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6B1769C4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+3.93</w:t>
            </w:r>
          </w:p>
        </w:tc>
      </w:tr>
      <w:tr w14:paraId="3C141FFB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D7F19E1A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Dagran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A6EBDC21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Dagran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20E248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Sample-11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3DE851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90622C27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D4147FBE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1700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3DDD0E3A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1020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22565847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11.9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D4D880C7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9BB0C734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+2.35</w:t>
            </w:r>
          </w:p>
        </w:tc>
      </w:tr>
      <w:tr w14:paraId="14538E12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B1D1D4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Ali Nusorah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83DB6525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Qaaf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986DD980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Sample-12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9D84DF2F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BC94C165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356EFA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color w:val="36363d"/>
              </w:rPr>
            </w:pPr>
            <w:r>
              <w:rPr>
                <w:rFonts w:ascii="Times New Roman" w:cs="Times New Roman" w:eastAsia="Times-Roman" w:hAnsi="Times New Roman"/>
                <w:color w:val="36363d"/>
              </w:rPr>
              <w:t>1480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0C454AA4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color w:val="36363d"/>
              </w:rPr>
            </w:pPr>
            <w:r>
              <w:rPr>
                <w:rFonts w:ascii="Times New Roman" w:cs="Times New Roman" w:eastAsia="Times-Roman" w:hAnsi="Times New Roman"/>
                <w:color w:val="36363d"/>
              </w:rPr>
              <w:t>950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ABDAE220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color w:val="36363d"/>
              </w:rPr>
            </w:pPr>
            <w:r>
              <w:rPr>
                <w:rFonts w:ascii="Times New Roman" w:cs="Times New Roman" w:eastAsia="Times-Roman" w:hAnsi="Times New Roman"/>
                <w:color w:val="36363d"/>
              </w:rPr>
              <w:t>20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5AE0CE30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color w:val="36363d"/>
              </w:rPr>
              <w:t>5.7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5FD6EAF0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color w:val="36363d"/>
              </w:rPr>
            </w:pPr>
            <w:r>
              <w:rPr>
                <w:rFonts w:ascii="Times New Roman" w:cs="Times New Roman" w:eastAsia="Times-Roman" w:hAnsi="Times New Roman"/>
                <w:color w:val="36363d"/>
                <w:lang w:val="en-US"/>
              </w:rPr>
              <w:t>+0.30</w:t>
            </w:r>
          </w:p>
        </w:tc>
      </w:tr>
      <w:tr w14:paraId="80A83FD4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8B848DA0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Yaseen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4A1C23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Mucadium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3C1B8C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Sample-13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C2CA7D72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0.2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93541BF5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D4C3B0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1696.97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44AAB59D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1120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05E99113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FD2319F9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1.47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AFB85100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+0.25</w:t>
            </w:r>
          </w:p>
        </w:tc>
      </w:tr>
      <w:tr w14:paraId="482CD736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26B1D8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Ahmed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6290CB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Allugmaa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AF1033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Sample-14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D5E83D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0.3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CA362F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7.42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FB64A6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1695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5FB4ECD6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1122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39D3FDC3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16.4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AEE551E2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3.1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EF1D72D5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+0.74</w:t>
            </w:r>
          </w:p>
        </w:tc>
      </w:tr>
      <w:tr w14:paraId="1CA8BCFB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B7ABEF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Alsaeed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805E2E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Top asel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58AF56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Sample-15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D4D22A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0.3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C9526B0E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7.33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BDF22113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1766.67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334161A9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1166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3B8EB85E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40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FB65FE01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2.8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A21D72BA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+0.20</w:t>
            </w:r>
          </w:p>
        </w:tc>
      </w:tr>
      <w:tr w14:paraId="6035D4D6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C269B611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Abdulkareem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66FD4DE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Habeel Alaf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CFCC22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Sample-16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F085C6FD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1.3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CB84D7B9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ADC24B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1598.48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20B3EEEC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1055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38DB42D6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35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1C7D01CB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1.5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0FA27883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+0.15</w:t>
            </w:r>
          </w:p>
        </w:tc>
      </w:tr>
      <w:tr w14:paraId="981A171F">
        <w:tblPrEx/>
        <w:trPr>
          <w:trHeight w:val="1" w:hRule="atLeast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D494A954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Shathaa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8A7AD7A3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Shathaa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AD6FD2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0"/>
                <w:szCs w:val="20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0"/>
                <w:szCs w:val="20"/>
              </w:rPr>
              <w:t>Sample-17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76FB1E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0.3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15CD1B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7.43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8C6A285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1639.39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C1A61FCE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1082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D8BFB7D1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33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8ECC914A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2.8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37112370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+0.12</w:t>
            </w:r>
          </w:p>
        </w:tc>
      </w:tr>
      <w:tr w14:paraId="C65D6208">
        <w:tblPrEx/>
        <w:trPr>
          <w:trHeight w:val="1" w:hRule="atLeast"/>
          <w:jc w:val="center"/>
        </w:trPr>
        <w:tc>
          <w:tcPr>
            <w:tcW w:w="2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4209E5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4"/>
                <w:szCs w:val="24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4"/>
                <w:szCs w:val="24"/>
              </w:rPr>
              <w:t>Average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B1AD79CC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Calibri" w:hAnsi="Times New Roman"/>
                <w:bCs/>
                <w:color w:val="36363d"/>
              </w:rPr>
              <w:t>1.37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C05C5901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Calibri" w:hAnsi="Times New Roman"/>
                <w:bCs/>
                <w:color w:val="36363d"/>
              </w:rPr>
              <w:t>7.48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D0D0458E">
            <w:pPr>
              <w:pStyle w:val="style0"/>
              <w:spacing w:after="0" w:lineRule="auto" w:line="240"/>
              <w:rPr>
                <w:rFonts w:ascii="Times New Roman" w:cs="Times New Roman" w:eastAsia="Calibri" w:hAnsi="Times New Roman"/>
                <w:bCs/>
                <w:color w:val="36363d"/>
              </w:rPr>
            </w:pPr>
            <w:r>
              <w:rPr>
                <w:rFonts w:ascii="Times New Roman" w:cs="Times New Roman" w:eastAsia="Calibri" w:hAnsi="Times New Roman"/>
                <w:bCs/>
                <w:color w:val="36363d"/>
              </w:rPr>
              <w:t>1996.9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  <w:vAlign w:val="bottom"/>
          </w:tcPr>
          <w:p w14:paraId="8FC69CE3">
            <w:pPr>
              <w:pStyle w:val="style0"/>
              <w:spacing w:after="0" w:lineRule="auto" w:line="240"/>
              <w:rPr>
                <w:rFonts w:ascii="Times New Roman" w:cs="Times New Roman" w:eastAsia="Calibri" w:hAnsi="Times New Roman"/>
                <w:bCs/>
                <w:color w:val="36363d"/>
              </w:rPr>
            </w:pPr>
            <w:r>
              <w:rPr>
                <w:rFonts w:ascii="Times New Roman" w:cs="Times New Roman" w:eastAsia="Calibri" w:hAnsi="Times New Roman"/>
                <w:bCs/>
                <w:color w:val="36363d"/>
              </w:rPr>
              <w:t>1257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  <w:vAlign w:val="bottom"/>
          </w:tcPr>
          <w:p w14:paraId="2888BF6E">
            <w:pPr>
              <w:pStyle w:val="style0"/>
              <w:spacing w:after="0" w:lineRule="auto" w:line="240"/>
              <w:rPr>
                <w:rFonts w:ascii="Times New Roman" w:cs="Times New Roman" w:eastAsia="Calibri" w:hAnsi="Times New Roman"/>
                <w:bCs/>
                <w:color w:val="36363d"/>
              </w:rPr>
            </w:pPr>
            <w:r>
              <w:rPr>
                <w:rFonts w:ascii="Times New Roman" w:cs="Times New Roman" w:eastAsia="Calibri" w:hAnsi="Times New Roman"/>
                <w:bCs/>
                <w:color w:val="36363d"/>
              </w:rPr>
              <w:t>35.4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  <w:vAlign w:val="bottom"/>
          </w:tcPr>
          <w:p w14:paraId="7322C9E6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Calibri" w:hAnsi="Times New Roman"/>
                <w:bCs/>
                <w:color w:val="36363d"/>
              </w:rPr>
              <w:t>2.57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  <w:vAlign w:val="bottom"/>
          </w:tcPr>
          <w:p w14:paraId="FCF97E5D">
            <w:pPr>
              <w:pStyle w:val="style0"/>
              <w:spacing w:after="0" w:lineRule="auto" w:line="240"/>
              <w:rPr>
                <w:rFonts w:ascii="Times New Roman" w:cs="Times New Roman" w:eastAsia="Calibri" w:hAnsi="Times New Roman"/>
                <w:bCs/>
                <w:color w:val="36363d"/>
              </w:rPr>
            </w:pPr>
            <w:r>
              <w:rPr>
                <w:rFonts w:ascii="Times New Roman" w:cs="Times New Roman" w:eastAsia="Calibri" w:hAnsi="Times New Roman"/>
                <w:bCs/>
                <w:color w:val="36363d"/>
                <w:lang w:val="en-US"/>
              </w:rPr>
              <w:t>2.15</w:t>
            </w:r>
          </w:p>
        </w:tc>
      </w:tr>
      <w:tr w14:paraId="B9298FEF">
        <w:tblPrEx/>
        <w:trPr>
          <w:trHeight w:val="1" w:hRule="atLeast"/>
          <w:jc w:val="center"/>
        </w:trPr>
        <w:tc>
          <w:tcPr>
            <w:tcW w:w="2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E937BEE2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4"/>
                <w:szCs w:val="24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4"/>
                <w:szCs w:val="24"/>
              </w:rPr>
              <w:t>Standard deviation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C2CE0C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0.85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3116A2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0.19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EECB1F79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574.8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6BEBF63D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336.98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F8968B54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16.5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73B978A0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1.19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6E28480F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1.35</w:t>
            </w:r>
          </w:p>
        </w:tc>
      </w:tr>
      <w:tr w14:paraId="D75B18A1">
        <w:tblPrEx/>
        <w:trPr>
          <w:trHeight w:val="1" w:hRule="atLeast"/>
          <w:jc w:val="center"/>
        </w:trPr>
        <w:tc>
          <w:tcPr>
            <w:tcW w:w="2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FFB87B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4"/>
                <w:szCs w:val="24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4"/>
                <w:szCs w:val="24"/>
              </w:rPr>
              <w:t>Minimum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DFCC37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0.2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2ECE67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7.33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9526C868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1409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8E1BA49B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950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6974A461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11.9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96ED4FC4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1.1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EA9768F2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0.15</w:t>
            </w:r>
          </w:p>
        </w:tc>
      </w:tr>
      <w:tr w14:paraId="1914C612">
        <w:tblPrEx/>
        <w:trPr>
          <w:trHeight w:val="1" w:hRule="atLeast"/>
          <w:jc w:val="center"/>
        </w:trPr>
        <w:tc>
          <w:tcPr>
            <w:tcW w:w="2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A0BB4765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4"/>
                <w:szCs w:val="24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4"/>
                <w:szCs w:val="24"/>
              </w:rPr>
              <w:t>Maximum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C222762C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Calibri" w:hAnsi="Times New Roman"/>
                <w:bCs/>
                <w:color w:val="36363d"/>
              </w:rPr>
              <w:t>2.69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70877CD2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7.76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B3F8FC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3800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83DA4B36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2280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18073D5D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68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2F840762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5.7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281B4E10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4.92</w:t>
            </w:r>
          </w:p>
        </w:tc>
      </w:tr>
      <w:tr w14:paraId="61B81353">
        <w:tblPrEx/>
        <w:trPr>
          <w:trHeight w:val="1" w:hRule="atLeast"/>
          <w:jc w:val="center"/>
        </w:trPr>
        <w:tc>
          <w:tcPr>
            <w:tcW w:w="2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E12C8291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  <w:sz w:val="24"/>
                <w:szCs w:val="24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sz w:val="24"/>
                <w:szCs w:val="24"/>
              </w:rPr>
              <w:t xml:space="preserve">Average </w:t>
            </w:r>
            <w:r>
              <w:rPr>
                <w:rFonts w:ascii="Times New Roman" w:cs="Times New Roman" w:eastAsia="Times New Roman" w:hAnsi="Times New Roman"/>
                <w:bCs/>
                <w:color w:val="36363d"/>
                <w:sz w:val="24"/>
                <w:szCs w:val="24"/>
              </w:rPr>
              <w:t>±</w:t>
            </w:r>
            <w:r>
              <w:rPr>
                <w:rFonts w:ascii="Times New Roman" w:cs="Times New Roman" w:eastAsia="Times-Roman" w:hAnsi="Times New Roman"/>
                <w:bCs/>
                <w:color w:val="36363d"/>
                <w:sz w:val="24"/>
                <w:szCs w:val="24"/>
              </w:rPr>
              <w:t xml:space="preserve"> SD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D841A9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1.37</w:t>
            </w:r>
            <w:r>
              <w:rPr>
                <w:rFonts w:ascii="Times New Roman" w:cs="Times New Roman" w:eastAsia="Times New Roman" w:hAnsi="Times New Roman"/>
                <w:bCs/>
                <w:color w:val="36363d"/>
              </w:rPr>
              <w:t>±</w:t>
            </w: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0.85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CEFCCF6B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7.48</w:t>
            </w:r>
            <w:r>
              <w:rPr>
                <w:rFonts w:ascii="Times New Roman" w:cs="Times New Roman" w:eastAsia="Times New Roman" w:hAnsi="Times New Roman"/>
                <w:bCs/>
                <w:color w:val="36363d"/>
              </w:rPr>
              <w:t>±</w:t>
            </w: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0.19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F09A77CF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1996.9±574.8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B050B624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1257±336.98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E8516597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35.4±16.5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F643CFE4">
            <w:pPr>
              <w:pStyle w:val="style0"/>
              <w:spacing w:after="0" w:lineRule="auto" w:line="240"/>
              <w:rPr>
                <w:rFonts w:ascii="Times New Roman" w:cs="Times New 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</w:rPr>
              <w:t>2.57</w:t>
            </w:r>
            <w:r>
              <w:rPr>
                <w:rFonts w:ascii="Times New Roman" w:cs="Times New Roman" w:eastAsia="Times New Roman" w:hAnsi="Times New Roman"/>
                <w:bCs/>
                <w:color w:val="36363d"/>
              </w:rPr>
              <w:t>±1.19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73B23712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Cs/>
                <w:color w:val="36363d"/>
              </w:rPr>
            </w:pPr>
            <w:r>
              <w:rPr>
                <w:rFonts w:ascii="Times New Roman" w:cs="Times New Roman" w:eastAsia="Times-Roman" w:hAnsi="Times New Roman"/>
                <w:bCs/>
                <w:color w:val="36363d"/>
                <w:lang w:val="en-US"/>
              </w:rPr>
              <w:t>1.35±2.15</w:t>
            </w:r>
          </w:p>
        </w:tc>
      </w:tr>
      <w:tr w14:paraId="507E1E7C">
        <w:tblPrEx/>
        <w:trPr>
          <w:trHeight w:val="1" w:hRule="atLeast"/>
          <w:jc w:val="center"/>
        </w:trPr>
        <w:tc>
          <w:tcPr>
            <w:tcW w:w="2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7AEA24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</w:pPr>
            <w:r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  <w:t xml:space="preserve">Failure (%)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EA6C7D45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</w:pPr>
            <w:r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  <w:t>0%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C3180C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</w:pPr>
            <w:r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  <w:t>0%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C32563ED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</w:pPr>
            <w:r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  <w:t>100%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5947984F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</w:pPr>
            <w:r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  <w:t>88.2%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882B5712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</w:pPr>
            <w:r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  <w:t>23.53%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D7E3DFE6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</w:pPr>
            <w:r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  <w:t>82.35%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/>
          </w:tcPr>
          <w:p w14:paraId="D4998EB3">
            <w:pPr>
              <w:pStyle w:val="style0"/>
              <w:spacing w:after="0" w:lineRule="auto" w:line="240"/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</w:rPr>
            </w:pPr>
            <w:r>
              <w:rPr>
                <w:rFonts w:ascii="Times New Roman" w:cs="Times New Roman" w:eastAsia="Times-Roman" w:hAnsi="Times New Roman"/>
                <w:b/>
                <w:bCs/>
                <w:color w:val="36363d"/>
                <w:sz w:val="24"/>
                <w:szCs w:val="24"/>
                <w:lang w:val="en-US"/>
              </w:rPr>
              <w:t>Pass 0%</w:t>
            </w:r>
          </w:p>
        </w:tc>
      </w:tr>
    </w:tbl>
    <w:p w14:paraId="E3D18A58">
      <w:pPr>
        <w:pStyle w:val="style0"/>
        <w:spacing w:after="112" w:lineRule="auto" w:line="480"/>
        <w:jc w:val="both"/>
        <w:rPr>
          <w:rFonts w:ascii="Times New Roman" w:cs="Times New Roman" w:eastAsia="Times-Roman" w:hAnsi="Times New Roman"/>
          <w:b/>
          <w:bCs/>
          <w:color w:val="36363d"/>
          <w:sz w:val="24"/>
          <w:szCs w:val="24"/>
        </w:rPr>
      </w:pPr>
    </w:p>
    <w:tbl>
      <w:tblPr>
        <w:jc w:val="lef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9"/>
        <w:gridCol w:w="2343"/>
        <w:gridCol w:w="1561"/>
        <w:gridCol w:w="2323"/>
      </w:tblGrid>
      <w:tr w14:paraId="507E1E7C">
        <w:trPr>
          <w:cantSplit w:val="false"/>
          <w:tblHeader w:val="false"/>
          <w:jc w:val="left"/>
        </w:trPr>
        <w:tc>
          <w:tcPr>
            <w:tcW w:w="9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8881B">
            <w:pPr>
              <w:pStyle w:val="style0"/>
              <w:spacing w:lineRule="auto" w:line="360"/>
              <w:jc w:val="both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Table S2.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Relative weight of physicochemical parameters for WQI calculation</w:t>
            </w:r>
          </w:p>
          <w:p w14:paraId="763714B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Based on the framework of Saleh et al., (2022a) and regional literature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E768724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Parameter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EBAD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WHO Standard (S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subscript"/>
                <w:em w:val="none"/>
                <w:lang w:val="en-US" w:bidi="ar-SA" w:eastAsia="en-US"/>
              </w:rPr>
              <w:t>i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)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superscript"/>
                <w:em w:val="none"/>
                <w:lang w:val="en-US" w:bidi="ar-SA" w:eastAsia="en-US"/>
              </w:rPr>
              <w:t>13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504C98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Weight (w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subscript"/>
                <w:em w:val="none"/>
                <w:lang w:val="en-US" w:bidi="ar-SA" w:eastAsia="en-US"/>
              </w:rPr>
              <w:t>i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)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3AE6191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Relative Weight (W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subscript"/>
                <w:em w:val="none"/>
                <w:lang w:val="en-US" w:bidi="ar-SA" w:eastAsia="en-US"/>
              </w:rPr>
              <w:t>i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)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943E4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Fluoride (F⁻)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1F0BE2A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1.5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A669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5*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47D17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0.1389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A3894F4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Nitrate (NO₃⁻)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9C231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A576F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5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CE8B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0.1389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A44949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Total Dissolved Solids (TDS)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A04B9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E61EA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5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B33B0C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0.1389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D4EC3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pH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D3BD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8.5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0532351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7DCEE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0.0833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4471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Chloride (Cl⁻)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F2D1F43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7D3B8CB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70722F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0.0833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92D79B3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Sulfate (SO₄²⁻)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247AA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4CBF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36011F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0.0833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B0BE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Sodium (Na⁺)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E917B79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7E4B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0379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0.0833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CF4ED8C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Total Hardness (TH)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0910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500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402FAB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72071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0.0556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EECB59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Calcium (Ca²⁺)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5F33A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75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6678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78B17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0.0556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5D563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Magnesium (Mg²⁺)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C8146ED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0DFEC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DE5E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0.0556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EF9B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Potassium (K⁺)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8D0CC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AD43EE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9D891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0.0556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394DE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Bicarbonate (HCO₃⁻)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5C26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120**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0413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A62EF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0.0278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67F23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Total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1B9926E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∑w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subscript"/>
                <w:em w:val="none"/>
                <w:lang w:val="en-US" w:bidi="ar-SA" w:eastAsia="en-US"/>
              </w:rPr>
              <w:t>i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=36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F9CEDA9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∑W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subscript"/>
                <w:em w:val="none"/>
                <w:lang w:val="en-US" w:bidi="ar-SA" w:eastAsia="en-US"/>
              </w:rPr>
              <w:t>i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=1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9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4423D7E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*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Chalise et al., 2023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;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**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USPHS Standard, 1962</w:t>
            </w:r>
          </w:p>
          <w:p w14:paraId="127B93BD">
            <w:pPr>
              <w:pStyle w:val="style0"/>
              <w:spacing w:lineRule="auto" w:line="240"/>
              <w:jc w:val="both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Note: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Parameters were weighted according to their relative importance in drinking water quality and potential health impacts, following the specialized framework for the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Yemeni hydrogeological context (Saleh et al., 2022a)</w:t>
            </w:r>
          </w:p>
        </w:tc>
      </w:tr>
    </w:tbl>
    <w:p w14:paraId="6813DCCB">
      <w:pPr>
        <w:pStyle w:val="style0"/>
        <w:spacing w:after="112" w:lineRule="auto" w:line="480"/>
        <w:jc w:val="both"/>
        <w:rPr>
          <w:rFonts w:ascii="Times New Roman" w:cs="Times New Roman" w:eastAsia="Times-Roman" w:hAnsi="Times New Roman"/>
          <w:b/>
          <w:bCs/>
          <w:color w:val="36363d"/>
          <w:sz w:val="24"/>
          <w:szCs w:val="24"/>
        </w:rPr>
      </w:pPr>
    </w:p>
    <w:tbl>
      <w:tblPr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3838"/>
        <w:gridCol w:w="2352"/>
      </w:tblGrid>
      <w:tr w14:paraId="507E1E7C">
        <w:trPr>
          <w:cantSplit w:val="false"/>
          <w:tblHeader w:val="false"/>
          <w:jc w:val="left"/>
        </w:trPr>
        <w:tc>
          <w:tcPr>
            <w:tcW w:w="9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1987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Table S3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Water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quality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classification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based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on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WQI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(*)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8BAB3B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Water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Class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00BD01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Type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water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6A660B5">
            <w:pPr>
              <w:pStyle w:val="style0"/>
              <w:spacing w:lineRule="auto" w:line="240"/>
              <w:jc w:val="left"/>
              <w:rPr/>
            </w:pP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27CA1B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Ⅰ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E70A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Excellence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4F2F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&lt;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50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1D77AD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Ⅱ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2B8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Good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water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949F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50-100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199C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Ⅲ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55DA03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Poor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water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2C432C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100-200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EB7B4E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Ⅳ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5116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Very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poor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water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FAFD88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200-300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A343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Ⅴ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F453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Water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unsuitable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for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drinking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B208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&gt;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300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9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BE35E">
            <w:pPr>
              <w:pStyle w:val="style0"/>
              <w:spacing w:lineRule="auto" w:line="3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Note: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superscript"/>
                <w:em w:val="none"/>
                <w:lang w:val="en-US" w:bidi="ar-SA" w:eastAsia="en-US"/>
              </w:rPr>
              <w:t>(*)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(Ramakrishnaiah, et al., 2009; Lateef, 2011; Ketata-Rokbani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, et al., 2011)</w:t>
            </w:r>
          </w:p>
        </w:tc>
      </w:tr>
    </w:tbl>
    <w:p w14:paraId="C83B3BBC">
      <w:pPr>
        <w:pStyle w:val="style0"/>
        <w:spacing w:after="112" w:lineRule="auto" w:line="480"/>
        <w:jc w:val="both"/>
        <w:rPr>
          <w:rFonts w:ascii="Times New Roman" w:cs="Times New Roman" w:eastAsia="Times-Roman" w:hAnsi="Times New Roman"/>
          <w:b/>
          <w:bCs/>
          <w:color w:val="36363d"/>
          <w:sz w:val="24"/>
          <w:szCs w:val="24"/>
        </w:rPr>
      </w:pPr>
    </w:p>
    <w:tbl>
      <w:tblPr>
        <w:tblW w:w="8859" w:type="dxa"/>
        <w:jc w:val="left"/>
        <w:tblInd w:w="123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2016"/>
        <w:gridCol w:w="4926"/>
      </w:tblGrid>
      <w:tr w14:paraId="507E1E7C">
        <w:trPr>
          <w:wAfter w:w="0" w:type="dxa"/>
          <w:cantSplit w:val="false"/>
          <w:tblHeader w:val="false"/>
          <w:jc w:val="left"/>
        </w:trPr>
        <w:tc>
          <w:tcPr>
            <w:tcW w:w="8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77A3DC7">
            <w:pPr>
              <w:pStyle w:val="style0"/>
              <w:spacing w:lineRule="auto" w:line="240"/>
              <w:jc w:val="both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YE" w:eastAsia="en-US"/>
              </w:rPr>
              <w:t xml:space="preserve">Table S4.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YE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YE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YE" w:eastAsia="en-US"/>
              </w:rPr>
              <w:t>classification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YE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YE" w:eastAsia="en-US"/>
              </w:rPr>
              <w:t>of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YE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YE" w:eastAsia="en-US"/>
              </w:rPr>
              <w:t>irrigation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YE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YE" w:eastAsia="en-US"/>
              </w:rPr>
              <w:t>waters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YE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YE" w:eastAsia="en-US"/>
              </w:rPr>
              <w:t>according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YE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YE" w:eastAsia="en-US"/>
              </w:rPr>
              <w:t>(Richards1954; Wilcox 1955)</w:t>
            </w:r>
          </w:p>
        </w:tc>
      </w:tr>
      <w:tr w14:paraId="507E1E7C">
        <w:tblPrEx/>
        <w:trPr>
          <w:wAfter w:w="0" w:type="dxa"/>
          <w:cantSplit w:val="false"/>
          <w:tblHeader w:val="false"/>
          <w:jc w:val="left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E3D4F4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Index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method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CE93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Range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D1CEDF8">
            <w:pPr>
              <w:pStyle w:val="style0"/>
              <w:spacing w:lineRule="auto" w:line="240"/>
              <w:jc w:val="left"/>
              <w:rPr/>
            </w:pPr>
            <w:r>
              <w:rPr>
                <w:rFonts w:ascii="Calibri" w:cs="Calibri" w:eastAsia="SimSun" w:hAnsi="Calibri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Classification</w:t>
            </w:r>
          </w:p>
        </w:tc>
      </w:tr>
      <w:tr w14:paraId="507E1E7C">
        <w:tblPrEx/>
        <w:trPr>
          <w:wAfter w:w="0" w:type="dxa"/>
          <w:cantSplit w:val="false"/>
          <w:tblHeader w:val="false"/>
          <w:jc w:val="left"/>
        </w:trPr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826E9BD">
            <w:pPr>
              <w:pStyle w:val="style0"/>
              <w:spacing w:after="160" w:lineRule="auto" w:line="240"/>
              <w:jc w:val="left"/>
              <w:rPr/>
            </w:pPr>
          </w:p>
          <w:p w14:paraId="660F8CEF">
            <w:pPr>
              <w:pStyle w:val="style0"/>
              <w:spacing w:after="160"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EC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2BC3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˂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250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C3FF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(C1)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low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salinity</w:t>
            </w:r>
          </w:p>
        </w:tc>
      </w:tr>
      <w:tr w14:paraId="507E1E7C">
        <w:tblPrEx/>
        <w:trPr>
          <w:wAfter w:w="0" w:type="dxa"/>
          <w:cantSplit w:val="false"/>
          <w:tblHeader w:val="false"/>
          <w:jc w:val="left"/>
        </w:trPr>
        <w:tc>
          <w:tcPr>
            <w:tcW w:w="1917" w:type="dxa"/>
            <w:vMerge w:val="continue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/>
          </w:tcPr>
          <w:p w14:paraId="660F8CEF">
            <w:pPr>
              <w:pStyle w:val="style0"/>
              <w:spacing w:after="160" w:lineRule="auto" w:line="240"/>
              <w:jc w:val="left"/>
              <w:rPr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336B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250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–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750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32B849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(C2)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medium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salinity</w:t>
            </w:r>
          </w:p>
        </w:tc>
      </w:tr>
      <w:tr w14:paraId="507E1E7C">
        <w:tblPrEx/>
        <w:trPr>
          <w:wAfter w:w="0" w:type="dxa"/>
          <w:cantSplit w:val="false"/>
          <w:tblHeader w:val="false"/>
          <w:jc w:val="left"/>
        </w:trPr>
        <w:tc>
          <w:tcPr>
            <w:tcW w:w="1917" w:type="dxa"/>
            <w:vMerge w:val="continue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/>
          </w:tcPr>
          <w:p w14:paraId="660F8CEF">
            <w:pPr>
              <w:pStyle w:val="style0"/>
              <w:spacing w:after="160" w:lineRule="auto" w:line="240"/>
              <w:jc w:val="left"/>
              <w:rPr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69AC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˃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750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–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2250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565D75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(C3)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high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salinity</w:t>
            </w:r>
          </w:p>
        </w:tc>
      </w:tr>
      <w:tr w14:paraId="507E1E7C">
        <w:tblPrEx/>
        <w:trPr>
          <w:wAfter w:w="0" w:type="dxa"/>
          <w:cantSplit w:val="false"/>
          <w:tblHeader w:val="false"/>
          <w:jc w:val="left"/>
        </w:trPr>
        <w:tc>
          <w:tcPr>
            <w:tcW w:w="1917" w:type="dxa"/>
            <w:vMerge w:val="continue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/>
          </w:tcPr>
          <w:p w14:paraId="660F8CEF">
            <w:pPr>
              <w:pStyle w:val="style0"/>
              <w:spacing w:after="160" w:lineRule="auto" w:line="240"/>
              <w:jc w:val="left"/>
              <w:rPr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767BA8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˃2250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F27710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(C4)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very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high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salinity</w:t>
            </w:r>
          </w:p>
        </w:tc>
      </w:tr>
      <w:tr w14:paraId="507E1E7C">
        <w:tblPrEx/>
        <w:trPr>
          <w:wAfter w:w="0" w:type="dxa"/>
          <w:cantSplit w:val="false"/>
          <w:tblHeader w:val="false"/>
          <w:jc w:val="left"/>
        </w:trPr>
        <w:tc>
          <w:tcPr>
            <w:tcW w:w="1917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D782567">
            <w:pPr>
              <w:pStyle w:val="style0"/>
              <w:spacing w:after="160" w:lineRule="auto" w:line="240"/>
              <w:jc w:val="center"/>
              <w:rPr/>
            </w:pPr>
          </w:p>
          <w:p w14:paraId="90A94026">
            <w:pPr>
              <w:pStyle w:val="style0"/>
              <w:spacing w:after="160"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SAR</w:t>
            </w:r>
          </w:p>
        </w:tc>
        <w:tc>
          <w:tcPr>
            <w:tcW w:w="201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60F7A3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˂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10</w:t>
            </w:r>
          </w:p>
        </w:tc>
        <w:tc>
          <w:tcPr>
            <w:tcW w:w="49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D83E9E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(S1)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low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sodium</w:t>
            </w:r>
          </w:p>
        </w:tc>
      </w:tr>
      <w:tr w14:paraId="507E1E7C">
        <w:tblPrEx/>
        <w:trPr>
          <w:wAfter w:w="0" w:type="dxa"/>
          <w:cantSplit w:val="false"/>
          <w:tblHeader w:val="false"/>
          <w:jc w:val="left"/>
        </w:trPr>
        <w:tc>
          <w:tcPr>
            <w:tcW w:w="1917" w:type="dxa"/>
            <w:vMerge w:val="continue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</w:tcPr>
          <w:p w14:paraId="90A94026">
            <w:pPr>
              <w:pStyle w:val="style0"/>
              <w:spacing w:after="160" w:lineRule="auto" w:line="240"/>
              <w:jc w:val="left"/>
              <w:rPr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A97349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10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–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18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01B7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(S2)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medium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sodium</w:t>
            </w:r>
          </w:p>
        </w:tc>
      </w:tr>
      <w:tr w14:paraId="507E1E7C">
        <w:tblPrEx/>
        <w:trPr>
          <w:wAfter w:w="0" w:type="dxa"/>
          <w:cantSplit w:val="false"/>
          <w:tblHeader w:val="false"/>
          <w:jc w:val="left"/>
        </w:trPr>
        <w:tc>
          <w:tcPr>
            <w:tcW w:w="1917" w:type="dxa"/>
            <w:vMerge w:val="continue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</w:tcPr>
          <w:p w14:paraId="90A94026">
            <w:pPr>
              <w:pStyle w:val="style0"/>
              <w:spacing w:after="160" w:lineRule="auto" w:line="240"/>
              <w:jc w:val="left"/>
              <w:rPr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22505C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˃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18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–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26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319935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(S3)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high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sodium</w:t>
            </w:r>
          </w:p>
        </w:tc>
      </w:tr>
      <w:tr w14:paraId="507E1E7C">
        <w:tblPrEx/>
        <w:trPr>
          <w:wAfter w:w="0" w:type="dxa"/>
          <w:cantSplit w:val="false"/>
          <w:tblHeader w:val="false"/>
          <w:jc w:val="left"/>
        </w:trPr>
        <w:tc>
          <w:tcPr>
            <w:tcW w:w="1917" w:type="dxa"/>
            <w:vMerge w:val="continue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</w:tcPr>
          <w:p w14:paraId="90A94026">
            <w:pPr>
              <w:pStyle w:val="style0"/>
              <w:spacing w:after="160" w:lineRule="auto" w:line="240"/>
              <w:jc w:val="left"/>
              <w:rPr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05D2E2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˃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26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A87C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(S4)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very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high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IN" w:bidi="ar-SA" w:eastAsia="en-US"/>
              </w:rPr>
              <w:t>sodium</w:t>
            </w:r>
          </w:p>
        </w:tc>
      </w:tr>
    </w:tbl>
    <w:p w14:paraId="FC83AA3C">
      <w:pPr>
        <w:pStyle w:val="style0"/>
        <w:spacing w:after="112" w:lineRule="auto" w:line="480"/>
        <w:jc w:val="both"/>
        <w:rPr>
          <w:rFonts w:ascii="Times New Roman" w:cs="Times New Roman" w:eastAsia="Times-Roman" w:hAnsi="Times New Roman"/>
          <w:b/>
          <w:bCs/>
          <w:color w:val="36363d"/>
          <w:sz w:val="24"/>
          <w:szCs w:val="24"/>
        </w:rPr>
      </w:pPr>
    </w:p>
    <w:p w14:paraId="D7C85E19">
      <w:pPr>
        <w:pStyle w:val="style0"/>
        <w:spacing w:after="112" w:lineRule="auto" w:line="480"/>
        <w:jc w:val="both"/>
        <w:rPr>
          <w:rFonts w:ascii="Times New Roman" w:cs="Times New Roman" w:eastAsia="Times-Roman" w:hAnsi="Times New Roman"/>
          <w:b/>
          <w:bCs/>
          <w:color w:val="36363d"/>
          <w:sz w:val="24"/>
          <w:szCs w:val="24"/>
        </w:rPr>
      </w:pPr>
    </w:p>
    <w:p w14:paraId="53BEA422">
      <w:pPr>
        <w:pStyle w:val="style0"/>
        <w:spacing w:after="112" w:lineRule="auto" w:line="480"/>
        <w:jc w:val="both"/>
        <w:rPr>
          <w:rFonts w:ascii="Times New Roman" w:cs="Times New Roman" w:eastAsia="Times-Roman" w:hAnsi="Times New Roman"/>
          <w:b/>
          <w:bCs/>
          <w:color w:val="36363d"/>
          <w:sz w:val="24"/>
          <w:szCs w:val="24"/>
        </w:rPr>
      </w:pPr>
    </w:p>
    <w:tbl>
      <w:tblPr>
        <w:tblpPr w:leftFromText="0" w:rightFromText="0" w:topFromText="0" w:bottomFromText="0" w:vertAnchor="text" w:horzAnchor="page" w:tblpX="1605" w:tblpY="-158"/>
        <w:tblW w:w="885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1"/>
        <w:gridCol w:w="4173"/>
      </w:tblGrid>
      <w:tr w14:paraId="507E1E7C"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8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AD82D">
            <w:pPr>
              <w:pStyle w:val="style0"/>
              <w:spacing w:lineRule="auto" w:line="240"/>
              <w:jc w:val="both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Table S5.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Linear regression parameters and sensitivity metrics (LOD/LOQ) for the fluoride determination method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D84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Parameters 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69CEF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Value 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FA61C87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Standard Deviation (SD)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204199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0.370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94DA1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Standard Error (SE)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999C2E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0.247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5AE222D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Standard Error of the Intercept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01BA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0.168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2BDC1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Limit of Detection (LOD)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B624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0.02 mg/L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F731EAA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Limit of Quantification (LOQ)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EC56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0.07 mg/L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572AD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Slope of the Calibration Curve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EF5BE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-51.579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796D55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Intercept of the Curve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00CA6BB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315.02 mV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5A8D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R-Square (R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2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)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02087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0.9998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8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90411ED">
            <w:pPr>
              <w:pStyle w:val="style0"/>
              <w:spacing w:lineRule="auto" w:line="240"/>
              <w:jc w:val="both"/>
              <w:rPr>
                <w:highlight w:val="none"/>
              </w:rPr>
            </w:pP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Note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: The exceptional linearity (CaCO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subscript"/>
                <w:em w:val="none"/>
                <w:lang w:val="en-US" w:bidi="ar-SA" w:eastAsia="en-US"/>
              </w:rPr>
              <w:t>3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) and low Limit of Detection (LOD = 0.02 mg/L) provide the analytical backbone for this study, ensuring that even trace-level geogenic fluoride fluctuations are quantified with high precision.</w:t>
            </w:r>
          </w:p>
        </w:tc>
      </w:tr>
    </w:tbl>
    <w:p w14:paraId="D34EDDBB">
      <w:pPr>
        <w:pStyle w:val="style0"/>
        <w:spacing w:after="112" w:lineRule="auto" w:line="480"/>
        <w:jc w:val="both"/>
        <w:rPr>
          <w:rFonts w:ascii="Times New Roman" w:cs="Times New Roman" w:eastAsia="Times-Roman" w:hAnsi="Times New Roman"/>
          <w:b/>
          <w:bCs/>
          <w:color w:val="36363d"/>
          <w:sz w:val="24"/>
          <w:szCs w:val="24"/>
        </w:rPr>
      </w:pPr>
    </w:p>
    <w:tbl>
      <w:tblPr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2"/>
        <w:gridCol w:w="3050"/>
        <w:gridCol w:w="2322"/>
        <w:gridCol w:w="2322"/>
      </w:tblGrid>
      <w:tr w14:paraId="507E1E7C"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9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B2E22">
            <w:pPr>
              <w:pStyle w:val="style0"/>
              <w:spacing w:lineRule="auto" w:line="240"/>
              <w:jc w:val="both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Table S6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(a &amp; b).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Analytical performance and cross-validation metrics (ISE vs. Spectrophotometry) for fluoride quantification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9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3D7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Table S6 (a).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Potentiometric Method Validation (Ion-Selective Electrode)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908CCA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Taken (mg/L)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007B1FE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Metric*</w:t>
            </w:r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6ED3E7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Within-Day (n=3)</w:t>
            </w:r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BE36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Between-Day (n=3)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0DC9ACF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0.19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8611D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Measured (mg/L ± SD)</w:t>
            </w:r>
          </w:p>
        </w:tc>
        <w:tc>
          <w:tcPr>
            <w:tcW w:w="2322" w:type="dxa"/>
            <w:tcBorders>
              <w:top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C7DE4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0.1897±0.0006</w:t>
            </w:r>
          </w:p>
        </w:tc>
        <w:tc>
          <w:tcPr>
            <w:tcW w:w="2322" w:type="dxa"/>
            <w:tcBorders>
              <w:top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DF6CF8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0.187±0.0058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90DC9ACF">
            <w:pPr>
              <w:pStyle w:val="style0"/>
              <w:spacing w:lineRule="auto" w:line="240"/>
              <w:jc w:val="left"/>
              <w:rPr>
                <w:highlight w:val="none"/>
              </w:rPr>
            </w:pPr>
          </w:p>
        </w:tc>
        <w:tc>
          <w:tcPr>
            <w:tcW w:w="3050" w:type="dxa"/>
            <w:tcBorders>
              <w:lef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7F99B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Precision (RSD %)</w:t>
            </w:r>
          </w:p>
        </w:tc>
        <w:tc>
          <w:tcPr>
            <w:tcW w:w="2322" w:type="dxa"/>
            <w:tcBorders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FBC9B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8.96E-05 0.0000896</w:t>
            </w:r>
          </w:p>
        </w:tc>
        <w:tc>
          <w:tcPr>
            <w:tcW w:w="2322" w:type="dxa"/>
            <w:tcBorders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BE74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0.000896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90DC9ACF">
            <w:pPr>
              <w:pStyle w:val="style0"/>
              <w:spacing w:lineRule="auto" w:line="240"/>
              <w:jc w:val="left"/>
              <w:rPr>
                <w:highlight w:val="none"/>
              </w:rPr>
            </w:pPr>
          </w:p>
        </w:tc>
        <w:tc>
          <w:tcPr>
            <w:tcW w:w="3050" w:type="dxa"/>
            <w:tcBorders>
              <w:lef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697146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Accuracy (RE %)</w:t>
            </w:r>
          </w:p>
        </w:tc>
        <w:tc>
          <w:tcPr>
            <w:tcW w:w="2322" w:type="dxa"/>
            <w:tcBorders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26531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-0.158</w:t>
            </w:r>
          </w:p>
        </w:tc>
        <w:tc>
          <w:tcPr>
            <w:tcW w:w="2322" w:type="dxa"/>
            <w:tcBorders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3FB0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-1.579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90DC9ACF">
            <w:pPr>
              <w:pStyle w:val="style0"/>
              <w:spacing w:lineRule="auto" w:line="240"/>
              <w:jc w:val="left"/>
              <w:rPr>
                <w:highlight w:val="none"/>
              </w:rPr>
            </w:pPr>
          </w:p>
        </w:tc>
        <w:tc>
          <w:tcPr>
            <w:tcW w:w="3050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030267A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Recovery (RCV %)</w:t>
            </w:r>
          </w:p>
        </w:tc>
        <w:tc>
          <w:tcPr>
            <w:tcW w:w="2322" w:type="dxa"/>
            <w:tcBorders>
              <w:bottom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A5DE7E7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99.84</w:t>
            </w:r>
          </w:p>
        </w:tc>
        <w:tc>
          <w:tcPr>
            <w:tcW w:w="2322" w:type="dxa"/>
            <w:tcBorders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9886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98.42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796FB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A6169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Measured (mg/L ± SD)</w:t>
            </w:r>
          </w:p>
        </w:tc>
        <w:tc>
          <w:tcPr>
            <w:tcW w:w="2322" w:type="dxa"/>
            <w:tcBorders>
              <w:top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3801CC3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1.98±0.0764</w:t>
            </w:r>
          </w:p>
        </w:tc>
        <w:tc>
          <w:tcPr>
            <w:tcW w:w="2322" w:type="dxa"/>
            <w:tcBorders>
              <w:top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E2081E7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1.99 ±0.1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0D9796FB">
            <w:pPr>
              <w:pStyle w:val="style0"/>
              <w:spacing w:lineRule="auto" w:line="240"/>
              <w:jc w:val="left"/>
              <w:rPr>
                <w:highlight w:val="none"/>
              </w:rPr>
            </w:pPr>
          </w:p>
        </w:tc>
        <w:tc>
          <w:tcPr>
            <w:tcW w:w="3050" w:type="dxa"/>
            <w:tcBorders>
              <w:lef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CC10BDF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Precision (RSD %)</w:t>
            </w:r>
          </w:p>
        </w:tc>
        <w:tc>
          <w:tcPr>
            <w:tcW w:w="2322" w:type="dxa"/>
            <w:tcBorders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FF90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0.12472</w:t>
            </w:r>
          </w:p>
        </w:tc>
        <w:tc>
          <w:tcPr>
            <w:tcW w:w="2322" w:type="dxa"/>
            <w:tcBorders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EB2931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0.163299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0D9796FB">
            <w:pPr>
              <w:pStyle w:val="style0"/>
              <w:spacing w:lineRule="auto" w:line="240"/>
              <w:jc w:val="left"/>
              <w:rPr>
                <w:highlight w:val="none"/>
              </w:rPr>
            </w:pPr>
          </w:p>
        </w:tc>
        <w:tc>
          <w:tcPr>
            <w:tcW w:w="3050" w:type="dxa"/>
            <w:tcBorders>
              <w:lef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E24414E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Accuracy (RE %)</w:t>
            </w:r>
          </w:p>
        </w:tc>
        <w:tc>
          <w:tcPr>
            <w:tcW w:w="2322" w:type="dxa"/>
            <w:tcBorders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E0D03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-1.00</w:t>
            </w:r>
          </w:p>
        </w:tc>
        <w:tc>
          <w:tcPr>
            <w:tcW w:w="2322" w:type="dxa"/>
            <w:tcBorders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516A7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-0.5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0D9796FB">
            <w:pPr>
              <w:pStyle w:val="style0"/>
              <w:spacing w:lineRule="auto" w:line="240"/>
              <w:jc w:val="left"/>
              <w:rPr>
                <w:highlight w:val="none"/>
              </w:rPr>
            </w:pPr>
          </w:p>
        </w:tc>
        <w:tc>
          <w:tcPr>
            <w:tcW w:w="3050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4F4E3E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Recovery (RCV %)</w:t>
            </w:r>
          </w:p>
        </w:tc>
        <w:tc>
          <w:tcPr>
            <w:tcW w:w="2322" w:type="dxa"/>
            <w:tcBorders>
              <w:bottom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ABA8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99.00</w:t>
            </w:r>
          </w:p>
        </w:tc>
        <w:tc>
          <w:tcPr>
            <w:tcW w:w="2322" w:type="dxa"/>
            <w:tcBorders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0FDC9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99.5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CC8B1C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19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5124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Measured (mg/L ± SD)</w:t>
            </w:r>
          </w:p>
        </w:tc>
        <w:tc>
          <w:tcPr>
            <w:tcW w:w="2322" w:type="dxa"/>
            <w:tcBorders>
              <w:top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8E59A8D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18.99±0.0321</w:t>
            </w:r>
          </w:p>
        </w:tc>
        <w:tc>
          <w:tcPr>
            <w:tcW w:w="2322" w:type="dxa"/>
            <w:tcBorders>
              <w:top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1A6B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19.02±0.0763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DCC8B1C6">
            <w:pPr>
              <w:pStyle w:val="style0"/>
              <w:spacing w:lineRule="auto" w:line="240"/>
              <w:jc w:val="left"/>
              <w:rPr>
                <w:highlight w:val="none"/>
              </w:rPr>
            </w:pPr>
          </w:p>
        </w:tc>
        <w:tc>
          <w:tcPr>
            <w:tcW w:w="3050" w:type="dxa"/>
            <w:tcBorders>
              <w:lef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11D244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Precision (RSD %)</w:t>
            </w:r>
          </w:p>
        </w:tc>
        <w:tc>
          <w:tcPr>
            <w:tcW w:w="2322" w:type="dxa"/>
            <w:tcBorders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3EFD499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0.49869</w:t>
            </w:r>
          </w:p>
        </w:tc>
        <w:tc>
          <w:tcPr>
            <w:tcW w:w="2322" w:type="dxa"/>
            <w:tcBorders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4B5906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1.184858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DCC8B1C6">
            <w:pPr>
              <w:pStyle w:val="style0"/>
              <w:spacing w:lineRule="auto" w:line="240"/>
              <w:jc w:val="left"/>
              <w:rPr>
                <w:highlight w:val="none"/>
              </w:rPr>
            </w:pPr>
          </w:p>
        </w:tc>
        <w:tc>
          <w:tcPr>
            <w:tcW w:w="3050" w:type="dxa"/>
            <w:tcBorders>
              <w:lef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70B836B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Accuracy (RE %)</w:t>
            </w:r>
          </w:p>
        </w:tc>
        <w:tc>
          <w:tcPr>
            <w:tcW w:w="2322" w:type="dxa"/>
            <w:tcBorders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06D3C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-0.053</w:t>
            </w:r>
          </w:p>
        </w:tc>
        <w:tc>
          <w:tcPr>
            <w:tcW w:w="2322" w:type="dxa"/>
            <w:tcBorders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FFB73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0.105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DCC8B1C6">
            <w:pPr>
              <w:pStyle w:val="style0"/>
              <w:spacing w:lineRule="auto" w:line="240"/>
              <w:jc w:val="left"/>
              <w:rPr>
                <w:highlight w:val="none"/>
              </w:rPr>
            </w:pPr>
          </w:p>
        </w:tc>
        <w:tc>
          <w:tcPr>
            <w:tcW w:w="3050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BB3A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Recovery (RCV %)</w:t>
            </w:r>
          </w:p>
        </w:tc>
        <w:tc>
          <w:tcPr>
            <w:tcW w:w="2322" w:type="dxa"/>
            <w:tcBorders>
              <w:bottom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D7907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99.95</w:t>
            </w:r>
          </w:p>
        </w:tc>
        <w:tc>
          <w:tcPr>
            <w:tcW w:w="2322" w:type="dxa"/>
            <w:tcBorders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D1E1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100.11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9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16BE87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Table S6 (b).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Spectrophotometric Method Validation (HACH DR 3900)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1A1855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Taken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(mg/L)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694AA4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Metric*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3692E3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Within-Day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(n=3)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F6A7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Between-Day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(n=3)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6FCD40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8DA6D2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Measured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(mg/L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±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SD)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884AC9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0.257±0.0252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4F259C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0.253±0.0153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A6FCD40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0AAE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Precision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(RSD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%)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7E54B6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0.005342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266A37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0.003367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A6FCD40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6017CB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Accuracy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(RE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%)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3146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-14.33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DD4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-15.67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A6FCD40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E6B26C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Recovery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(RCV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%)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BAFB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85.67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D88A77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84.33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808C26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1.4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5C3F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Measured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(mg/L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±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SD)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E2EB2C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1.35±0.1323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071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1.367±0.2082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9808C26F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708558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Precision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(RSD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%)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3BAFF9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0.162019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88E5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0.271948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9808C26F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763C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Accuracy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(RE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%)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0FB5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-3.57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AC8B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-2.36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9808C26F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7DA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Recovery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(RCV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%)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FDA9F6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96.43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D9D1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97.64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31AF44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1.8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30CDAC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Measured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(mg/L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±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SD)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1C2C47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1.87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±0.1528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B7C2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1.7±0.20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A31AF443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5065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Precision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(RSD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%)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FA2380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0.236972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84A974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0.277609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A31AF443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D7DE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Accuracy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(RE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%)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5979FF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3.89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AAEC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-5.56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159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/>
          </w:tcPr>
          <w:p w14:paraId="A31AF443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DAB217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Recovery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(RCV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%)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A0F0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103.89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9FEA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94.44</w:t>
            </w:r>
          </w:p>
        </w:tc>
      </w:tr>
      <w:tr w14:paraId="507E1E7C"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9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9AA9D0D">
            <w:pPr>
              <w:pStyle w:val="style0"/>
              <w:spacing w:lineRule="auto" w:line="240"/>
              <w:jc w:val="both"/>
              <w:rPr/>
            </w:pP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*SD: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Standard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Deviation,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RSD: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Relative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Standard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Deviation,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RE: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Relative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Error,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RCV%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Recovery,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 *Average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three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replicate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Calibri" w:cs="Calibri" w:eastAsia="SimSun" w:hAnsi="Calibri" w:hint="default"/>
                <w:b/>
                <w:bCs/>
                <w:i/>
                <w:iCs/>
                <w:color w:val="auto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determinations</w:t>
            </w:r>
          </w:p>
        </w:tc>
      </w:tr>
    </w:tbl>
    <w:p w14:paraId="542FB336">
      <w:pPr>
        <w:pStyle w:val="style0"/>
        <w:spacing w:after="112" w:lineRule="auto" w:line="480"/>
        <w:jc w:val="both"/>
        <w:rPr>
          <w:rFonts w:ascii="Times New Roman" w:cs="Times New Roman" w:eastAsia="Times-Roman" w:hAnsi="Times New Roman"/>
          <w:b/>
          <w:bCs/>
          <w:color w:val="36363d"/>
          <w:sz w:val="24"/>
          <w:szCs w:val="24"/>
        </w:rPr>
      </w:pPr>
    </w:p>
    <w:p w14:paraId="D78B7FE0">
      <w:pPr>
        <w:pStyle w:val="style0"/>
        <w:spacing w:after="112" w:lineRule="auto" w:line="480"/>
        <w:jc w:val="both"/>
        <w:rPr>
          <w:rFonts w:ascii="Times New Roman" w:cs="Times New Roman" w:eastAsia="Times-Roman" w:hAnsi="Times New Roman"/>
          <w:b/>
          <w:bCs/>
          <w:color w:val="36363d"/>
          <w:sz w:val="24"/>
          <w:szCs w:val="24"/>
        </w:rPr>
      </w:pPr>
    </w:p>
    <w:tbl>
      <w:tblPr>
        <w:jc w:val="lef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72"/>
        <w:gridCol w:w="572"/>
        <w:gridCol w:w="533"/>
      </w:tblGrid>
      <w:tr w14:paraId="507E1E7C">
        <w:trPr>
          <w:cantSplit w:val="false"/>
          <w:tblHeader w:val="false"/>
          <w:jc w:val="left"/>
        </w:trPr>
        <w:tc>
          <w:tcPr>
            <w:tcW w:w="92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F145F5F">
            <w:pPr>
              <w:pStyle w:val="style0"/>
              <w:spacing w:lineRule="auto" w:line="240"/>
              <w:jc w:val="both"/>
              <w:rPr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Table S7.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Synergistic inter-elemental relationships: Pearson correlation analysis (r) of the 15-parameter suite in Al-Musaymir’s surface wells (n=17)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43F0B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3CBBD6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pH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F01E8E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EC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BE9C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TDS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1F0847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Ca²⁺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238A4C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Mg²⁺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C5138A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TH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681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Na⁺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C37F45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K⁺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7E04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5945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SO₄²⁻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D39FB9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HCO₃⁻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100F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bf0000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NO₃⁻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112EAF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F⁻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1BEC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pH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793454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DDEDAEE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A5AA0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56FF4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E532E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B350B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2ACC3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A8A92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4624D5F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FA7C0C5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FF908F6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9BEE6DC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41F5D0F">
            <w:pPr>
              <w:pStyle w:val="style0"/>
              <w:spacing w:lineRule="auto" w:line="240"/>
              <w:jc w:val="left"/>
              <w:rPr/>
            </w:pP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B1E7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EC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5005B6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0.71**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F11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8F48FFD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CC303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61D76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5B5C388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34216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B68169C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09C299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4E707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0A5A5A8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630D0B2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7C09415">
            <w:pPr>
              <w:pStyle w:val="style0"/>
              <w:spacing w:lineRule="auto" w:line="240"/>
              <w:jc w:val="left"/>
              <w:rPr/>
            </w:pP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4189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TDS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DBF96F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0.70**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B0F8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0.99**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5D7BF1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8173820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A677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5DB98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C468F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B097BAE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BF2D4D4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8A7B308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21FD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032CC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EB471">
            <w:pPr>
              <w:pStyle w:val="style0"/>
              <w:spacing w:lineRule="auto" w:line="240"/>
              <w:jc w:val="left"/>
              <w:rPr/>
            </w:pP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FE8DFE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Ca²⁺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DAF0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0.45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924E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0.65**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31AFBD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0.46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E6BE9B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6F02A75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5428C62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E854CF5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5B82401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33955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3481268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0CEE4F6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DDFF4EF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FDF6A07">
            <w:pPr>
              <w:pStyle w:val="style0"/>
              <w:spacing w:lineRule="auto" w:line="240"/>
              <w:jc w:val="left"/>
              <w:rPr/>
            </w:pP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A2CA6B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Mg²⁺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BF62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0.42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EF04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0.61**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5165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0.62**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39B252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0.81**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D5C2A0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C8C5542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22238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85636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39D850D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8C62156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4D5A1D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057614C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7727C69">
            <w:pPr>
              <w:pStyle w:val="style0"/>
              <w:spacing w:lineRule="auto" w:line="240"/>
              <w:jc w:val="left"/>
              <w:rPr/>
            </w:pP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B78F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TH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DC5C47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0.48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A78E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0.68**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1687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0.67**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3E9CCB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0.93**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964AA1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0.91**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5BD2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AC800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55B20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3FDEF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A048D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5A6FD8D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DF69F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EC0B">
            <w:pPr>
              <w:pStyle w:val="style0"/>
              <w:spacing w:lineRule="auto" w:line="240"/>
              <w:jc w:val="left"/>
              <w:rPr/>
            </w:pP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D994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Na⁺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3463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0.75**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0BB4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0.88**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B0843E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0.91**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41E2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0.26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E739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0.60*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FE0B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0.68**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4EAE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15EB8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3DE81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18CDE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54F8A97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408F8B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929DC9B">
            <w:pPr>
              <w:pStyle w:val="style0"/>
              <w:spacing w:lineRule="auto" w:line="240"/>
              <w:jc w:val="left"/>
              <w:rPr/>
            </w:pP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AAD6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K⁺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559E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4B11DB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0.45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85B859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0.43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7F9E72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BC6213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0.26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8A25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A5F021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0.25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17AD0A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8B70656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083D5A8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43F2596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1BC4C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FC6E">
            <w:pPr>
              <w:pStyle w:val="style0"/>
              <w:spacing w:lineRule="auto" w:line="240"/>
              <w:jc w:val="left"/>
              <w:rPr/>
            </w:pP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BB71C6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346A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C228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0.78**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2D24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0.76**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37E2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0.88**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091422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0.84**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0664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0.90**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6BA947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0.74**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9CCA0E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C7D8E5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61606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F982E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01356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F82E2B4">
            <w:pPr>
              <w:pStyle w:val="style0"/>
              <w:spacing w:lineRule="auto" w:line="240"/>
              <w:jc w:val="left"/>
              <w:rPr/>
            </w:pP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8682A7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SO₄²⁻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7776FF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F2D0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0.72**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F5C4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0.75**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B476EC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0.60*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0CF34A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0.54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D3CB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0.62**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BA1F03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0.75**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D9F677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0.49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96D1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0.86**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89C16C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16438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AD5EF41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6CE4A04">
            <w:pPr>
              <w:pStyle w:val="style0"/>
              <w:spacing w:lineRule="auto" w:line="240"/>
              <w:jc w:val="left"/>
              <w:rPr/>
            </w:pP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72FF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HCO₃⁻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F692C9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0.19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BE8166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0.44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305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0.48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3BB0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0.12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E3A057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0.11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A2BF1F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0.15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CB8F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0.23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736FC8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0.65**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DAB3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C0B0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F0B9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1.00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B2D31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AF9521E">
            <w:pPr>
              <w:pStyle w:val="style0"/>
              <w:spacing w:lineRule="auto" w:line="240"/>
              <w:jc w:val="left"/>
              <w:rPr/>
            </w:pP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FA3F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NO₃⁻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DD90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0.20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606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0.18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CA1747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0.17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78DA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960D97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744E89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1AF2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0.20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22D8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0.25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F72B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F81213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FF2E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0.37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AD4B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1.00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12589F7">
            <w:pPr>
              <w:pStyle w:val="style0"/>
              <w:spacing w:lineRule="auto" w:line="240"/>
              <w:jc w:val="left"/>
              <w:rPr/>
            </w:pP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CC04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F⁻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85FF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0.71**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FAF8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0.86**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3098C1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0.82**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3C88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0.65**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9B05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0.61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3168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0.68**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3130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0.65**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0B83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0.29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F4DA2C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0.78**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EB6415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0.72**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D7E70F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0.37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09B2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bf0000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0.25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F5513D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1.00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92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5D842">
            <w:pPr>
              <w:pStyle w:val="style0"/>
              <w:spacing w:lineRule="auto" w:line="240"/>
              <w:jc w:val="both"/>
              <w:rPr>
                <w:color w:val="36363d"/>
                <w:sz w:val="22"/>
                <w:szCs w:val="22"/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* p value &lt; 0.05; ** p value &lt; 0.01</w:t>
            </w:r>
          </w:p>
          <w:p w14:paraId="49A08D92">
            <w:pPr>
              <w:pStyle w:val="style0"/>
              <w:spacing w:lineRule="auto" w:line="240"/>
              <w:jc w:val="both"/>
              <w:rPr>
                <w:sz w:val="22"/>
                <w:szCs w:val="22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Table S7.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displays the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Pearson correlation coefficients (r) for 15 physicochemical parameters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, revealing the synergistic relationships driving the hydrogeochemistry of Al-Musaymir. Significant positive correlations are observed between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Fluoride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and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pH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80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(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r=0.71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80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),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and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Fluoride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and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TDS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80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 (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r=0.82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80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)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mathematically confirming the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alkaline leaching mechanism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and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geogenic mineralizatio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n. Conversely, the negligible correlation between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Fluoride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and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Nitrate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80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(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r=0.25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80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)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serves as a diagnostic indicator, effectively isolating the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primary geogenic crisis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from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secondary anthropogenic inputs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.</w:t>
            </w:r>
          </w:p>
        </w:tc>
      </w:tr>
    </w:tbl>
    <w:p w14:paraId="D79E7281">
      <w:pPr>
        <w:pStyle w:val="style0"/>
        <w:spacing w:after="112" w:lineRule="auto" w:line="480"/>
        <w:jc w:val="both"/>
        <w:rPr>
          <w:rFonts w:ascii="Times New Roman" w:cs="Times New Roman" w:eastAsia="Times-Roman" w:hAnsi="Times New Roman"/>
          <w:b/>
          <w:bCs/>
          <w:color w:val="36363d"/>
          <w:sz w:val="24"/>
          <w:szCs w:val="24"/>
        </w:rPr>
      </w:pPr>
    </w:p>
    <w:p w14:paraId="640B8EC6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0D82BC1F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F107C99D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3C40F94B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8E0E0DCC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FF9C63BA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CF61F39E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C9A51552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2EFC8FCE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B03338C8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25A082E6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27A73A17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015C6736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EB87014B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B6C734DA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0BD4A4EE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44F59CF8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A813EF7C">
      <w:pPr>
        <w:pStyle w:val="style0"/>
        <w:rPr>
          <w:rFonts w:ascii="Times New Roman" w:cs="Times New Roman" w:hAnsi="Times New Roman"/>
          <w:sz w:val="22"/>
          <w:szCs w:val="22"/>
        </w:rPr>
      </w:pP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type w:val="nextColumn"/>
      <w:pgSz w:w="11906" w:h="16838" w:orient="portrait" w:code="9"/>
      <w:pgMar w:top="1418" w:right="1418" w:bottom="1418" w:left="1418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0000000000000000000"/>
    <w:charset w:val="00"/>
    <w:family w:val="roman"/>
    <w:pitch w:val="variable"/>
    <w:sig w:usb0="E0002A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0000000000000000000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0000000000000000000"/>
    <w:charset w:val="00"/>
    <w:family w:val="swiss"/>
    <w:pitch w:val="variable"/>
    <w:sig w:usb0="E0002AFF" w:usb1="4000ACFF" w:usb2="00000001" w:usb3="00000000" w:csb0="000001FF" w:csb1="00000000"/>
  </w:font>
  <w:font w:name="Times-Roman">
    <w:altName w:val="Times New Roman"/>
    <w:panose1 w:val="00000000000000000000"/>
    <w:charset w:val="00"/>
    <w:family w:val="roman"/>
    <w:pitch w:val="variable"/>
    <w:sig w:usb0="20007A87" w:usb1="80000000" w:usb2="00000008" w:usb3="00000000" w:csb0="000001FF" w:csb1="00000000"/>
  </w:font>
  <w:font w:name="SimSun">
    <w:altName w:val="宋体"/>
    <w:panose1 w:val="00000000000000000000"/>
    <w:charset w:val="7a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0000000000000000000"/>
    <w:charset w:val="00"/>
    <w:family w:val="swiss"/>
    <w:pitch w:val="variable"/>
    <w:sig w:usb0="A0002AEF" w:usb1="4000207B" w:usb2="00000000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altName w:val="Cambria Math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650525EB"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E20415E6"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B86FF92">
    <w:pPr>
      <w:pStyle w:val="style31"/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7E8A4293"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96D31432">
    <w:pPr>
      <w:pStyle w:val="style0"/>
      <w:jc w:val="center"/>
      <w:rPr>
        <w:rStyle w:val="style0"/>
      </w:rPr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540A384A"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name w:val="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0000001"/>
    <w:multiLevelType w:val="hybridMultilevel"/>
    <w:tmpl w:val="00000000"/>
    <w:name w:val="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00000002"/>
    <w:multiLevelType w:val="multilevel"/>
    <w:tmpl w:val="E182D8AC"/>
    <w:name w:val=""/>
    <w:lvl w:ilvl="0">
      <w:start w:val="1"/>
      <w:numFmt w:val="bullet"/>
      <w:lvlText w:val="•"/>
      <w:lvlJc w:val="left"/>
      <w:pPr/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3">
    <w:nsid w:val="00000003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E8D82960"/>
    <w:name w:val="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36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36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360"/>
      </w:pPr>
    </w:lvl>
  </w:abstractNum>
  <w:abstractNum w:abstractNumId="17">
    <w:nsid w:val="00000011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00000000"/>
    <w:name w:val="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19">
    <w:nsid w:val="00000013"/>
    <w:multiLevelType w:val="hybridMultilevel"/>
    <w:tmpl w:val="00000000"/>
    <w:name w:val="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20">
    <w:nsid w:val="00000014"/>
    <w:multiLevelType w:val="hybridMultilevel"/>
    <w:tmpl w:val="00000000"/>
    <w:name w:val="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21">
    <w:nsid w:val="00000015"/>
    <w:multiLevelType w:val="hybridMultilevel"/>
    <w:tmpl w:val="00000000"/>
    <w:name w:val="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22">
    <w:nsid w:val="00000016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5">
    <w:nsid w:val="00000019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6">
    <w:nsid w:val="0000001A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5"/>
  </w:num>
  <w:num w:numId="9">
    <w:abstractNumId w:val="6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14"/>
  </w:num>
  <w:num w:numId="17">
    <w:abstractNumId w:val="15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print"/>
  <w:zoom w:percent="11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ocumentProtection w:formatting="0" w:enforcement="0"/>
  <w:defaultTabStop w:val="720"/>
  <w:bookFoldPrintingSheets w:val="0"/>
  <w:drawingGridHorizontalSpacing w:val="180"/>
  <w:drawingGridVerticalSpacing w:val="180"/>
  <w:displayHorizontalDrawingGridEvery w:val="1"/>
  <w:displayVerticalDrawingGridEvery w:val="1"/>
  <w:drawingGridHorizontalOrigin w:val="1418"/>
  <w:drawingGridVerticalOrigin w:val="1418"/>
  <w:characterSpacingControl w:val="doNotCompress"/>
  <w:endnotePr>
    <w:pos w:val="docEnd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SimSun" w:hAnsi="Calibri"/>
      </w:rPr>
    </w:rPrDefault>
    <w:pPrDefault>
      <w:pPr/>
    </w:pPrDefault>
  </w:docDefaults>
  <w:style w:type="paragraph" w:default="1" w:styleId="style0">
    <w:name w:val="Normal"/>
    <w:next w:val="style0"/>
    <w:pPr/>
    <w:rPr>
      <w:rFonts w:cs="Calibri"/>
      <w:sz w:val="21"/>
      <w:lang w:val="en-US" w:bidi="ar-SA" w:eastAsia="en-US"/>
    </w:rPr>
  </w:style>
  <w:style w:type="paragraph" w:styleId="style31">
    <w:name w:val="header"/>
    <w:basedOn w:val="style0"/>
    <w:next w:val="style31"/>
    <w:pPr>
      <w:tabs>
        <w:tab w:val="center" w:leader="none" w:pos="4140"/>
        <w:tab w:val="right" w:leader="none" w:pos="8300"/>
      </w:tabs>
      <w:spacing w:before="0" w:after="0" w:lineRule="auto" w:line="240"/>
      <w:ind w:left="0" w:right="0"/>
    </w:pPr>
    <w:rPr>
      <w:rFonts w:ascii="Calibri" w:cs="Arial" w:eastAsia="SimSun" w:hAnsi="Calibri"/>
      <w:sz w:val="22"/>
      <w:szCs w:val="22"/>
      <w:lang w:val="en-US" w:bidi="ar-SA" w:eastAsia="en-US"/>
    </w:rPr>
  </w:style>
  <w:style w:type="paragraph" w:styleId="style32">
    <w:name w:val="footer"/>
    <w:basedOn w:val="style0"/>
    <w:next w:val="style32"/>
    <w:pPr>
      <w:tabs>
        <w:tab w:val="center" w:leader="none" w:pos="4680"/>
        <w:tab w:val="right" w:leader="none" w:pos="9360"/>
      </w:tabs>
      <w:spacing w:before="0" w:after="0" w:lineRule="auto" w:line="240"/>
      <w:ind w:left="0" w:right="0"/>
    </w:pPr>
    <w:rPr>
      <w:rFonts w:ascii="Times New Roman" w:cs="Times New Roman" w:eastAsia="SimSun" w:hAnsi="Times New Roman"/>
      <w:sz w:val="21"/>
    </w:rPr>
  </w:style>
  <w:style w:type="paragraph" w:styleId="style1">
    <w:name w:val="heading 1"/>
    <w:basedOn w:val="style0"/>
    <w:next w:val="style1"/>
    <w:pPr>
      <w:keepNext/>
      <w:keepLines/>
      <w:widowControl w:val="false"/>
      <w:spacing w:before="240" w:after="0"/>
      <w:ind w:left="0" w:right="0"/>
      <w:outlineLvl w:val="0"/>
    </w:pPr>
    <w:rPr>
      <w:rFonts w:ascii="Calibri Light" w:cs="Times New Roman" w:eastAsia="SimSun" w:hAnsi="Calibri Light"/>
      <w:b w:val="false"/>
      <w:bCs w:val="false"/>
      <w:color w:val="2f5496"/>
      <w:sz w:val="32"/>
      <w:szCs w:val="32"/>
    </w:rPr>
  </w:style>
  <w:style w:type="character" w:default="1" w:styleId="style65">
    <w:name w:val="Default Paragraph Font"/>
    <w:next w:val="style65"/>
    <w:rPr>
      <w:rFonts w:ascii="Calibri" w:cs="Arial" w:eastAsia="SimSun" w:hAnsi="Calibri"/>
      <w:sz w:val="22"/>
      <w:szCs w:val="22"/>
      <w:lang w:val="en-US" w:bidi="ar-SA" w:eastAsia="en-US"/>
    </w:rPr>
  </w:style>
  <w:style w:type="table" w:default="1" w:styleId="style105">
    <w:name w:val="Normal Table"/>
    <w:next w:val="style105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>
      <w:spacing w:after="200" w:lineRule="auto" w:line="276"/>
    </w:pPr>
  </w:style>
  <w:style w:type="paragraph" w:styleId="style179">
    <w:name w:val="List Paragraph"/>
    <w:basedOn w:val="style0"/>
    <w:next w:val="style179"/>
    <w:pPr>
      <w:spacing w:before="0" w:after="0"/>
      <w:ind w:left="720" w:right="0"/>
    </w:pPr>
    <w:rPr>
      <w:rFonts w:ascii="Times New Roman" w:cs="Times New Roman" w:eastAsia="SimSun" w:hAnsi="Times New Roman"/>
      <w:sz w:val="21"/>
    </w:rPr>
  </w:style>
  <w:style w:type="character" w:styleId="style85">
    <w:name w:val="Hyperlink"/>
    <w:next w:val="style85"/>
    <w:rPr>
      <w:rFonts w:ascii="Calibri" w:cs="Arial" w:eastAsia="SimSun" w:hAnsi="Calibri"/>
      <w:color w:val="0000ff"/>
      <w:sz w:val="22"/>
      <w:szCs w:val="22"/>
      <w:u w:val="single"/>
      <w:lang w:val="en-US" w:bidi="ar-SA" w:eastAsia="en-US"/>
    </w:rPr>
  </w:style>
  <w:style w:type="character" w:customStyle="1" w:styleId="style4097">
    <w:name w:val="Header Char_9d11616d-ad79-415f-96a8-55f34b7bf9a7"/>
    <w:next w:val="style4097"/>
    <w:link w:val="style31"/>
    <w:rPr>
      <w:rFonts w:ascii="Calibri" w:cs="Arial" w:eastAsia="SimSun" w:hAnsi="Calibri"/>
      <w:sz w:val="22"/>
      <w:szCs w:val="22"/>
      <w:lang w:val="en-US" w:bidi="ar-SA" w:eastAsia="en-US"/>
    </w:rPr>
  </w:style>
  <w:style w:type="table" w:styleId="style154">
    <w:name w:val="Table Grid"/>
    <w:basedOn w:val="style105"/>
    <w:next w:val="style154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styleId="style167">
    <w:name w:val="Medium Grid 3"/>
    <w:basedOn w:val="style105"/>
    <w:next w:val="style167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blStylePr w:type="firstRow">
      <w:pPr/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blStylePr w:type="firstRow">
      <w:pPr/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blStylePr w:type="firstRow">
      <w:pPr/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blStylePr w:type="firstRow">
      <w:pPr/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blStylePr w:type="firstRow">
      <w:pPr/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blStylePr w:type="firstRow">
      <w:pPr/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blStylePr w:type="firstRow">
      <w:pPr/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character" w:customStyle="1" w:styleId="style4098">
    <w:name w:val="Footer Char_aebf0893-4385-4704-ad53-76351c3cf204"/>
    <w:next w:val="style4098"/>
    <w:link w:val="style32"/>
    <w:rPr>
      <w:rFonts w:ascii="Calibri" w:cs="Arial" w:eastAsia="SimSun" w:hAnsi="Calibri"/>
      <w:sz w:val="22"/>
      <w:szCs w:val="22"/>
      <w:lang w:val="en-US" w:bidi="ar-SA" w:eastAsia="en-US"/>
    </w:rPr>
  </w:style>
  <w:style w:type="character" w:styleId="style88">
    <w:name w:val="Emphasis"/>
    <w:next w:val="style88"/>
    <w:rPr>
      <w:rFonts w:ascii="Times New Roman" w:cs="Times New Roman" w:eastAsia="Times New Roman" w:hAnsi="Times New Roman"/>
      <w:i/>
      <w:iCs/>
      <w:sz w:val="22"/>
      <w:szCs w:val="22"/>
      <w:lang w:val="en-US" w:bidi="ar-SA"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1043</Words>
  <Pages>1</Pages>
  <Characters>5525</Characters>
  <Application>WPS Office</Application>
  <DocSecurity>0</DocSecurity>
  <Paragraphs>845</Paragraphs>
  <ScaleCrop>false</ScaleCrop>
  <LinksUpToDate>false</LinksUpToDate>
  <CharactersWithSpaces>6000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٢٠٢٦-٠٥-٢٤T٢٣:٥٩:٠٠Z</dcterms:created>
  <dc:creator>WPS Office</dc:creator>
  <lastModifiedBy>Redmi Note 8 Pro</lastModifiedBy>
  <dcterms:modified xsi:type="dcterms:W3CDTF">٢٠٢٦-٠٧-٢٦T٢٢:٥٦:٥٨Z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04397cc91008495aa89d288a984d3212_23</vt:lpwstr>
  </property>
</Properties>
</file>