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>Supplementary Information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>Supplementary Table Legends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kern w:val="2"/>
          <w:sz w:val="22"/>
          <w:szCs w:val="22"/>
          <w:lang w:val="en-US" w:eastAsia="zh-Hans" w:bidi="ar"/>
        </w:rPr>
        <w:t>S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>1. Clinical features for the LCC and RCC patients in GSE39582 of GEO database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>.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>Supplementary Table 2. Differential expressed gene in LCC and RCC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>.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>Supplementary Table 3. GO enrichment results of differential expressed genes in LCC and RCC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 xml:space="preserve">Supplementary Table 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>4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>KEGG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 xml:space="preserve"> enrichment results of differential expressed genes in LCC and RCC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 xml:space="preserve">Supplementary Table 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>5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 xml:space="preserve">. The </w:t>
      </w:r>
      <w:r>
        <w:rPr>
          <w:rFonts w:hint="eastAsia" w:ascii="Times New Roman" w:hAnsi="Times New Roman" w:eastAsia="宋体" w:cs="Times New Roman"/>
          <w:b/>
          <w:kern w:val="2"/>
          <w:sz w:val="22"/>
          <w:szCs w:val="22"/>
          <w:lang w:val="en-US" w:eastAsia="zh-Hans" w:bidi="ar"/>
        </w:rPr>
        <w:t>U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 xml:space="preserve">nivariate and </w:t>
      </w:r>
      <w:r>
        <w:rPr>
          <w:rFonts w:hint="eastAsia" w:ascii="Times New Roman" w:hAnsi="Times New Roman" w:eastAsia="宋体" w:cs="Times New Roman"/>
          <w:b/>
          <w:kern w:val="2"/>
          <w:sz w:val="22"/>
          <w:szCs w:val="22"/>
          <w:lang w:val="en-US" w:eastAsia="zh-Hans" w:bidi="ar"/>
        </w:rPr>
        <w:t>M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>ultivariate Cox analysis for risk s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eastAsia="zh-CN" w:bidi="ar"/>
        </w:rPr>
        <w:t>core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 xml:space="preserve"> and clinical characteristics in LCC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eastAsia="zh-CN" w:bidi="ar"/>
        </w:rPr>
        <w:t>.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 xml:space="preserve">Supplementary Table 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>6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>.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 xml:space="preserve">The </w:t>
      </w:r>
      <w:r>
        <w:rPr>
          <w:rFonts w:hint="eastAsia" w:ascii="Times New Roman" w:hAnsi="Times New Roman" w:eastAsia="宋体" w:cs="Times New Roman"/>
          <w:b/>
          <w:kern w:val="2"/>
          <w:sz w:val="22"/>
          <w:szCs w:val="22"/>
          <w:lang w:val="en-US" w:eastAsia="zh-Hans" w:bidi="ar"/>
        </w:rPr>
        <w:t>U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 xml:space="preserve">nivariate and </w:t>
      </w:r>
      <w:r>
        <w:rPr>
          <w:rFonts w:hint="eastAsia" w:ascii="Times New Roman" w:hAnsi="Times New Roman" w:eastAsia="宋体" w:cs="Times New Roman"/>
          <w:b/>
          <w:kern w:val="2"/>
          <w:sz w:val="22"/>
          <w:szCs w:val="22"/>
          <w:lang w:val="en-US" w:eastAsia="zh-Hans" w:bidi="ar"/>
        </w:rPr>
        <w:t>M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>ultivariate Cox analysis for risk s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eastAsia="zh-CN" w:bidi="ar"/>
        </w:rPr>
        <w:t>core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 xml:space="preserve"> and clinical characteristics in RCC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>Supplementary Figure Legends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>Supplementary Figure 1.</w:t>
      </w:r>
      <w:r>
        <w:rPr>
          <w:rFonts w:hint="default" w:ascii="Times New Roman Bold" w:hAnsi="Times New Roman Bold" w:eastAsia="宋体" w:cs="Times New Roman Bold"/>
          <w:b/>
          <w:bCs/>
          <w:kern w:val="2"/>
          <w:sz w:val="21"/>
          <w:szCs w:val="21"/>
          <w:lang w:val="en-US" w:eastAsia="zh-CN" w:bidi="ar"/>
        </w:rPr>
        <w:t xml:space="preserve"> </w:t>
      </w:r>
      <w:r>
        <w:rPr>
          <w:rFonts w:hint="default" w:ascii="Times New Roman Bold" w:hAnsi="Times New Roman Bold" w:eastAsia="宋体" w:cs="Times New Roman Bold"/>
          <w:b/>
          <w:bCs/>
          <w:kern w:val="2"/>
          <w:sz w:val="24"/>
          <w:szCs w:val="24"/>
          <w:lang w:val="en-US" w:eastAsia="zh-CN" w:bidi="ar"/>
        </w:rPr>
        <w:t xml:space="preserve">Comparison of survival rates of LCC and RCC in different clinical 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>characteristics</w:t>
      </w:r>
      <w:r>
        <w:rPr>
          <w:rFonts w:hint="default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"/>
        </w:rPr>
        <w:t xml:space="preserve">.The K-M survival 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curve of </w:t>
      </w:r>
      <w:r>
        <w:rPr>
          <w:rFonts w:hint="default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"/>
        </w:rPr>
        <w:t xml:space="preserve">different clinical </w:t>
      </w:r>
      <w:r>
        <w:rPr>
          <w:rFonts w:hint="default" w:ascii="Times New Roman" w:hAnsi="Times New Roman" w:eastAsia="宋体" w:cs="Times New Roman"/>
          <w:b w:val="0"/>
          <w:bCs/>
          <w:kern w:val="2"/>
          <w:sz w:val="22"/>
          <w:szCs w:val="22"/>
          <w:lang w:val="en-US" w:eastAsia="zh-CN" w:bidi="ar"/>
        </w:rPr>
        <w:t>characteristics</w:t>
      </w:r>
      <w:r>
        <w:rPr>
          <w:rFonts w:hint="default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"/>
        </w:rPr>
        <w:t xml:space="preserve"> including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 xml:space="preserve"> (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eastAsia="zh-CN" w:bidi="ar"/>
        </w:rPr>
        <w:t>a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)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eastAsia="zh-CN" w:bidi="ar"/>
        </w:rPr>
        <w:t>Female.(b)M0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(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eastAsia="zh-CN" w:bidi="ar"/>
        </w:rPr>
        <w:t>c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)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eastAsia="zh-CN" w:bidi="ar"/>
        </w:rPr>
        <w:t>N0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(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eastAsia="zh-CN" w:bidi="ar"/>
        </w:rPr>
        <w:t>d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)T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eastAsia="zh-CN" w:bidi="ar"/>
        </w:rPr>
        <w:t>1+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eastAsia="zh-CN" w:bidi="ar"/>
        </w:rPr>
        <w:t>2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,(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eastAsia="zh-CN" w:bidi="ar"/>
        </w:rPr>
        <w:t>e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)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eastAsia="zh-CN" w:bidi="ar"/>
        </w:rPr>
        <w:t>Male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,(E)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eastAsia="zh-CN" w:bidi="ar"/>
        </w:rPr>
        <w:t>Stage I+Stage II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,(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eastAsia="zh-CN" w:bidi="ar"/>
        </w:rPr>
        <w:t>f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)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eastAsia="zh-CN" w:bidi="ar"/>
        </w:rPr>
        <w:t>A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ge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eastAsia="zh-CN" w:bidi="ar"/>
        </w:rPr>
        <w:t>&lt;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65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/>
          <w:kern w:val="2"/>
          <w:sz w:val="22"/>
          <w:szCs w:val="22"/>
          <w:lang w:eastAsia="zh-CN" w:bidi="ar"/>
        </w:rPr>
      </w:pP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 xml:space="preserve">Supplementary Figure 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eastAsia="zh-CN" w:bidi="ar"/>
        </w:rPr>
        <w:t>2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 xml:space="preserve">.Visualization of the 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eastAsia="zh-CN" w:bidi="ar"/>
        </w:rPr>
        <w:t xml:space="preserve">4-mRNA LCC 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>prediction signature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eastAsia="zh-CN" w:bidi="ar"/>
        </w:rPr>
        <w:t xml:space="preserve"> in the testing set and the total set.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/>
          <w:kern w:val="2"/>
          <w:sz w:val="22"/>
          <w:szCs w:val="22"/>
          <w:lang w:eastAsia="zh-CN" w:bidi="ar"/>
        </w:rPr>
      </w:pPr>
      <w:r>
        <w:rPr>
          <w:rFonts w:hint="default" w:ascii="Times New Roman" w:hAnsi="Times New Roman" w:eastAsia="宋体" w:cs="Times New Roman"/>
          <w:b w:val="0"/>
          <w:bCs/>
          <w:kern w:val="2"/>
          <w:sz w:val="22"/>
          <w:szCs w:val="22"/>
          <w:lang w:eastAsia="zh-CN" w:bidi="ar"/>
        </w:rPr>
        <w:t>(a-b)Patients of high</w:t>
      </w:r>
      <w:r>
        <w:rPr>
          <w:rFonts w:hint="default" w:ascii="Times New Roman" w:hAnsi="Times New Roman" w:eastAsia="宋体" w:cs="Times New Roman"/>
          <w:b w:val="0"/>
          <w:bCs/>
          <w:kern w:val="2"/>
          <w:sz w:val="22"/>
          <w:szCs w:val="22"/>
          <w:lang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/>
          <w:kern w:val="2"/>
          <w:sz w:val="22"/>
          <w:szCs w:val="22"/>
          <w:lang w:eastAsia="zh-CN" w:bidi="ar"/>
        </w:rPr>
        <w:t>risk group(red dots) and low</w:t>
      </w:r>
      <w:r>
        <w:rPr>
          <w:rFonts w:hint="default" w:ascii="Times New Roman" w:hAnsi="Times New Roman" w:eastAsia="宋体" w:cs="Times New Roman"/>
          <w:b w:val="0"/>
          <w:bCs/>
          <w:kern w:val="2"/>
          <w:sz w:val="22"/>
          <w:szCs w:val="22"/>
          <w:lang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/>
          <w:kern w:val="2"/>
          <w:sz w:val="22"/>
          <w:szCs w:val="22"/>
          <w:lang w:eastAsia="zh-CN" w:bidi="ar"/>
        </w:rPr>
        <w:t xml:space="preserve">risk group(green dots), and the distribution of their corresponding riskscore.(c-d)Patients in high-risk group(red dots) and low-risk group (green dots), and their corresponding survival status.(e-f)Discrimination of the expression of 4-mRNA in </w:t>
      </w:r>
      <w:r>
        <w:rPr>
          <w:rFonts w:hint="default" w:ascii="Times New Roman" w:hAnsi="Times New Roman" w:eastAsia="宋体" w:cs="Times New Roman"/>
          <w:b w:val="0"/>
          <w:bCs/>
          <w:kern w:val="2"/>
          <w:sz w:val="22"/>
          <w:szCs w:val="22"/>
          <w:lang w:val="en-US" w:eastAsia="zh-CN" w:bidi="ar"/>
        </w:rPr>
        <w:t>signature</w:t>
      </w:r>
      <w:r>
        <w:rPr>
          <w:rFonts w:hint="default" w:ascii="Times New Roman" w:hAnsi="Times New Roman" w:eastAsia="宋体" w:cs="Times New Roman"/>
          <w:b w:val="0"/>
          <w:bCs/>
          <w:kern w:val="2"/>
          <w:sz w:val="22"/>
          <w:szCs w:val="22"/>
          <w:lang w:eastAsia="zh-CN" w:bidi="ar"/>
        </w:rPr>
        <w:t xml:space="preserve"> between high-risk group and low-risk group, as revealed by a heatmap.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/>
          <w:kern w:val="2"/>
          <w:sz w:val="22"/>
          <w:szCs w:val="22"/>
          <w:lang w:eastAsia="zh-CN" w:bidi="ar"/>
        </w:rPr>
      </w:pP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 xml:space="preserve">Supplementary Figure 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eastAsia="zh-CN" w:bidi="ar"/>
        </w:rPr>
        <w:t>3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 xml:space="preserve">.Visualization of the 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eastAsia="zh-CN" w:bidi="ar"/>
        </w:rPr>
        <w:t xml:space="preserve">6-mRNA RCC 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>prediction signature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eastAsia="zh-CN" w:bidi="ar"/>
        </w:rPr>
        <w:t xml:space="preserve"> in the testing set and the total set.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/>
          <w:kern w:val="2"/>
          <w:sz w:val="22"/>
          <w:szCs w:val="22"/>
          <w:lang w:eastAsia="zh-CN" w:bidi="ar"/>
        </w:rPr>
      </w:pPr>
      <w:r>
        <w:rPr>
          <w:rFonts w:hint="default" w:ascii="Times New Roman" w:hAnsi="Times New Roman" w:eastAsia="宋体" w:cs="Times New Roman"/>
          <w:b w:val="0"/>
          <w:bCs/>
          <w:kern w:val="2"/>
          <w:sz w:val="22"/>
          <w:szCs w:val="22"/>
          <w:lang w:eastAsia="zh-CN" w:bidi="ar"/>
        </w:rPr>
        <w:t xml:space="preserve">(a-b)Patients of high-risk group(red dots) and low-risk group(green dots), and the distribution of their corresponding riskscore.(c-d)Patients in high-risk group(red dots) and low-risk group (green dots), and their corresponding survival status.(e-f)Discrimination of the expression of 6-mRNA in </w:t>
      </w:r>
      <w:r>
        <w:rPr>
          <w:rFonts w:hint="default" w:ascii="Times New Roman" w:hAnsi="Times New Roman" w:eastAsia="宋体" w:cs="Times New Roman"/>
          <w:b w:val="0"/>
          <w:bCs/>
          <w:kern w:val="2"/>
          <w:sz w:val="22"/>
          <w:szCs w:val="22"/>
          <w:lang w:val="en-US" w:eastAsia="zh-CN" w:bidi="ar"/>
        </w:rPr>
        <w:t>signature</w:t>
      </w:r>
      <w:r>
        <w:rPr>
          <w:rFonts w:hint="default" w:ascii="Times New Roman" w:hAnsi="Times New Roman" w:eastAsia="宋体" w:cs="Times New Roman"/>
          <w:b w:val="0"/>
          <w:bCs/>
          <w:kern w:val="2"/>
          <w:sz w:val="22"/>
          <w:szCs w:val="22"/>
          <w:lang w:eastAsia="zh-CN" w:bidi="ar"/>
        </w:rPr>
        <w:t xml:space="preserve"> between high-risk group and low-risk group, as revealed by a heatmap.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/>
          <w:kern w:val="2"/>
          <w:sz w:val="22"/>
          <w:szCs w:val="22"/>
          <w:lang w:eastAsia="zh-CN" w:bidi="ar"/>
        </w:rPr>
      </w:pP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>Supplementary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eastAsia="zh-CN" w:bidi="ar"/>
        </w:rPr>
        <w:t xml:space="preserve"> Figure S4.The landscape of frequently mutated genes LCC.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 w:val="0"/>
          <w:bCs/>
          <w:kern w:val="2"/>
          <w:sz w:val="22"/>
          <w:szCs w:val="22"/>
          <w:lang w:eastAsia="zh-CN" w:bidi="ar"/>
        </w:rPr>
      </w:pPr>
      <w:r>
        <w:rPr>
          <w:rFonts w:hint="default" w:ascii="Times New Roman" w:hAnsi="Times New Roman" w:eastAsia="宋体" w:cs="Times New Roman"/>
          <w:b w:val="0"/>
          <w:bCs/>
          <w:kern w:val="2"/>
          <w:sz w:val="22"/>
          <w:szCs w:val="22"/>
          <w:lang w:eastAsia="zh-CN" w:bidi="ar"/>
        </w:rPr>
        <w:t>(a)Classifcation and frequency of mutation types.(b)Frequency of variant types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 w:val="0"/>
          <w:bCs/>
          <w:kern w:val="2"/>
          <w:sz w:val="22"/>
          <w:szCs w:val="22"/>
          <w:lang w:eastAsia="zh-CN" w:bidi="ar"/>
        </w:rPr>
      </w:pPr>
      <w:r>
        <w:rPr>
          <w:rFonts w:hint="default" w:ascii="Times New Roman" w:hAnsi="Times New Roman" w:eastAsia="宋体" w:cs="Times New Roman"/>
          <w:b w:val="0"/>
          <w:bCs/>
          <w:kern w:val="2"/>
          <w:sz w:val="22"/>
          <w:szCs w:val="22"/>
          <w:lang w:eastAsia="zh-CN" w:bidi="ar"/>
        </w:rPr>
        <w:t>(c)Frequency of SNV classes.(d-e)Tumor mutation burden in specific samples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 w:val="0"/>
          <w:bCs/>
          <w:kern w:val="2"/>
          <w:sz w:val="22"/>
          <w:szCs w:val="22"/>
          <w:lang w:eastAsia="zh-CN" w:bidi="ar"/>
        </w:rPr>
      </w:pPr>
      <w:r>
        <w:rPr>
          <w:rFonts w:hint="default" w:ascii="Times New Roman" w:hAnsi="Times New Roman" w:eastAsia="宋体" w:cs="Times New Roman"/>
          <w:b w:val="0"/>
          <w:bCs/>
          <w:kern w:val="2"/>
          <w:sz w:val="22"/>
          <w:szCs w:val="22"/>
          <w:lang w:eastAsia="zh-CN" w:bidi="ar"/>
        </w:rPr>
        <w:t>(f)The top 10 mutated genes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/>
          <w:kern w:val="2"/>
          <w:sz w:val="22"/>
          <w:szCs w:val="22"/>
          <w:lang w:eastAsia="zh-CN" w:bidi="ar"/>
        </w:rPr>
      </w:pP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>Supplementary</w:t>
      </w: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eastAsia="zh-CN" w:bidi="ar"/>
        </w:rPr>
        <w:t xml:space="preserve"> Figure S5.The landscape of frequently mutated genes RCC.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 w:val="0"/>
          <w:bCs/>
          <w:kern w:val="2"/>
          <w:sz w:val="22"/>
          <w:szCs w:val="22"/>
          <w:lang w:eastAsia="zh-CN" w:bidi="ar"/>
        </w:rPr>
      </w:pPr>
      <w:r>
        <w:rPr>
          <w:rFonts w:hint="default" w:ascii="Times New Roman" w:hAnsi="Times New Roman" w:eastAsia="宋体" w:cs="Times New Roman"/>
          <w:b w:val="0"/>
          <w:bCs/>
          <w:kern w:val="2"/>
          <w:sz w:val="22"/>
          <w:szCs w:val="22"/>
          <w:lang w:eastAsia="zh-CN" w:bidi="ar"/>
        </w:rPr>
        <w:t>(a)Classifcation and frequency of mutation types.(b)Frequency of variant types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 w:val="0"/>
          <w:bCs/>
          <w:kern w:val="2"/>
          <w:sz w:val="22"/>
          <w:szCs w:val="22"/>
          <w:lang w:eastAsia="zh-CN" w:bidi="ar"/>
        </w:rPr>
      </w:pPr>
      <w:r>
        <w:rPr>
          <w:rFonts w:hint="default" w:ascii="Times New Roman" w:hAnsi="Times New Roman" w:eastAsia="宋体" w:cs="Times New Roman"/>
          <w:b w:val="0"/>
          <w:bCs/>
          <w:kern w:val="2"/>
          <w:sz w:val="22"/>
          <w:szCs w:val="22"/>
          <w:lang w:eastAsia="zh-CN" w:bidi="ar"/>
        </w:rPr>
        <w:t>(c)Frequency of SNV classes.(d-e)Tumor mutation burden in specific samples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 w:val="0"/>
          <w:bCs/>
          <w:kern w:val="2"/>
          <w:sz w:val="22"/>
          <w:szCs w:val="22"/>
          <w:lang w:eastAsia="zh-CN" w:bidi="ar"/>
        </w:rPr>
      </w:pPr>
      <w:r>
        <w:rPr>
          <w:rFonts w:hint="default" w:ascii="Times New Roman" w:hAnsi="Times New Roman" w:eastAsia="宋体" w:cs="Times New Roman"/>
          <w:b w:val="0"/>
          <w:bCs/>
          <w:kern w:val="2"/>
          <w:sz w:val="22"/>
          <w:szCs w:val="22"/>
          <w:lang w:eastAsia="zh-CN" w:bidi="ar"/>
        </w:rPr>
        <w:t>(f)The top 10 mutated genes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 w:val="0"/>
          <w:bCs/>
          <w:kern w:val="2"/>
          <w:sz w:val="22"/>
          <w:szCs w:val="22"/>
          <w:lang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eastAsia="宋体" w:cs="Times New Roman"/>
          <w:b/>
          <w:kern w:val="2"/>
          <w:sz w:val="22"/>
          <w:szCs w:val="22"/>
          <w:lang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eastAsia="宋体" w:cs="Times New Roman"/>
          <w:b/>
          <w:kern w:val="2"/>
          <w:sz w:val="22"/>
          <w:szCs w:val="22"/>
        </w:rPr>
      </w:pPr>
      <w:r>
        <w:rPr>
          <w:rFonts w:hint="default" w:ascii="Times New Roman" w:hAnsi="Times New Roman" w:eastAsia="宋体" w:cs="Times New Roman"/>
          <w:b/>
          <w:kern w:val="2"/>
          <w:sz w:val="22"/>
          <w:szCs w:val="22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Calibri" w:hAnsi="Calibri" w:eastAsia="宋体" w:cs="Times New Roman"/>
          <w:kern w:val="2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AdvPTime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NeueLTStd-L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illSansMT-Bol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Symbol">
    <w:altName w:val="Kingsoft Sig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STHeiti">
    <w:panose1 w:val="02010600040101010101"/>
    <w:charset w:val="86"/>
    <w:family w:val="auto"/>
    <w:pitch w:val="default"/>
    <w:sig w:usb0="00000287" w:usb1="080F0000" w:usb2="00000000" w:usb3="00000000" w:csb0="00040001" w:csb1="00000000"/>
  </w:font>
  <w:font w:name="Verdana">
    <w:panose1 w:val="020B0804030504040204"/>
    <w:charset w:val="00"/>
    <w:family w:val="auto"/>
    <w:pitch w:val="default"/>
    <w:sig w:usb0="A10006FF" w:usb1="4000205B" w:usb2="00000010" w:usb3="00000000" w:csb0="2000019F" w:csb1="00000000"/>
  </w:font>
  <w:font w:name="MyriadPro-Ligh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yriadPro-Semibol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Tahoma">
    <w:panose1 w:val="020B0604030504040204"/>
    <w:charset w:val="00"/>
    <w:family w:val="swiss"/>
    <w:pitch w:val="default"/>
    <w:sig w:usb0="E1002AFF" w:usb1="C000605B" w:usb2="00000029" w:usb3="00000000" w:csb0="200101FF" w:csb1="20280000"/>
  </w:font>
  <w:font w:name="MinionPro-Regular">
    <w:altName w:val="苹方-简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STIXTwoText-Bol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儷宋 Pro">
    <w:panose1 w:val="02020300000000000000"/>
    <w:charset w:val="88"/>
    <w:family w:val="auto"/>
    <w:pitch w:val="default"/>
    <w:sig w:usb0="80000001" w:usb1="28091800" w:usb2="00000016" w:usb3="00000000" w:csb0="001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arnockPro-Regula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TSY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rif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panose1 w:val="020B0600040502020204"/>
    <w:charset w:val="00"/>
    <w:family w:val="auto"/>
    <w:pitch w:val="default"/>
    <w:sig w:usb0="E1000AEF" w:usb1="5000A1FF" w:usb2="00000000" w:usb3="00000000" w:csb0="200001BF" w:csb1="4F01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ntinghei TC Extralight">
    <w:panose1 w:val="03000509000000000000"/>
    <w:charset w:val="88"/>
    <w:family w:val="auto"/>
    <w:pitch w:val="default"/>
    <w:sig w:usb0="00000001" w:usb1="080E0000" w:usb2="00000000" w:usb3="00000000" w:csb0="001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hqmntMinionProRegula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wjdgmMinionMath Itali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wjxthMinionMath-Regula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mggckTeXCMMathsItali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ionPro-I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harisSIL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harisSIL-Itali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Microsoft yahe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ckbjmAdvTT86d47313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SC-Regular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楷体S">
    <w:altName w:val="苹方-简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STIX-Regula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ionPro-Regular2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ionMath-Cap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kpjcmAdvTTb5929f4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Noto Sans Runic">
    <w:panose1 w:val="020B0502040504020204"/>
    <w:charset w:val="00"/>
    <w:family w:val="auto"/>
    <w:pitch w:val="default"/>
    <w:sig w:usb0="00000003" w:usb1="00000000" w:usb2="00008000" w:usb3="00000000" w:csb0="00000001" w:csb1="00000000"/>
  </w:font>
  <w:font w:name="Trebuchet MS Regular">
    <w:panose1 w:val="020B0703020202090204"/>
    <w:charset w:val="00"/>
    <w:family w:val="auto"/>
    <w:pitch w:val="default"/>
    <w:sig w:usb0="00000287" w:usb1="00000000" w:usb2="00000000" w:usb3="00000000" w:csb0="2000009F" w:csb1="00000000"/>
  </w:font>
  <w:font w:name="monospac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1ef757c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1ef757c0 + f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Hebrew Scholar Regular">
    <w:panose1 w:val="00000000000000000000"/>
    <w:charset w:val="00"/>
    <w:family w:val="auto"/>
    <w:pitch w:val="default"/>
    <w:sig w:usb0="80000843" w:usb1="40000002" w:usb2="00000000" w:usb3="00000000" w:csb0="00000001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stem-u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Times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altName w:val="苹方-简"/>
    <w:panose1 w:val="02000600000000000000"/>
    <w:charset w:val="00"/>
    <w:family w:val="auto"/>
    <w:pitch w:val="default"/>
    <w:sig w:usb0="00000000" w:usb1="00000000" w:usb2="00000000" w:usb3="00000000" w:csb0="2000009F" w:csb1="47010000"/>
  </w:font>
  <w:font w:name="Georgia">
    <w:panose1 w:val="02040502050405090303"/>
    <w:charset w:val="00"/>
    <w:family w:val="auto"/>
    <w:pitch w:val="default"/>
    <w:sig w:usb0="00000287" w:usb1="00000000" w:usb2="00000000" w:usb3="00000000" w:csb0="2000009F" w:csb1="00000000"/>
  </w:font>
  <w:font w:name="American Typewriter Regular">
    <w:panose1 w:val="02090604020004020304"/>
    <w:charset w:val="00"/>
    <w:family w:val="auto"/>
    <w:pitch w:val="default"/>
    <w:sig w:usb0="A000006F" w:usb1="00000019" w:usb2="00000000" w:usb3="00000000" w:csb0="20000111" w:csb1="00000000"/>
  </w:font>
  <w:font w:name="Noto Sans Mandaic">
    <w:panose1 w:val="020B0502040504020204"/>
    <w:charset w:val="00"/>
    <w:family w:val="auto"/>
    <w:pitch w:val="default"/>
    <w:sig w:usb0="80002003" w:usb1="00002000" w:usb2="00000000" w:usb3="00000000" w:csb0="00000001" w:csb1="00000000"/>
  </w:font>
  <w:font w:name="Tahoma Regular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Tamil Sangam MN Regular">
    <w:panose1 w:val="02000400000000000000"/>
    <w:charset w:val="00"/>
    <w:family w:val="auto"/>
    <w:pitch w:val="default"/>
    <w:sig w:usb0="801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4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AF2326"/>
    <w:rsid w:val="3FFF2580"/>
    <w:rsid w:val="55FF834C"/>
    <w:rsid w:val="6ADD2ACD"/>
    <w:rsid w:val="87D6CC6B"/>
    <w:rsid w:val="B7BB1597"/>
    <w:rsid w:val="E41A4A5C"/>
    <w:rsid w:val="FFAF2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表段落1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等线" w:hAnsi="等线" w:eastAsia="等线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Office_2.7.1.4479_F1E327BC-269C-435d-A152-05C5408002CA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2020-11-05T15:09:00Z</dcterms:created>
  <dc:creator>liuyushu</dc:creator>
  <cp:lastModifiedBy>huangyanyi</cp:lastModifiedBy>
  <dcterms:modified xsi:type="dcterms:W3CDTF">2020-11-07T00:40:27Z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2052-2.7.1.4479</vt:lpwstr>
  </property>
</Properties>
</file>