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Bold" w:hAnsi="Times New Roman Bold" w:cs="Times New Roman Bold"/>
          <w:b/>
          <w:bCs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Table S5 The univariate and multivariate Cox analysis for risk signature and clinical characteristics in LCC</w:t>
      </w: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tbl>
      <w:tblPr>
        <w:tblStyle w:val="3"/>
        <w:tblW w:w="73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7"/>
        <w:gridCol w:w="940"/>
        <w:gridCol w:w="716"/>
        <w:gridCol w:w="716"/>
        <w:gridCol w:w="949"/>
        <w:gridCol w:w="716"/>
        <w:gridCol w:w="716"/>
        <w:gridCol w:w="746"/>
        <w:gridCol w:w="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restart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  <w:t>Factors</w:t>
            </w:r>
            <w:bookmarkStart w:id="0" w:name="_GoBack"/>
            <w:bookmarkEnd w:id="0"/>
          </w:p>
        </w:tc>
        <w:tc>
          <w:tcPr>
            <w:tcW w:w="3321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Univariate Cox analysis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bottom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Multivariate Cox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continue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0" w:type="dxa"/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gridSpan w:val="2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95%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</w:t>
            </w:r>
          </w:p>
        </w:tc>
        <w:tc>
          <w:tcPr>
            <w:tcW w:w="949" w:type="dxa"/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2" w:type="dxa"/>
            <w:gridSpan w:val="2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95%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</w:t>
            </w:r>
          </w:p>
        </w:tc>
        <w:tc>
          <w:tcPr>
            <w:tcW w:w="928" w:type="dxa"/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vMerge w:val="continue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0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</w:t>
            </w:r>
          </w:p>
        </w:tc>
        <w:tc>
          <w:tcPr>
            <w:tcW w:w="949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746" w:type="dxa"/>
            <w:tcBorders>
              <w:top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</w:t>
            </w:r>
          </w:p>
        </w:tc>
        <w:tc>
          <w:tcPr>
            <w:tcW w:w="928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top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</w:p>
        </w:tc>
        <w:tc>
          <w:tcPr>
            <w:tcW w:w="940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1.071 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0.492 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2.330 </w:t>
            </w:r>
          </w:p>
        </w:tc>
        <w:tc>
          <w:tcPr>
            <w:tcW w:w="949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0.863 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0.651 </w:t>
            </w:r>
          </w:p>
        </w:tc>
        <w:tc>
          <w:tcPr>
            <w:tcW w:w="716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0.234 </w:t>
            </w:r>
          </w:p>
        </w:tc>
        <w:tc>
          <w:tcPr>
            <w:tcW w:w="746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1.809 </w:t>
            </w:r>
          </w:p>
        </w:tc>
        <w:tc>
          <w:tcPr>
            <w:tcW w:w="928" w:type="dxa"/>
            <w:tcBorders>
              <w:top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</w:t>
            </w:r>
          </w:p>
        </w:tc>
        <w:tc>
          <w:tcPr>
            <w:tcW w:w="940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1.936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0.812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4.612 </w:t>
            </w:r>
          </w:p>
        </w:tc>
        <w:tc>
          <w:tcPr>
            <w:tcW w:w="949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0.136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1.428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0.375 </w:t>
            </w:r>
          </w:p>
        </w:tc>
        <w:tc>
          <w:tcPr>
            <w:tcW w:w="74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5.434 </w:t>
            </w:r>
          </w:p>
        </w:tc>
        <w:tc>
          <w:tcPr>
            <w:tcW w:w="928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</w:t>
            </w:r>
          </w:p>
        </w:tc>
        <w:tc>
          <w:tcPr>
            <w:tcW w:w="940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2.396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1.440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3.986 </w:t>
            </w:r>
          </w:p>
        </w:tc>
        <w:tc>
          <w:tcPr>
            <w:tcW w:w="949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0.703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0.223 </w:t>
            </w:r>
          </w:p>
        </w:tc>
        <w:tc>
          <w:tcPr>
            <w:tcW w:w="74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2.211 </w:t>
            </w:r>
          </w:p>
        </w:tc>
        <w:tc>
          <w:tcPr>
            <w:tcW w:w="928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pM</w:t>
            </w:r>
          </w:p>
        </w:tc>
        <w:tc>
          <w:tcPr>
            <w:tcW w:w="940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3.477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1.478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8.182 </w:t>
            </w:r>
          </w:p>
        </w:tc>
        <w:tc>
          <w:tcPr>
            <w:tcW w:w="949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0.004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0.459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0.038 </w:t>
            </w:r>
          </w:p>
        </w:tc>
        <w:tc>
          <w:tcPr>
            <w:tcW w:w="74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5.576 </w:t>
            </w:r>
          </w:p>
        </w:tc>
        <w:tc>
          <w:tcPr>
            <w:tcW w:w="928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0.541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pStage</w:t>
            </w:r>
          </w:p>
        </w:tc>
        <w:tc>
          <w:tcPr>
            <w:tcW w:w="940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2.298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1.432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3.689 </w:t>
            </w:r>
          </w:p>
        </w:tc>
        <w:tc>
          <w:tcPr>
            <w:tcW w:w="949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4.698 </w:t>
            </w:r>
          </w:p>
        </w:tc>
        <w:tc>
          <w:tcPr>
            <w:tcW w:w="71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0.673 </w:t>
            </w:r>
          </w:p>
        </w:tc>
        <w:tc>
          <w:tcPr>
            <w:tcW w:w="746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32.786 </w:t>
            </w:r>
          </w:p>
        </w:tc>
        <w:tc>
          <w:tcPr>
            <w:tcW w:w="928" w:type="dxa"/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940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1.023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0.990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1.057 </w:t>
            </w:r>
          </w:p>
        </w:tc>
        <w:tc>
          <w:tcPr>
            <w:tcW w:w="949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0.180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1.036 </w:t>
            </w:r>
          </w:p>
        </w:tc>
        <w:tc>
          <w:tcPr>
            <w:tcW w:w="71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0.991 </w:t>
            </w:r>
          </w:p>
        </w:tc>
        <w:tc>
          <w:tcPr>
            <w:tcW w:w="746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1.083 </w:t>
            </w:r>
          </w:p>
        </w:tc>
        <w:tc>
          <w:tcPr>
            <w:tcW w:w="928" w:type="dxa"/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937" w:type="dxa"/>
            <w:tcBorders>
              <w:bottom w:val="single" w:color="000000" w:sz="4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riskScore</w:t>
            </w:r>
          </w:p>
        </w:tc>
        <w:tc>
          <w:tcPr>
            <w:tcW w:w="940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1.126 </w:t>
            </w:r>
          </w:p>
        </w:tc>
        <w:tc>
          <w:tcPr>
            <w:tcW w:w="716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1.079 </w:t>
            </w:r>
          </w:p>
        </w:tc>
        <w:tc>
          <w:tcPr>
            <w:tcW w:w="716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1.174 </w:t>
            </w:r>
          </w:p>
        </w:tc>
        <w:tc>
          <w:tcPr>
            <w:tcW w:w="949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&lt;0.001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6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1.134 </w:t>
            </w:r>
          </w:p>
        </w:tc>
        <w:tc>
          <w:tcPr>
            <w:tcW w:w="716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1.079 </w:t>
            </w:r>
          </w:p>
        </w:tc>
        <w:tc>
          <w:tcPr>
            <w:tcW w:w="746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1.191 </w:t>
            </w:r>
          </w:p>
        </w:tc>
        <w:tc>
          <w:tcPr>
            <w:tcW w:w="928" w:type="dxa"/>
            <w:tcBorders>
              <w:bottom w:val="single" w:color="000000" w:sz="4" w:space="0"/>
            </w:tcBorders>
            <w:shd w:val="clear" w:color="D9D9D9" w:fill="E7E6E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TimesNewRomanPS-BoldMT" w:hAnsi="TimesNewRomanPS-BoldMT" w:eastAsia="TimesNewRomanPS-BoldMT" w:cs="TimesNewRomanPS-BoldMT"/>
          <w:b/>
          <w:color w:val="000000"/>
          <w:kern w:val="0"/>
          <w:sz w:val="28"/>
          <w:szCs w:val="28"/>
          <w:lang w:val="en-US" w:eastAsia="zh-CN" w:bidi="ar"/>
        </w:rPr>
        <w:t>Abbreviations:</w:t>
      </w:r>
      <w:r>
        <w:rPr>
          <w:rFonts w:ascii="TimesNewRomanPSMT" w:hAnsi="TimesNewRomanPSMT" w:eastAsia="TimesNewRomanPSMT" w:cs="TimesNewRomanPSMT"/>
          <w:color w:val="000000"/>
          <w:kern w:val="0"/>
          <w:sz w:val="28"/>
          <w:szCs w:val="28"/>
          <w:lang w:val="en-US" w:eastAsia="zh-CN" w:bidi="ar"/>
        </w:rPr>
        <w:t xml:space="preserve"> CI, confidence interval; HR, hazard ratio. </w:t>
      </w: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-Bold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Lat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9C524"/>
    <w:rsid w:val="3FBFF895"/>
    <w:rsid w:val="5EEDB1BA"/>
    <w:rsid w:val="7FAFE33F"/>
    <w:rsid w:val="AF370939"/>
    <w:rsid w:val="DC760720"/>
    <w:rsid w:val="FFDEDB90"/>
    <w:rsid w:val="FFE9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2020-11-05T22:50:00Z</dcterms:created>
  <dc:creator>liuyushu</dc:creator>
  <cp:lastModifiedBy>huangyanyi</cp:lastModifiedBy>
  <dcterms:modified xsi:type="dcterms:W3CDTF">2020-11-07T01:57:27Z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