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92045E" w14:textId="513B511E" w:rsidR="00695276" w:rsidRDefault="00AE5621" w:rsidP="00695276">
      <w:pPr>
        <w:spacing w:before="100" w:beforeAutospacing="1" w:after="96" w:line="360" w:lineRule="auto"/>
        <w:rPr>
          <w:rFonts w:ascii="Arial" w:hAnsi="Arial" w:cs="Arial"/>
          <w:b/>
          <w:bCs/>
          <w:color w:val="000000"/>
        </w:rPr>
      </w:pPr>
      <w:r>
        <w:rPr>
          <w:rFonts w:ascii="Arial" w:hAnsi="Arial" w:cs="Arial"/>
          <w:b/>
          <w:bCs/>
          <w:color w:val="000000"/>
        </w:rPr>
        <w:softHyphen/>
      </w:r>
      <w:r w:rsidR="00DC2BAC" w:rsidRPr="00DC2BAC">
        <w:rPr>
          <w:rFonts w:ascii="Arial" w:hAnsi="Arial" w:cs="Arial"/>
          <w:b/>
          <w:bCs/>
          <w:color w:val="000000"/>
        </w:rPr>
        <w:t xml:space="preserve">Combination of subtherapeutic anti-TNF dose with </w:t>
      </w:r>
      <w:r w:rsidR="00653505">
        <w:rPr>
          <w:rFonts w:ascii="Arial" w:hAnsi="Arial" w:cs="Arial"/>
          <w:b/>
          <w:bCs/>
          <w:color w:val="000000"/>
        </w:rPr>
        <w:t>d</w:t>
      </w:r>
      <w:r w:rsidR="00DC2BAC" w:rsidRPr="00DC2BAC">
        <w:rPr>
          <w:rFonts w:ascii="Arial" w:hAnsi="Arial" w:cs="Arial"/>
          <w:b/>
          <w:bCs/>
          <w:color w:val="000000"/>
        </w:rPr>
        <w:t>asatinib restores clinical and molecular arthritogenic profiles better than standard anti-TNF treatment.</w:t>
      </w:r>
    </w:p>
    <w:p w14:paraId="2EB0FFAA" w14:textId="77777777" w:rsidR="00DC2BAC" w:rsidRDefault="00DC2BAC" w:rsidP="00DC2BAC">
      <w:pPr>
        <w:jc w:val="center"/>
        <w:rPr>
          <w:rFonts w:ascii="Arial" w:hAnsi="Arial" w:cs="Arial"/>
          <w:b/>
          <w:bCs/>
          <w:sz w:val="28"/>
          <w:szCs w:val="28"/>
        </w:rPr>
      </w:pPr>
    </w:p>
    <w:p w14:paraId="63A56030" w14:textId="20105C48" w:rsidR="00DC2BAC" w:rsidRPr="00DC2BAC" w:rsidRDefault="00DC2BAC" w:rsidP="00DC2BAC">
      <w:pPr>
        <w:jc w:val="center"/>
        <w:rPr>
          <w:rFonts w:ascii="Arial" w:hAnsi="Arial" w:cs="Arial"/>
          <w:b/>
          <w:bCs/>
          <w:sz w:val="28"/>
          <w:szCs w:val="28"/>
        </w:rPr>
      </w:pPr>
      <w:r w:rsidRPr="00DC2BAC">
        <w:rPr>
          <w:rFonts w:ascii="Arial" w:hAnsi="Arial" w:cs="Arial"/>
          <w:b/>
          <w:bCs/>
          <w:sz w:val="28"/>
          <w:szCs w:val="28"/>
        </w:rPr>
        <w:t>Additional File 1</w:t>
      </w:r>
    </w:p>
    <w:p w14:paraId="5A67FA09" w14:textId="77777777" w:rsidR="00DC2BAC" w:rsidRPr="00DC2BAC" w:rsidRDefault="00DC2BAC" w:rsidP="00DC2BAC">
      <w:pPr>
        <w:jc w:val="center"/>
        <w:rPr>
          <w:rFonts w:ascii="Arial" w:hAnsi="Arial" w:cs="Arial"/>
          <w:b/>
          <w:bCs/>
          <w:sz w:val="28"/>
          <w:szCs w:val="28"/>
        </w:rPr>
      </w:pPr>
    </w:p>
    <w:p w14:paraId="61F01AFC" w14:textId="574CD780" w:rsidR="00DC2BAC" w:rsidRPr="00DC2BAC" w:rsidRDefault="00DC2BAC" w:rsidP="00DC2BAC">
      <w:pPr>
        <w:jc w:val="center"/>
        <w:rPr>
          <w:rFonts w:ascii="Arial" w:hAnsi="Arial" w:cs="Arial"/>
          <w:b/>
          <w:bCs/>
          <w:sz w:val="28"/>
          <w:szCs w:val="28"/>
        </w:rPr>
      </w:pPr>
      <w:r w:rsidRPr="00DC2BAC">
        <w:rPr>
          <w:rFonts w:ascii="Arial" w:hAnsi="Arial" w:cs="Arial"/>
          <w:b/>
          <w:bCs/>
          <w:sz w:val="28"/>
          <w:szCs w:val="28"/>
        </w:rPr>
        <w:t>Supplementary figures</w:t>
      </w:r>
    </w:p>
    <w:p w14:paraId="2689D8E4" w14:textId="11526272" w:rsidR="00DC2BAC" w:rsidRPr="00DC2BAC" w:rsidRDefault="00DC2BAC" w:rsidP="00695276">
      <w:pPr>
        <w:spacing w:before="100" w:beforeAutospacing="1" w:after="96" w:line="360" w:lineRule="auto"/>
        <w:rPr>
          <w:rFonts w:ascii="Arial" w:hAnsi="Arial" w:cs="Arial"/>
          <w:b/>
          <w:bCs/>
          <w:color w:val="000000"/>
          <w:sz w:val="28"/>
          <w:szCs w:val="28"/>
        </w:rPr>
      </w:pPr>
    </w:p>
    <w:p w14:paraId="20976B0F" w14:textId="77777777" w:rsidR="00DC2BAC" w:rsidRPr="00DC2BAC" w:rsidRDefault="00DC2BAC" w:rsidP="00695276">
      <w:pPr>
        <w:spacing w:before="100" w:beforeAutospacing="1" w:after="96" w:line="360" w:lineRule="auto"/>
        <w:rPr>
          <w:rFonts w:ascii="Arial" w:hAnsi="Arial" w:cs="Arial"/>
          <w:b/>
          <w:bCs/>
          <w:color w:val="000000"/>
        </w:rPr>
      </w:pPr>
    </w:p>
    <w:p w14:paraId="560CBAA4" w14:textId="77777777" w:rsidR="00DC2BAC" w:rsidRDefault="00DC2BAC" w:rsidP="00DC2BAC">
      <w:pPr>
        <w:spacing w:after="0" w:line="360" w:lineRule="auto"/>
        <w:jc w:val="both"/>
        <w:rPr>
          <w:rFonts w:ascii="Arial" w:hAnsi="Arial" w:cs="Arial"/>
        </w:rPr>
      </w:pPr>
      <w:r>
        <w:rPr>
          <w:rFonts w:ascii="Arial" w:hAnsi="Arial" w:cs="Arial"/>
        </w:rPr>
        <w:t>Lydia Ntari</w:t>
      </w:r>
      <w:r>
        <w:rPr>
          <w:rFonts w:ascii="Arial" w:hAnsi="Arial" w:cs="Arial"/>
          <w:vertAlign w:val="superscript"/>
        </w:rPr>
        <w:t>1</w:t>
      </w:r>
      <w:r>
        <w:rPr>
          <w:rFonts w:ascii="Arial" w:hAnsi="Arial" w:cs="Arial"/>
        </w:rPr>
        <w:t>, Christoforos Nikolaou</w:t>
      </w:r>
      <w:r>
        <w:rPr>
          <w:rFonts w:ascii="Arial" w:hAnsi="Arial" w:cs="Arial"/>
          <w:vertAlign w:val="superscript"/>
        </w:rPr>
        <w:t>2</w:t>
      </w:r>
      <w:r>
        <w:rPr>
          <w:rFonts w:ascii="Arial" w:hAnsi="Arial" w:cs="Arial"/>
        </w:rPr>
        <w:t>, Ksanthi Kranidioti</w:t>
      </w:r>
      <w:r>
        <w:rPr>
          <w:rFonts w:ascii="Arial" w:hAnsi="Arial" w:cs="Arial"/>
          <w:vertAlign w:val="superscript"/>
        </w:rPr>
        <w:t>1</w:t>
      </w:r>
      <w:r>
        <w:rPr>
          <w:rFonts w:ascii="Arial" w:hAnsi="Arial" w:cs="Arial"/>
        </w:rPr>
        <w:t>, Dimitra Papadopoulou</w:t>
      </w:r>
      <w:r>
        <w:rPr>
          <w:rFonts w:ascii="Arial" w:hAnsi="Arial" w:cs="Arial"/>
          <w:vertAlign w:val="superscript"/>
        </w:rPr>
        <w:t>2</w:t>
      </w:r>
      <w:r>
        <w:rPr>
          <w:rFonts w:ascii="Arial" w:hAnsi="Arial" w:cs="Arial"/>
        </w:rPr>
        <w:t>, Panagiotis Chouvardas</w:t>
      </w:r>
      <w:r>
        <w:rPr>
          <w:rFonts w:ascii="Arial" w:hAnsi="Arial" w:cs="Arial"/>
          <w:vertAlign w:val="superscript"/>
        </w:rPr>
        <w:t>3,4</w:t>
      </w:r>
      <w:r>
        <w:rPr>
          <w:rFonts w:ascii="Arial" w:hAnsi="Arial" w:cs="Arial"/>
        </w:rPr>
        <w:t xml:space="preserve">, </w:t>
      </w:r>
      <w:r w:rsidRPr="004F407D">
        <w:rPr>
          <w:rFonts w:ascii="Arial" w:hAnsi="Arial" w:cs="Arial"/>
        </w:rPr>
        <w:t>Florian Me</w:t>
      </w:r>
      <w:r>
        <w:rPr>
          <w:rFonts w:ascii="Arial" w:hAnsi="Arial" w:cs="Arial"/>
        </w:rPr>
        <w:t>i</w:t>
      </w:r>
      <w:r w:rsidRPr="004F407D">
        <w:rPr>
          <w:rFonts w:ascii="Arial" w:hAnsi="Arial" w:cs="Arial"/>
        </w:rPr>
        <w:t>er</w:t>
      </w:r>
      <w:r w:rsidRPr="004F407D">
        <w:rPr>
          <w:rFonts w:ascii="Arial" w:hAnsi="Arial" w:cs="Arial"/>
          <w:vertAlign w:val="superscript"/>
        </w:rPr>
        <w:t>5</w:t>
      </w:r>
      <w:r>
        <w:rPr>
          <w:rFonts w:ascii="Arial" w:hAnsi="Arial" w:cs="Arial"/>
          <w:vertAlign w:val="superscript"/>
        </w:rPr>
        <w:t>,6</w:t>
      </w:r>
      <w:r>
        <w:rPr>
          <w:rFonts w:ascii="Arial" w:hAnsi="Arial" w:cs="Arial"/>
        </w:rPr>
        <w:t>, Christina Geka</w:t>
      </w:r>
      <w:r>
        <w:rPr>
          <w:rFonts w:ascii="Arial" w:hAnsi="Arial" w:cs="Arial"/>
          <w:vertAlign w:val="superscript"/>
        </w:rPr>
        <w:t>1</w:t>
      </w:r>
      <w:r>
        <w:rPr>
          <w:rFonts w:ascii="Arial" w:hAnsi="Arial" w:cs="Arial"/>
        </w:rPr>
        <w:t>, Maria C. Denis</w:t>
      </w:r>
      <w:r>
        <w:rPr>
          <w:rFonts w:ascii="Arial" w:hAnsi="Arial" w:cs="Arial"/>
          <w:vertAlign w:val="superscript"/>
        </w:rPr>
        <w:t>1</w:t>
      </w:r>
      <w:r>
        <w:rPr>
          <w:rFonts w:ascii="Arial" w:hAnsi="Arial" w:cs="Arial"/>
        </w:rPr>
        <w:t>, Niki Karagianni</w:t>
      </w:r>
      <w:r>
        <w:rPr>
          <w:rFonts w:ascii="Arial" w:hAnsi="Arial" w:cs="Arial"/>
          <w:vertAlign w:val="superscript"/>
        </w:rPr>
        <w:t xml:space="preserve">1 </w:t>
      </w:r>
      <w:r>
        <w:rPr>
          <w:rFonts w:ascii="Arial" w:hAnsi="Arial" w:cs="Arial"/>
        </w:rPr>
        <w:t>and George Kollias</w:t>
      </w:r>
      <w:r>
        <w:rPr>
          <w:rFonts w:ascii="Arial" w:hAnsi="Arial" w:cs="Arial"/>
          <w:vertAlign w:val="superscript"/>
        </w:rPr>
        <w:t>2, 7*</w:t>
      </w:r>
    </w:p>
    <w:p w14:paraId="41611BE4" w14:textId="77777777" w:rsidR="00DC2BAC" w:rsidRDefault="00DC2BAC" w:rsidP="00DC2BAC">
      <w:pPr>
        <w:spacing w:after="0" w:line="360" w:lineRule="auto"/>
        <w:jc w:val="both"/>
        <w:rPr>
          <w:rFonts w:ascii="Arial" w:hAnsi="Arial" w:cs="Arial"/>
        </w:rPr>
      </w:pPr>
    </w:p>
    <w:p w14:paraId="4577CC66" w14:textId="77777777" w:rsidR="00DC2BAC" w:rsidRDefault="00DC2BAC" w:rsidP="00DC2BAC">
      <w:pPr>
        <w:spacing w:after="0" w:line="360" w:lineRule="auto"/>
        <w:jc w:val="both"/>
        <w:rPr>
          <w:rFonts w:ascii="Arial" w:hAnsi="Arial" w:cs="Arial"/>
          <w:sz w:val="20"/>
          <w:szCs w:val="20"/>
        </w:rPr>
      </w:pPr>
      <w:r>
        <w:rPr>
          <w:rFonts w:ascii="Arial" w:hAnsi="Arial" w:cs="Arial"/>
          <w:sz w:val="20"/>
          <w:szCs w:val="20"/>
          <w:vertAlign w:val="superscript"/>
        </w:rPr>
        <w:t>1</w:t>
      </w:r>
      <w:r>
        <w:rPr>
          <w:rFonts w:ascii="Arial" w:hAnsi="Arial" w:cs="Arial"/>
          <w:sz w:val="20"/>
          <w:szCs w:val="20"/>
        </w:rPr>
        <w:t xml:space="preserve"> Biomedcode Hellas SA, Vari, Greece</w:t>
      </w:r>
    </w:p>
    <w:p w14:paraId="1FE94557" w14:textId="77777777" w:rsidR="00DC2BAC" w:rsidRDefault="00DC2BAC" w:rsidP="00DC2BAC">
      <w:pPr>
        <w:spacing w:after="0" w:line="360" w:lineRule="auto"/>
        <w:jc w:val="both"/>
        <w:rPr>
          <w:rFonts w:ascii="Arial" w:hAnsi="Arial" w:cs="Arial"/>
          <w:sz w:val="20"/>
          <w:szCs w:val="20"/>
        </w:rPr>
      </w:pPr>
      <w:r>
        <w:rPr>
          <w:rFonts w:ascii="Arial" w:hAnsi="Arial" w:cs="Arial"/>
          <w:sz w:val="20"/>
          <w:szCs w:val="20"/>
          <w:vertAlign w:val="superscript"/>
        </w:rPr>
        <w:t>2</w:t>
      </w:r>
      <w:r>
        <w:rPr>
          <w:rFonts w:ascii="Arial" w:hAnsi="Arial" w:cs="Arial"/>
          <w:sz w:val="20"/>
          <w:szCs w:val="20"/>
        </w:rPr>
        <w:t xml:space="preserve"> Institute for Bioinnovation, Biomedical Sciences Research Center Alexander Fleming, Vari, Greece</w:t>
      </w:r>
    </w:p>
    <w:p w14:paraId="5315DDBE" w14:textId="77777777" w:rsidR="00DC2BAC" w:rsidRPr="009F5C4E" w:rsidRDefault="00DC2BAC" w:rsidP="00DC2BAC">
      <w:pPr>
        <w:spacing w:after="0" w:line="360" w:lineRule="auto"/>
        <w:rPr>
          <w:rFonts w:ascii="Arial" w:eastAsia="SimSun" w:hAnsi="Arial" w:cs="Arial"/>
          <w:sz w:val="20"/>
          <w:szCs w:val="20"/>
          <w:lang w:val="en" w:eastAsia="zh-CN" w:bidi="ar"/>
        </w:rPr>
      </w:pPr>
      <w:r w:rsidRPr="009F5C4E">
        <w:rPr>
          <w:rFonts w:ascii="Arial" w:hAnsi="Arial" w:cs="Arial"/>
          <w:sz w:val="20"/>
          <w:szCs w:val="20"/>
          <w:vertAlign w:val="superscript"/>
        </w:rPr>
        <w:t>3</w:t>
      </w:r>
      <w:r w:rsidRPr="009F5C4E">
        <w:rPr>
          <w:rFonts w:ascii="Arial" w:hAnsi="Arial" w:cs="Arial"/>
          <w:sz w:val="20"/>
          <w:szCs w:val="20"/>
          <w:vertAlign w:val="superscript"/>
          <w:lang w:val="en"/>
        </w:rPr>
        <w:t xml:space="preserve"> </w:t>
      </w:r>
      <w:r>
        <w:rPr>
          <w:rFonts w:ascii="Arial" w:hAnsi="Arial" w:cs="Arial"/>
          <w:sz w:val="20"/>
          <w:szCs w:val="20"/>
          <w:vertAlign w:val="superscript"/>
          <w:lang w:val="en"/>
        </w:rPr>
        <w:t xml:space="preserve"> </w:t>
      </w:r>
      <w:r w:rsidRPr="009F5C4E">
        <w:rPr>
          <w:rFonts w:ascii="Arial" w:eastAsia="SimSun" w:hAnsi="Arial" w:cs="Arial"/>
          <w:sz w:val="20"/>
          <w:szCs w:val="20"/>
          <w:lang w:eastAsia="zh-CN" w:bidi="ar"/>
        </w:rPr>
        <w:t xml:space="preserve">Department of Medical Oncology, Inselspital, </w:t>
      </w:r>
      <w:r w:rsidRPr="009F5C4E">
        <w:rPr>
          <w:rFonts w:ascii="Arial" w:eastAsia="SimSun" w:hAnsi="Arial" w:cs="Arial"/>
          <w:sz w:val="20"/>
          <w:szCs w:val="20"/>
          <w:lang w:val="en" w:eastAsia="zh-CN" w:bidi="ar"/>
        </w:rPr>
        <w:t>U</w:t>
      </w:r>
      <w:r w:rsidRPr="009F5C4E">
        <w:rPr>
          <w:rFonts w:ascii="Arial" w:eastAsia="SimSun" w:hAnsi="Arial" w:cs="Arial"/>
          <w:sz w:val="20"/>
          <w:szCs w:val="20"/>
          <w:lang w:eastAsia="zh-CN" w:bidi="ar"/>
        </w:rPr>
        <w:t>niversity Hospital</w:t>
      </w:r>
      <w:r>
        <w:rPr>
          <w:rFonts w:ascii="Arial" w:eastAsia="SimSun" w:hAnsi="Arial" w:cs="Arial"/>
          <w:sz w:val="20"/>
          <w:szCs w:val="20"/>
          <w:lang w:eastAsia="zh-CN" w:bidi="ar"/>
        </w:rPr>
        <w:t xml:space="preserve"> and </w:t>
      </w:r>
      <w:r w:rsidRPr="009F5C4E">
        <w:rPr>
          <w:rFonts w:ascii="Arial" w:eastAsia="SimSun" w:hAnsi="Arial" w:cs="Arial"/>
          <w:sz w:val="20"/>
          <w:szCs w:val="20"/>
          <w:lang w:eastAsia="zh-CN" w:bidi="ar"/>
        </w:rPr>
        <w:t>University of Bern, Switzerland</w:t>
      </w:r>
      <w:r w:rsidRPr="009F5C4E">
        <w:rPr>
          <w:rFonts w:ascii="Arial" w:eastAsia="SimSun" w:hAnsi="Arial" w:cs="Arial"/>
          <w:sz w:val="20"/>
          <w:szCs w:val="20"/>
          <w:lang w:val="en" w:eastAsia="zh-CN" w:bidi="ar"/>
        </w:rPr>
        <w:t xml:space="preserve"> </w:t>
      </w:r>
    </w:p>
    <w:p w14:paraId="08E89246" w14:textId="77777777" w:rsidR="00DC2BAC" w:rsidRDefault="00DC2BAC" w:rsidP="00DC2BAC">
      <w:pPr>
        <w:spacing w:after="0" w:line="360" w:lineRule="auto"/>
        <w:rPr>
          <w:rFonts w:ascii="Arial" w:hAnsi="Arial" w:cs="Arial"/>
          <w:sz w:val="20"/>
          <w:szCs w:val="20"/>
          <w:lang w:val="en"/>
        </w:rPr>
      </w:pPr>
      <w:r w:rsidRPr="009F5C4E">
        <w:rPr>
          <w:rFonts w:ascii="Arial" w:eastAsia="SimSun" w:hAnsi="Arial" w:cs="Arial"/>
          <w:sz w:val="20"/>
          <w:szCs w:val="20"/>
          <w:vertAlign w:val="superscript"/>
          <w:lang w:val="en" w:eastAsia="zh-CN" w:bidi="ar"/>
        </w:rPr>
        <w:t>4</w:t>
      </w:r>
      <w:r>
        <w:rPr>
          <w:rFonts w:ascii="Arial" w:eastAsia="SimSun" w:hAnsi="Arial" w:cs="Arial"/>
          <w:sz w:val="20"/>
          <w:szCs w:val="20"/>
          <w:vertAlign w:val="superscript"/>
          <w:lang w:val="en" w:eastAsia="zh-CN" w:bidi="ar"/>
        </w:rPr>
        <w:t xml:space="preserve">  </w:t>
      </w:r>
      <w:r w:rsidRPr="009F5C4E">
        <w:rPr>
          <w:rFonts w:ascii="Arial" w:eastAsia="SimSun" w:hAnsi="Arial" w:cs="Arial"/>
          <w:sz w:val="20"/>
          <w:szCs w:val="20"/>
          <w:lang w:eastAsia="zh-CN" w:bidi="ar"/>
        </w:rPr>
        <w:t>Department for BioMedical Research</w:t>
      </w:r>
      <w:r>
        <w:rPr>
          <w:rFonts w:ascii="Arial" w:eastAsia="SimSun" w:hAnsi="Arial" w:cs="Arial"/>
          <w:sz w:val="20"/>
          <w:szCs w:val="20"/>
          <w:lang w:eastAsia="zh-CN" w:bidi="ar"/>
        </w:rPr>
        <w:t xml:space="preserve"> </w:t>
      </w:r>
      <w:r>
        <w:t>(</w:t>
      </w:r>
      <w:r w:rsidRPr="00C71E75">
        <w:rPr>
          <w:rFonts w:ascii="Arial" w:eastAsia="SimSun" w:hAnsi="Arial" w:cs="Arial"/>
          <w:sz w:val="20"/>
          <w:szCs w:val="20"/>
          <w:lang w:eastAsia="zh-CN" w:bidi="ar"/>
        </w:rPr>
        <w:t>DBMR</w:t>
      </w:r>
      <w:r>
        <w:rPr>
          <w:rFonts w:ascii="Arial" w:eastAsia="SimSun" w:hAnsi="Arial" w:cs="Arial"/>
          <w:sz w:val="20"/>
          <w:szCs w:val="20"/>
          <w:lang w:eastAsia="zh-CN" w:bidi="ar"/>
        </w:rPr>
        <w:t>)</w:t>
      </w:r>
      <w:r w:rsidRPr="009F5C4E">
        <w:rPr>
          <w:rFonts w:ascii="Arial" w:eastAsia="SimSun" w:hAnsi="Arial" w:cs="Arial"/>
          <w:sz w:val="20"/>
          <w:szCs w:val="20"/>
          <w:lang w:eastAsia="zh-CN" w:bidi="ar"/>
        </w:rPr>
        <w:t>, University of Bern, Bern, Switzerland</w:t>
      </w:r>
    </w:p>
    <w:p w14:paraId="5D404F82" w14:textId="77777777" w:rsidR="00DC2BAC" w:rsidRDefault="00DC2BAC" w:rsidP="00DC2BAC">
      <w:pPr>
        <w:spacing w:after="0" w:line="360" w:lineRule="auto"/>
        <w:jc w:val="both"/>
        <w:rPr>
          <w:rFonts w:ascii="Arial" w:hAnsi="Arial" w:cs="Arial"/>
          <w:sz w:val="20"/>
          <w:szCs w:val="20"/>
        </w:rPr>
      </w:pPr>
      <w:r>
        <w:rPr>
          <w:rFonts w:ascii="Arial" w:hAnsi="Arial" w:cs="Arial"/>
          <w:sz w:val="20"/>
          <w:szCs w:val="20"/>
          <w:vertAlign w:val="superscript"/>
        </w:rPr>
        <w:t xml:space="preserve">5 </w:t>
      </w:r>
      <w:r>
        <w:rPr>
          <w:rFonts w:ascii="Arial" w:hAnsi="Arial" w:cs="Arial"/>
          <w:sz w:val="20"/>
          <w:szCs w:val="20"/>
        </w:rPr>
        <w:t>Division of Rheumatology, University Hospital Frankfurt, Goethe University, Frankfurt am Main, Germany</w:t>
      </w:r>
    </w:p>
    <w:p w14:paraId="07372464" w14:textId="77777777" w:rsidR="00DC2BAC" w:rsidRDefault="00DC2BAC" w:rsidP="00DC2BAC">
      <w:pPr>
        <w:spacing w:after="0" w:line="360" w:lineRule="auto"/>
        <w:jc w:val="both"/>
        <w:rPr>
          <w:rFonts w:ascii="Arial" w:hAnsi="Arial" w:cs="Arial"/>
          <w:sz w:val="20"/>
          <w:szCs w:val="20"/>
        </w:rPr>
      </w:pPr>
      <w:r>
        <w:rPr>
          <w:rFonts w:ascii="Arial" w:hAnsi="Arial" w:cs="Arial"/>
          <w:sz w:val="20"/>
          <w:szCs w:val="20"/>
          <w:vertAlign w:val="superscript"/>
        </w:rPr>
        <w:t xml:space="preserve">6 </w:t>
      </w:r>
      <w:r>
        <w:rPr>
          <w:rFonts w:ascii="Arial" w:hAnsi="Arial" w:cs="Arial"/>
          <w:sz w:val="20"/>
          <w:szCs w:val="20"/>
        </w:rPr>
        <w:t>Fraunhofer Institute for Molecular Biology and Applied Ecology IME, Project Group Translational Medicine and Pharmacology TMP, Frankfurt am Main, Germany</w:t>
      </w:r>
    </w:p>
    <w:p w14:paraId="697BD4F6" w14:textId="77777777" w:rsidR="00DC2BAC" w:rsidRPr="008C5E52" w:rsidRDefault="00DC2BAC" w:rsidP="00DC2BAC">
      <w:pPr>
        <w:spacing w:after="0" w:line="360" w:lineRule="auto"/>
        <w:jc w:val="both"/>
        <w:rPr>
          <w:rFonts w:ascii="Arial" w:hAnsi="Arial" w:cs="Arial"/>
          <w:sz w:val="20"/>
          <w:szCs w:val="20"/>
        </w:rPr>
      </w:pPr>
      <w:r w:rsidRPr="005F76D2">
        <w:rPr>
          <w:rFonts w:ascii="Arial" w:hAnsi="Arial" w:cs="Arial"/>
          <w:sz w:val="20"/>
          <w:szCs w:val="20"/>
          <w:vertAlign w:val="superscript"/>
        </w:rPr>
        <w:t xml:space="preserve">7 </w:t>
      </w:r>
      <w:r w:rsidRPr="005F76D2">
        <w:rPr>
          <w:rFonts w:ascii="Arial" w:hAnsi="Arial" w:cs="Arial"/>
          <w:sz w:val="20"/>
          <w:szCs w:val="20"/>
        </w:rPr>
        <w:t xml:space="preserve">Department of Physiology and Joint Rheumatology Program, School of Medicine, National and Kapodistrian University of Athens, Greece </w:t>
      </w:r>
    </w:p>
    <w:p w14:paraId="4EA5C9E4" w14:textId="77777777" w:rsidR="00DC2BAC" w:rsidRPr="005F76D2" w:rsidRDefault="00DC2BAC" w:rsidP="00DC2BAC">
      <w:pPr>
        <w:spacing w:after="0" w:line="360" w:lineRule="auto"/>
        <w:jc w:val="both"/>
        <w:rPr>
          <w:rFonts w:ascii="Arial" w:hAnsi="Arial" w:cs="Arial"/>
          <w:sz w:val="20"/>
          <w:szCs w:val="20"/>
        </w:rPr>
      </w:pPr>
    </w:p>
    <w:p w14:paraId="493F1894" w14:textId="77777777" w:rsidR="00DC2BAC" w:rsidRDefault="00DC2BAC" w:rsidP="00DC2BAC">
      <w:pPr>
        <w:spacing w:after="0" w:line="360" w:lineRule="auto"/>
        <w:jc w:val="both"/>
        <w:rPr>
          <w:rFonts w:ascii="Arial" w:hAnsi="Arial" w:cs="Arial"/>
          <w:sz w:val="20"/>
          <w:szCs w:val="20"/>
        </w:rPr>
      </w:pPr>
    </w:p>
    <w:p w14:paraId="149EBD0F" w14:textId="77777777" w:rsidR="00DC2BAC" w:rsidRDefault="00DC2BAC" w:rsidP="00DC2BAC">
      <w:pPr>
        <w:spacing w:after="0" w:line="360" w:lineRule="auto"/>
        <w:jc w:val="both"/>
        <w:rPr>
          <w:rFonts w:ascii="Arial" w:hAnsi="Arial" w:cs="Arial"/>
          <w:sz w:val="20"/>
          <w:szCs w:val="20"/>
        </w:rPr>
      </w:pPr>
      <w:r>
        <w:rPr>
          <w:rFonts w:ascii="Arial" w:hAnsi="Arial" w:cs="Arial"/>
          <w:sz w:val="20"/>
          <w:szCs w:val="20"/>
        </w:rPr>
        <w:t>*Corresponding Author</w:t>
      </w:r>
    </w:p>
    <w:p w14:paraId="28C7B361" w14:textId="77777777" w:rsidR="00DC2BAC" w:rsidRDefault="00DC2BAC" w:rsidP="00DC2BAC">
      <w:pPr>
        <w:spacing w:line="480" w:lineRule="auto"/>
        <w:ind w:right="-450"/>
        <w:jc w:val="both"/>
        <w:rPr>
          <w:rFonts w:ascii="Arial" w:eastAsia="Calibri" w:hAnsi="Arial" w:cs="Arial"/>
          <w:b/>
          <w:bCs/>
          <w:color w:val="000000"/>
        </w:rPr>
      </w:pPr>
    </w:p>
    <w:p w14:paraId="10395C4B" w14:textId="77777777" w:rsidR="00DC2BAC" w:rsidRDefault="00DC2BAC" w:rsidP="00DC2BAC">
      <w:pPr>
        <w:spacing w:line="480" w:lineRule="auto"/>
        <w:ind w:right="-450"/>
        <w:jc w:val="both"/>
        <w:rPr>
          <w:rFonts w:ascii="Arial" w:eastAsia="Calibri" w:hAnsi="Arial" w:cs="Arial"/>
          <w:color w:val="000000"/>
        </w:rPr>
      </w:pPr>
      <w:r>
        <w:rPr>
          <w:rFonts w:ascii="Arial" w:eastAsia="Calibri" w:hAnsi="Arial" w:cs="Arial"/>
          <w:b/>
          <w:bCs/>
          <w:color w:val="000000"/>
        </w:rPr>
        <w:t>Correspondence to</w:t>
      </w:r>
      <w:r>
        <w:rPr>
          <w:rFonts w:ascii="Arial" w:eastAsia="Calibri" w:hAnsi="Arial" w:cs="Arial"/>
          <w:color w:val="000000"/>
        </w:rPr>
        <w:t xml:space="preserve">: </w:t>
      </w:r>
    </w:p>
    <w:p w14:paraId="03966ABD" w14:textId="77777777" w:rsidR="00DC2BAC" w:rsidRDefault="00DC2BAC" w:rsidP="00DC2BAC">
      <w:pPr>
        <w:spacing w:line="480" w:lineRule="auto"/>
        <w:ind w:right="-450"/>
        <w:jc w:val="both"/>
        <w:rPr>
          <w:rFonts w:ascii="Arial" w:eastAsia="Calibri" w:hAnsi="Arial" w:cs="Arial"/>
          <w:color w:val="000000"/>
        </w:rPr>
      </w:pPr>
      <w:r w:rsidRPr="00DC6828">
        <w:rPr>
          <w:rFonts w:ascii="Arial" w:eastAsia="Calibri" w:hAnsi="Arial" w:cs="Arial"/>
          <w:color w:val="000000"/>
        </w:rPr>
        <w:t>Professor George Kollias, Institute for Bioinnovation, Biomedical Sciences Research Center (BSRC), 'Alexander Fleming', 34 Alexander Fleming street, Vari, 16672 Greece</w:t>
      </w:r>
    </w:p>
    <w:p w14:paraId="3C897EB2" w14:textId="77777777" w:rsidR="00DC2BAC" w:rsidRDefault="00DC2BAC" w:rsidP="00DC2BAC">
      <w:pPr>
        <w:spacing w:after="0" w:line="360" w:lineRule="auto"/>
        <w:jc w:val="both"/>
        <w:rPr>
          <w:rStyle w:val="go"/>
          <w:rFonts w:ascii="Arial" w:hAnsi="Arial" w:cs="Arial"/>
          <w:szCs w:val="20"/>
        </w:rPr>
      </w:pPr>
      <w:r>
        <w:rPr>
          <w:rFonts w:ascii="Arial" w:hAnsi="Arial" w:cs="Arial"/>
        </w:rPr>
        <w:t xml:space="preserve">(contact details: </w:t>
      </w:r>
      <w:hyperlink r:id="rId4" w:history="1">
        <w:r>
          <w:rPr>
            <w:rStyle w:val="Hyperlink"/>
            <w:rFonts w:ascii="Arial" w:eastAsia="Calibri" w:hAnsi="Arial" w:cs="Arial"/>
          </w:rPr>
          <w:t>kollias@fleming.gr</w:t>
        </w:r>
      </w:hyperlink>
      <w:r>
        <w:rPr>
          <w:rFonts w:ascii="Arial" w:eastAsia="Calibri" w:hAnsi="Arial" w:cs="Arial"/>
          <w:color w:val="000000"/>
        </w:rPr>
        <w:t xml:space="preserve">, tel. </w:t>
      </w:r>
      <w:r>
        <w:rPr>
          <w:rStyle w:val="go"/>
          <w:rFonts w:ascii="Arial" w:hAnsi="Arial" w:cs="Arial"/>
          <w:szCs w:val="20"/>
        </w:rPr>
        <w:t>+30-2109655310)</w:t>
      </w:r>
    </w:p>
    <w:p w14:paraId="2471A70D" w14:textId="61AC8C3B" w:rsidR="002A5330" w:rsidRDefault="002A5330"/>
    <w:p w14:paraId="65C0A925" w14:textId="2B25ED59" w:rsidR="00B66773" w:rsidRDefault="00B66773" w:rsidP="00695276">
      <w:pPr>
        <w:rPr>
          <w:b/>
          <w:bCs/>
        </w:rPr>
      </w:pPr>
    </w:p>
    <w:p w14:paraId="54CD0DE6" w14:textId="6CE75900" w:rsidR="00B66773" w:rsidRDefault="00106AB4" w:rsidP="00315627">
      <w:pPr>
        <w:jc w:val="center"/>
        <w:rPr>
          <w:b/>
          <w:bCs/>
        </w:rPr>
      </w:pPr>
      <w:r>
        <w:rPr>
          <w:b/>
          <w:bCs/>
          <w:noProof/>
        </w:rPr>
        <w:lastRenderedPageBreak/>
        <w:drawing>
          <wp:inline distT="0" distB="0" distL="0" distR="0" wp14:anchorId="226EE9AF" wp14:editId="64A6DD45">
            <wp:extent cx="5580800" cy="2052084"/>
            <wp:effectExtent l="0" t="0" r="127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20747" cy="2066773"/>
                    </a:xfrm>
                    <a:prstGeom prst="rect">
                      <a:avLst/>
                    </a:prstGeom>
                    <a:noFill/>
                    <a:ln>
                      <a:noFill/>
                    </a:ln>
                  </pic:spPr>
                </pic:pic>
              </a:graphicData>
            </a:graphic>
          </wp:inline>
        </w:drawing>
      </w:r>
    </w:p>
    <w:p w14:paraId="024E3523" w14:textId="22BAD89B" w:rsidR="00106AB4" w:rsidRPr="00315627" w:rsidRDefault="00106AB4" w:rsidP="00315627">
      <w:pPr>
        <w:spacing w:line="480" w:lineRule="auto"/>
        <w:jc w:val="both"/>
        <w:rPr>
          <w:rFonts w:ascii="Arial" w:hAnsi="Arial" w:cs="Arial"/>
          <w:bCs/>
        </w:rPr>
      </w:pPr>
      <w:r>
        <w:rPr>
          <w:rFonts w:ascii="Arial" w:hAnsi="Arial" w:cs="Arial"/>
          <w:b/>
        </w:rPr>
        <w:t>Supplementary Figure 1</w:t>
      </w:r>
      <w:r>
        <w:rPr>
          <w:rFonts w:ascii="Arial" w:hAnsi="Arial" w:cs="Arial"/>
        </w:rPr>
        <w:t xml:space="preserve">: Historical clinical </w:t>
      </w:r>
      <w:r>
        <w:rPr>
          <w:rFonts w:ascii="Arial" w:hAnsi="Arial" w:cs="Arial"/>
          <w:b/>
          <w:bCs/>
        </w:rPr>
        <w:t>(A)</w:t>
      </w:r>
      <w:r>
        <w:rPr>
          <w:rFonts w:ascii="Arial" w:hAnsi="Arial" w:cs="Arial"/>
        </w:rPr>
        <w:t xml:space="preserve"> and histopathological </w:t>
      </w:r>
      <w:r>
        <w:rPr>
          <w:rFonts w:ascii="Arial" w:hAnsi="Arial" w:cs="Arial"/>
          <w:b/>
          <w:bCs/>
        </w:rPr>
        <w:t>(B)</w:t>
      </w:r>
      <w:r>
        <w:rPr>
          <w:rFonts w:ascii="Arial" w:hAnsi="Arial" w:cs="Arial"/>
        </w:rPr>
        <w:t xml:space="preserve"> arthritic score</w:t>
      </w:r>
      <w:r w:rsidR="00554A0D">
        <w:rPr>
          <w:rFonts w:ascii="Arial" w:hAnsi="Arial" w:cs="Arial"/>
        </w:rPr>
        <w:t>s</w:t>
      </w:r>
      <w:r>
        <w:rPr>
          <w:rFonts w:ascii="Arial" w:hAnsi="Arial" w:cs="Arial"/>
        </w:rPr>
        <w:t xml:space="preserve"> depicting the dose-dependent effect of Infliximab on Tg197 arthritic pathology.</w:t>
      </w:r>
      <w:r>
        <w:rPr>
          <w:rFonts w:ascii="Arial" w:hAnsi="Arial" w:cs="Arial"/>
          <w:b/>
          <w:bCs/>
        </w:rPr>
        <w:t xml:space="preserve"> </w:t>
      </w:r>
      <w:r>
        <w:rPr>
          <w:rFonts w:ascii="Arial" w:hAnsi="Arial" w:cs="Arial"/>
        </w:rPr>
        <w:t xml:space="preserve"> All data are shown as mean± SEM. </w:t>
      </w:r>
    </w:p>
    <w:p w14:paraId="18E680B9" w14:textId="5DE4FDFD" w:rsidR="00106AB4" w:rsidRDefault="00106AB4" w:rsidP="00695276">
      <w:pPr>
        <w:rPr>
          <w:b/>
          <w:bCs/>
        </w:rPr>
      </w:pPr>
    </w:p>
    <w:p w14:paraId="34F0C95F" w14:textId="0D8A3DF6" w:rsidR="00106AB4" w:rsidRDefault="00D63F27" w:rsidP="00315627">
      <w:pPr>
        <w:jc w:val="center"/>
        <w:rPr>
          <w:b/>
          <w:bCs/>
        </w:rPr>
      </w:pPr>
      <w:r>
        <w:rPr>
          <w:noProof/>
        </w:rPr>
        <w:drawing>
          <wp:inline distT="0" distB="0" distL="0" distR="0" wp14:anchorId="2019E6D1" wp14:editId="620B11C9">
            <wp:extent cx="5785945" cy="2235807"/>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46036" cy="2259027"/>
                    </a:xfrm>
                    <a:prstGeom prst="rect">
                      <a:avLst/>
                    </a:prstGeom>
                    <a:noFill/>
                    <a:ln>
                      <a:noFill/>
                    </a:ln>
                  </pic:spPr>
                </pic:pic>
              </a:graphicData>
            </a:graphic>
          </wp:inline>
        </w:drawing>
      </w:r>
    </w:p>
    <w:p w14:paraId="1B22021D" w14:textId="26651CFF" w:rsidR="00106AB4" w:rsidRDefault="00106AB4" w:rsidP="00695276">
      <w:pPr>
        <w:rPr>
          <w:b/>
          <w:bCs/>
        </w:rPr>
      </w:pPr>
    </w:p>
    <w:p w14:paraId="48973BA0" w14:textId="4BC71583" w:rsidR="00106AB4" w:rsidRDefault="00106AB4" w:rsidP="00106AB4">
      <w:pPr>
        <w:spacing w:line="480" w:lineRule="auto"/>
        <w:jc w:val="both"/>
        <w:rPr>
          <w:rFonts w:ascii="Arial" w:hAnsi="Arial" w:cs="Arial"/>
          <w:b/>
        </w:rPr>
      </w:pPr>
      <w:r>
        <w:rPr>
          <w:rFonts w:ascii="Arial" w:hAnsi="Arial" w:cs="Arial"/>
          <w:b/>
        </w:rPr>
        <w:t xml:space="preserve">Supplementary Figure 2: </w:t>
      </w:r>
      <w:r>
        <w:rPr>
          <w:rFonts w:ascii="Arial" w:hAnsi="Arial" w:cs="Arial"/>
        </w:rPr>
        <w:t xml:space="preserve">Clinical </w:t>
      </w:r>
      <w:r>
        <w:rPr>
          <w:rFonts w:ascii="Arial" w:hAnsi="Arial" w:cs="Arial"/>
          <w:b/>
        </w:rPr>
        <w:t xml:space="preserve">(A) </w:t>
      </w:r>
      <w:r>
        <w:rPr>
          <w:rFonts w:ascii="Arial" w:hAnsi="Arial" w:cs="Arial"/>
        </w:rPr>
        <w:t xml:space="preserve">and histopathological </w:t>
      </w:r>
      <w:r>
        <w:rPr>
          <w:rFonts w:ascii="Arial" w:hAnsi="Arial" w:cs="Arial"/>
          <w:b/>
        </w:rPr>
        <w:t xml:space="preserve">(B) </w:t>
      </w:r>
      <w:r>
        <w:rPr>
          <w:rFonts w:ascii="Arial" w:hAnsi="Arial" w:cs="Arial"/>
        </w:rPr>
        <w:t>arthritic score</w:t>
      </w:r>
      <w:r w:rsidR="00554A0D">
        <w:rPr>
          <w:rFonts w:ascii="Arial" w:hAnsi="Arial" w:cs="Arial"/>
        </w:rPr>
        <w:t>s</w:t>
      </w:r>
      <w:r>
        <w:rPr>
          <w:rFonts w:ascii="Arial" w:hAnsi="Arial" w:cs="Arial"/>
        </w:rPr>
        <w:t xml:space="preserve"> showing the response of Tg197 animals treated with bosutinib (75 mg/Kg) administered either alone or in combination with 1mg/Kg Infliximab in comparison to </w:t>
      </w:r>
      <w:r w:rsidR="00554A0D">
        <w:rPr>
          <w:rFonts w:ascii="Arial" w:hAnsi="Arial" w:cs="Arial"/>
        </w:rPr>
        <w:t>two</w:t>
      </w:r>
      <w:r>
        <w:rPr>
          <w:rFonts w:ascii="Arial" w:hAnsi="Arial" w:cs="Arial"/>
        </w:rPr>
        <w:t xml:space="preserve"> dose</w:t>
      </w:r>
      <w:r w:rsidR="00554A0D">
        <w:rPr>
          <w:rFonts w:ascii="Arial" w:hAnsi="Arial" w:cs="Arial"/>
        </w:rPr>
        <w:t>s</w:t>
      </w:r>
      <w:r>
        <w:rPr>
          <w:rFonts w:ascii="Arial" w:hAnsi="Arial" w:cs="Arial"/>
        </w:rPr>
        <w:t xml:space="preserve"> of Infliximab (10mg/Kg). All data are shown as mean± SEM (***p-value≤0.0001).</w:t>
      </w:r>
    </w:p>
    <w:p w14:paraId="101627CC" w14:textId="6CD74822" w:rsidR="00106AB4" w:rsidRDefault="00106AB4" w:rsidP="00695276">
      <w:pPr>
        <w:rPr>
          <w:b/>
          <w:bCs/>
        </w:rPr>
      </w:pPr>
    </w:p>
    <w:p w14:paraId="19F7267B" w14:textId="398C0657" w:rsidR="00106AB4" w:rsidRDefault="00106AB4" w:rsidP="00695276">
      <w:pPr>
        <w:rPr>
          <w:b/>
          <w:bCs/>
        </w:rPr>
      </w:pPr>
    </w:p>
    <w:p w14:paraId="4BDC0049" w14:textId="5203D1B3" w:rsidR="00106AB4" w:rsidRDefault="00106AB4" w:rsidP="00695276">
      <w:pPr>
        <w:rPr>
          <w:b/>
          <w:bCs/>
        </w:rPr>
      </w:pPr>
    </w:p>
    <w:p w14:paraId="7790B06B" w14:textId="04CCE466" w:rsidR="00106AB4" w:rsidRDefault="00106AB4" w:rsidP="00695276">
      <w:pPr>
        <w:rPr>
          <w:b/>
          <w:bCs/>
        </w:rPr>
      </w:pPr>
    </w:p>
    <w:p w14:paraId="1F6DE2E7" w14:textId="11AC9270" w:rsidR="00106AB4" w:rsidRDefault="00106AB4" w:rsidP="00106AB4">
      <w:pPr>
        <w:jc w:val="center"/>
        <w:rPr>
          <w:b/>
          <w:bCs/>
        </w:rPr>
      </w:pPr>
      <w:r>
        <w:rPr>
          <w:b/>
          <w:bCs/>
          <w:noProof/>
        </w:rPr>
        <w:lastRenderedPageBreak/>
        <w:drawing>
          <wp:inline distT="0" distB="0" distL="0" distR="0" wp14:anchorId="12003852" wp14:editId="58BCC850">
            <wp:extent cx="4084538" cy="713444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93340" cy="7149822"/>
                    </a:xfrm>
                    <a:prstGeom prst="rect">
                      <a:avLst/>
                    </a:prstGeom>
                    <a:noFill/>
                    <a:ln>
                      <a:noFill/>
                    </a:ln>
                  </pic:spPr>
                </pic:pic>
              </a:graphicData>
            </a:graphic>
          </wp:inline>
        </w:drawing>
      </w:r>
    </w:p>
    <w:p w14:paraId="6EB647DE" w14:textId="31879B0D" w:rsidR="00106AB4" w:rsidRPr="003602B6" w:rsidRDefault="00106AB4" w:rsidP="003602B6">
      <w:pPr>
        <w:spacing w:line="480" w:lineRule="auto"/>
        <w:jc w:val="both"/>
        <w:rPr>
          <w:rFonts w:ascii="Arial" w:eastAsia="Times New Roman" w:hAnsi="Arial" w:cs="Arial"/>
          <w:color w:val="auto"/>
        </w:rPr>
      </w:pPr>
      <w:r>
        <w:rPr>
          <w:rFonts w:ascii="Arial" w:hAnsi="Arial" w:cs="Arial"/>
          <w:b/>
        </w:rPr>
        <w:t xml:space="preserve">Supplementary Figure 3: </w:t>
      </w:r>
      <w:r>
        <w:rPr>
          <w:rFonts w:ascii="Arial" w:eastAsia="Times New Roman" w:hAnsi="Arial" w:cs="Arial"/>
          <w:color w:val="auto"/>
        </w:rPr>
        <w:t>Representative H&amp;E heart valve histology images</w:t>
      </w:r>
      <w:r>
        <w:rPr>
          <w:rFonts w:ascii="Arial" w:hAnsi="Arial" w:cs="Arial"/>
        </w:rPr>
        <w:t xml:space="preserve"> showing the effect of dasatinib </w:t>
      </w:r>
      <w:r>
        <w:rPr>
          <w:rFonts w:ascii="Arial" w:eastAsia="Times New Roman" w:hAnsi="Arial" w:cs="Arial"/>
          <w:color w:val="auto"/>
        </w:rPr>
        <w:t>alone or in combination with a low dose of Infliximab</w:t>
      </w:r>
      <w:r>
        <w:rPr>
          <w:rFonts w:ascii="Arial" w:hAnsi="Arial" w:cs="Arial"/>
        </w:rPr>
        <w:t xml:space="preserve"> in the </w:t>
      </w:r>
      <w:r>
        <w:rPr>
          <w:rFonts w:ascii="Arial" w:eastAsia="Times New Roman" w:hAnsi="Arial" w:cs="Arial"/>
          <w:color w:val="auto"/>
        </w:rPr>
        <w:t xml:space="preserve">Tg197 heart valve pathology. Right panel scale bar: </w:t>
      </w:r>
      <w:r>
        <w:rPr>
          <w:rFonts w:ascii="Arial" w:hAnsi="Arial" w:cs="Arial"/>
        </w:rPr>
        <w:t>500μm, left panel scale bar: 1mm</w:t>
      </w:r>
      <w:r>
        <w:rPr>
          <w:rFonts w:ascii="Arial" w:eastAsia="Times New Roman" w:hAnsi="Arial" w:cs="Arial"/>
          <w:color w:val="auto"/>
        </w:rPr>
        <w:t xml:space="preserve"> (AO: Aorta, AoV: Aortic valve, LV: left ventricle).</w:t>
      </w:r>
    </w:p>
    <w:p w14:paraId="3BA6B66C" w14:textId="5F23EE09" w:rsidR="00106AB4" w:rsidRDefault="00106AB4" w:rsidP="00106AB4">
      <w:pPr>
        <w:jc w:val="center"/>
        <w:rPr>
          <w:b/>
          <w:bCs/>
        </w:rPr>
      </w:pPr>
      <w:r>
        <w:rPr>
          <w:b/>
          <w:bCs/>
          <w:noProof/>
        </w:rPr>
        <w:lastRenderedPageBreak/>
        <w:drawing>
          <wp:inline distT="0" distB="0" distL="0" distR="0" wp14:anchorId="103757A9" wp14:editId="15A4808A">
            <wp:extent cx="5734050" cy="20764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2076450"/>
                    </a:xfrm>
                    <a:prstGeom prst="rect">
                      <a:avLst/>
                    </a:prstGeom>
                    <a:noFill/>
                    <a:ln>
                      <a:noFill/>
                    </a:ln>
                  </pic:spPr>
                </pic:pic>
              </a:graphicData>
            </a:graphic>
          </wp:inline>
        </w:drawing>
      </w:r>
    </w:p>
    <w:p w14:paraId="006FC057" w14:textId="42843B29" w:rsidR="00106AB4" w:rsidRDefault="00106AB4" w:rsidP="00106AB4">
      <w:pPr>
        <w:jc w:val="center"/>
        <w:rPr>
          <w:b/>
          <w:bCs/>
        </w:rPr>
      </w:pPr>
    </w:p>
    <w:p w14:paraId="09E468AE" w14:textId="708D6E0A" w:rsidR="00106AB4" w:rsidRDefault="00106AB4" w:rsidP="00106AB4">
      <w:pPr>
        <w:spacing w:line="480" w:lineRule="auto"/>
        <w:jc w:val="both"/>
        <w:rPr>
          <w:rFonts w:ascii="Arial" w:hAnsi="Arial" w:cs="Arial"/>
        </w:rPr>
      </w:pPr>
      <w:r>
        <w:rPr>
          <w:rFonts w:ascii="Arial" w:hAnsi="Arial" w:cs="Arial"/>
          <w:b/>
        </w:rPr>
        <w:t>Supplementary Figure 4</w:t>
      </w:r>
      <w:r>
        <w:rPr>
          <w:rFonts w:ascii="Arial" w:hAnsi="Arial" w:cs="Arial"/>
        </w:rPr>
        <w:t xml:space="preserve">:  Historical clinical </w:t>
      </w:r>
      <w:r>
        <w:rPr>
          <w:rFonts w:ascii="Arial" w:hAnsi="Arial" w:cs="Arial"/>
          <w:b/>
          <w:bCs/>
        </w:rPr>
        <w:t xml:space="preserve">(A) </w:t>
      </w:r>
      <w:r>
        <w:rPr>
          <w:rFonts w:ascii="Arial" w:hAnsi="Arial" w:cs="Arial"/>
        </w:rPr>
        <w:t xml:space="preserve">and histopathological </w:t>
      </w:r>
      <w:r>
        <w:rPr>
          <w:rFonts w:ascii="Arial" w:hAnsi="Arial" w:cs="Arial"/>
          <w:b/>
          <w:bCs/>
        </w:rPr>
        <w:t>(B)</w:t>
      </w:r>
      <w:r>
        <w:rPr>
          <w:rFonts w:ascii="Arial" w:hAnsi="Arial" w:cs="Arial"/>
        </w:rPr>
        <w:t xml:space="preserve"> </w:t>
      </w:r>
      <w:r w:rsidR="00554A0D">
        <w:rPr>
          <w:rFonts w:ascii="Arial" w:hAnsi="Arial" w:cs="Arial"/>
        </w:rPr>
        <w:t>arthritic scores</w:t>
      </w:r>
      <w:r>
        <w:rPr>
          <w:rFonts w:ascii="Arial" w:hAnsi="Arial" w:cs="Arial"/>
        </w:rPr>
        <w:t xml:space="preserve"> showing the response of Tg197 animals to treatment with different commercially available anti-hTNF treatments (Infliximab 10mg/Kg, Adalimumab 10mg/Kg, Golimumab 3mg/Kg, and Etanercept 10mg/Kg). Infliximab, Adalimumab and Golimumab were administered intraperitoneally twice weekly. Etanercept was administered subcutaneously thrice weekly. All data are shown as mean± SEM.</w:t>
      </w:r>
    </w:p>
    <w:p w14:paraId="2FEC96B8" w14:textId="4D064A8B" w:rsidR="00106AB4" w:rsidRDefault="00106AB4" w:rsidP="00315627">
      <w:pPr>
        <w:jc w:val="center"/>
        <w:rPr>
          <w:b/>
          <w:bCs/>
        </w:rPr>
      </w:pPr>
      <w:r>
        <w:rPr>
          <w:b/>
          <w:bCs/>
          <w:noProof/>
        </w:rPr>
        <w:drawing>
          <wp:inline distT="0" distB="0" distL="0" distR="0" wp14:anchorId="49215C76" wp14:editId="54C2B77E">
            <wp:extent cx="2932858" cy="290353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53809" cy="2924272"/>
                    </a:xfrm>
                    <a:prstGeom prst="rect">
                      <a:avLst/>
                    </a:prstGeom>
                    <a:noFill/>
                    <a:ln>
                      <a:noFill/>
                    </a:ln>
                  </pic:spPr>
                </pic:pic>
              </a:graphicData>
            </a:graphic>
          </wp:inline>
        </w:drawing>
      </w:r>
    </w:p>
    <w:p w14:paraId="4E113D15" w14:textId="52E24651" w:rsidR="00106AB4" w:rsidRDefault="00106AB4" w:rsidP="00106AB4">
      <w:pPr>
        <w:spacing w:line="480" w:lineRule="auto"/>
        <w:jc w:val="both"/>
        <w:rPr>
          <w:rFonts w:ascii="Arial" w:hAnsi="Arial" w:cs="Arial"/>
        </w:rPr>
      </w:pPr>
      <w:r>
        <w:rPr>
          <w:rFonts w:ascii="Arial" w:hAnsi="Arial" w:cs="Arial"/>
          <w:b/>
        </w:rPr>
        <w:t>Supplementary Figure 5</w:t>
      </w:r>
      <w:r>
        <w:rPr>
          <w:rFonts w:ascii="Arial" w:hAnsi="Arial" w:cs="Arial"/>
          <w:b/>
          <w:bCs/>
        </w:rPr>
        <w:t>:</w:t>
      </w:r>
      <w:r>
        <w:rPr>
          <w:rFonts w:ascii="Arial" w:hAnsi="Arial" w:cs="Arial"/>
        </w:rPr>
        <w:t xml:space="preserve"> Histopathological arthritis score showing the response of Tg197 animals treated with dasatinib 30 mg/Kg alone or in combination with 1mg/Kg Adalimumab, Infliximab or Golimumab or 3 mg/Kg Etanercept. (**p-value; &lt;0.01***p-value≤0.0001, comparisons made to vehicle). All data are shown as mean± SEM. </w:t>
      </w:r>
    </w:p>
    <w:p w14:paraId="4E4A0FC2" w14:textId="06613A14" w:rsidR="00106AB4" w:rsidRDefault="00106AB4" w:rsidP="00106AB4">
      <w:pPr>
        <w:jc w:val="center"/>
        <w:rPr>
          <w:b/>
          <w:bCs/>
        </w:rPr>
      </w:pPr>
      <w:r>
        <w:rPr>
          <w:b/>
          <w:bCs/>
          <w:noProof/>
        </w:rPr>
        <w:lastRenderedPageBreak/>
        <w:drawing>
          <wp:inline distT="0" distB="0" distL="0" distR="0" wp14:anchorId="30DA3438" wp14:editId="41C90A4E">
            <wp:extent cx="5014595" cy="3065526"/>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BEBA8EAE-BF5A-486C-A8C5-ECC9F3942E4B}">
                          <a14:imgProps xmlns:a14="http://schemas.microsoft.com/office/drawing/2010/main">
                            <a14:imgLayer r:embed="rId11">
                              <a14:imgEffect>
                                <a14:brightnessContrast contrast="45000"/>
                              </a14:imgEffect>
                            </a14:imgLayer>
                          </a14:imgProps>
                        </a:ext>
                        <a:ext uri="{28A0092B-C50C-407E-A947-70E740481C1C}">
                          <a14:useLocalDpi xmlns:a14="http://schemas.microsoft.com/office/drawing/2010/main" val="0"/>
                        </a:ext>
                      </a:extLst>
                    </a:blip>
                    <a:srcRect t="12185" r="10473" b="19748"/>
                    <a:stretch/>
                  </pic:blipFill>
                  <pic:spPr bwMode="auto">
                    <a:xfrm>
                      <a:off x="0" y="0"/>
                      <a:ext cx="5052333" cy="3088596"/>
                    </a:xfrm>
                    <a:prstGeom prst="rect">
                      <a:avLst/>
                    </a:prstGeom>
                    <a:noFill/>
                    <a:ln>
                      <a:noFill/>
                    </a:ln>
                    <a:extLst>
                      <a:ext uri="{53640926-AAD7-44D8-BBD7-CCE9431645EC}">
                        <a14:shadowObscured xmlns:a14="http://schemas.microsoft.com/office/drawing/2010/main"/>
                      </a:ext>
                    </a:extLst>
                  </pic:spPr>
                </pic:pic>
              </a:graphicData>
            </a:graphic>
          </wp:inline>
        </w:drawing>
      </w:r>
    </w:p>
    <w:p w14:paraId="5AFDD6DF" w14:textId="0E75F71E" w:rsidR="00106AB4" w:rsidRDefault="00106AB4" w:rsidP="00106AB4">
      <w:pPr>
        <w:jc w:val="center"/>
        <w:rPr>
          <w:b/>
          <w:bCs/>
        </w:rPr>
      </w:pPr>
    </w:p>
    <w:p w14:paraId="6AA05F78" w14:textId="4EC99E59" w:rsidR="00106AB4" w:rsidRDefault="00106AB4" w:rsidP="00106AB4">
      <w:pPr>
        <w:spacing w:line="480" w:lineRule="auto"/>
        <w:jc w:val="both"/>
        <w:rPr>
          <w:rFonts w:ascii="Arial" w:hAnsi="Arial" w:cs="Arial"/>
          <w:color w:val="222222"/>
          <w:shd w:val="clear" w:color="auto" w:fill="FFFFFF"/>
        </w:rPr>
      </w:pPr>
      <w:r>
        <w:rPr>
          <w:rFonts w:ascii="Arial" w:hAnsi="Arial" w:cs="Arial"/>
          <w:b/>
        </w:rPr>
        <w:t>Supplementary Figure 6</w:t>
      </w:r>
      <w:r>
        <w:rPr>
          <w:rFonts w:ascii="Arial" w:hAnsi="Arial" w:cs="Arial"/>
          <w:b/>
          <w:bCs/>
        </w:rPr>
        <w:t xml:space="preserve">: </w:t>
      </w:r>
      <w:r>
        <w:rPr>
          <w:rFonts w:ascii="Arial" w:hAnsi="Arial" w:cs="Arial"/>
        </w:rPr>
        <w:t xml:space="preserve">Set overlaps for </w:t>
      </w:r>
      <w:r w:rsidRPr="007A71A9">
        <w:rPr>
          <w:rFonts w:ascii="Arial" w:hAnsi="Arial" w:cs="Arial"/>
        </w:rPr>
        <w:t>3733</w:t>
      </w:r>
      <w:r>
        <w:rPr>
          <w:rFonts w:ascii="Arial" w:hAnsi="Arial" w:cs="Arial"/>
        </w:rPr>
        <w:t xml:space="preserve"> genes whose expression was significantly altered </w:t>
      </w:r>
      <w:r>
        <w:rPr>
          <w:rFonts w:ascii="Arial" w:hAnsi="Arial" w:cs="Arial"/>
          <w:color w:val="222222"/>
          <w:shd w:val="clear" w:color="auto" w:fill="FFFFFF"/>
        </w:rPr>
        <w:t xml:space="preserve">(|logFC|&gt;=1, adjusted p value&lt;=0.05) compared to WT controls in at least one of the three treatments. Linked dots correspond to genes shared between categories, shown in the horizontal bars. Vertical bars correspond to the number of genes belonging to each set. </w:t>
      </w:r>
    </w:p>
    <w:p w14:paraId="7FFBBCF5" w14:textId="0487A74E" w:rsidR="00106AB4" w:rsidRPr="00554A0D" w:rsidRDefault="00554A0D" w:rsidP="00554A0D">
      <w:pPr>
        <w:spacing w:line="480" w:lineRule="auto"/>
        <w:jc w:val="center"/>
        <w:rPr>
          <w:rFonts w:ascii="Arial" w:hAnsi="Arial" w:cs="Arial"/>
          <w:color w:val="222222"/>
          <w:shd w:val="clear" w:color="auto" w:fill="FFFFFF"/>
        </w:rPr>
      </w:pPr>
      <w:r>
        <w:rPr>
          <w:b/>
          <w:bCs/>
          <w:noProof/>
        </w:rPr>
        <w:drawing>
          <wp:inline distT="0" distB="0" distL="0" distR="0" wp14:anchorId="12C3DBEB" wp14:editId="2531DA12">
            <wp:extent cx="4921946" cy="2453313"/>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49287" cy="2466941"/>
                    </a:xfrm>
                    <a:prstGeom prst="rect">
                      <a:avLst/>
                    </a:prstGeom>
                    <a:noFill/>
                    <a:ln>
                      <a:noFill/>
                    </a:ln>
                  </pic:spPr>
                </pic:pic>
              </a:graphicData>
            </a:graphic>
          </wp:inline>
        </w:drawing>
      </w:r>
    </w:p>
    <w:p w14:paraId="23D2599D" w14:textId="5E9E3DB5" w:rsidR="00106AB4" w:rsidRPr="00554A0D" w:rsidRDefault="00106AB4" w:rsidP="00554A0D">
      <w:pPr>
        <w:spacing w:line="480" w:lineRule="auto"/>
        <w:jc w:val="both"/>
        <w:rPr>
          <w:rFonts w:ascii="Arial" w:hAnsi="Arial" w:cs="Arial"/>
        </w:rPr>
      </w:pPr>
      <w:r>
        <w:rPr>
          <w:rFonts w:ascii="Arial" w:hAnsi="Arial" w:cs="Arial"/>
          <w:b/>
        </w:rPr>
        <w:t>Supplementary Figure 7</w:t>
      </w:r>
      <w:r>
        <w:rPr>
          <w:rFonts w:ascii="Arial" w:hAnsi="Arial" w:cs="Arial"/>
          <w:b/>
          <w:bCs/>
        </w:rPr>
        <w:t>:</w:t>
      </w:r>
      <w:r>
        <w:rPr>
          <w:rFonts w:ascii="Arial" w:hAnsi="Arial" w:cs="Arial"/>
        </w:rPr>
        <w:t xml:space="preserve"> Clinical </w:t>
      </w:r>
      <w:r>
        <w:rPr>
          <w:rFonts w:ascii="Arial" w:hAnsi="Arial" w:cs="Arial"/>
          <w:b/>
          <w:bCs/>
        </w:rPr>
        <w:t xml:space="preserve">(A) </w:t>
      </w:r>
      <w:r>
        <w:rPr>
          <w:rFonts w:ascii="Arial" w:hAnsi="Arial" w:cs="Arial"/>
        </w:rPr>
        <w:t xml:space="preserve">and histopathological </w:t>
      </w:r>
      <w:r>
        <w:rPr>
          <w:rFonts w:ascii="Arial" w:hAnsi="Arial" w:cs="Arial"/>
          <w:b/>
          <w:bCs/>
        </w:rPr>
        <w:t>(B)</w:t>
      </w:r>
      <w:r>
        <w:rPr>
          <w:rFonts w:ascii="Arial" w:hAnsi="Arial" w:cs="Arial"/>
        </w:rPr>
        <w:t xml:space="preserve"> arthritis score</w:t>
      </w:r>
      <w:r w:rsidR="00554A0D">
        <w:rPr>
          <w:rFonts w:ascii="Arial" w:hAnsi="Arial" w:cs="Arial"/>
        </w:rPr>
        <w:t>s</w:t>
      </w:r>
      <w:r>
        <w:rPr>
          <w:rFonts w:ascii="Arial" w:hAnsi="Arial" w:cs="Arial"/>
        </w:rPr>
        <w:t xml:space="preserve"> showing the response of Tg197 animals treated with tofacitinib 50 mg/Kg alone or in combination with 3mg/Kg Etanercept. (* p-value&lt;0.05; ***p-value≤0.0001, comparisons made to vehicle). All data are shown as mean± SEM. </w:t>
      </w:r>
    </w:p>
    <w:sectPr w:rsidR="00106AB4" w:rsidRPr="00554A0D" w:rsidSect="00613A71">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roid Sans Fallback">
    <w:altName w:val="SimSun"/>
    <w:charset w:val="86"/>
    <w:family w:val="roman"/>
    <w:pitch w:val="default"/>
    <w:sig w:usb0="910002FF" w:usb1="2BDFFCFB" w:usb2="00000036" w:usb3="00000000" w:csb0="203F01FF" w:csb1="D7FF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276"/>
    <w:rsid w:val="0007008F"/>
    <w:rsid w:val="000F2059"/>
    <w:rsid w:val="00106AB4"/>
    <w:rsid w:val="002A5330"/>
    <w:rsid w:val="00315627"/>
    <w:rsid w:val="003602B6"/>
    <w:rsid w:val="00554A0D"/>
    <w:rsid w:val="00613A71"/>
    <w:rsid w:val="00653505"/>
    <w:rsid w:val="00695276"/>
    <w:rsid w:val="007A7CC3"/>
    <w:rsid w:val="00A608ED"/>
    <w:rsid w:val="00AE5621"/>
    <w:rsid w:val="00B619F9"/>
    <w:rsid w:val="00B66773"/>
    <w:rsid w:val="00D63F27"/>
    <w:rsid w:val="00DC2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7EFDB"/>
  <w15:chartTrackingRefBased/>
  <w15:docId w15:val="{F3A439A6-69ED-4D0A-A5A9-626B5A3FF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276"/>
    <w:pPr>
      <w:suppressAutoHyphens/>
      <w:overflowPunct w:val="0"/>
      <w:spacing w:after="160" w:line="259" w:lineRule="auto"/>
    </w:pPr>
    <w:rPr>
      <w:rFonts w:ascii="Calibri" w:eastAsia="Droid Sans Fallback" w:hAnsi="Calibri" w:cs="Times New Roman"/>
      <w:color w:val="00000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qFormat/>
    <w:rsid w:val="00DC2BAC"/>
    <w:rPr>
      <w:color w:val="0000FF"/>
      <w:u w:val="single"/>
    </w:rPr>
  </w:style>
  <w:style w:type="character" w:customStyle="1" w:styleId="go">
    <w:name w:val="go"/>
    <w:basedOn w:val="DefaultParagraphFont"/>
    <w:qFormat/>
    <w:rsid w:val="00DC2B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11" Type="http://schemas.microsoft.com/office/2007/relationships/hdphoto" Target="media/hdphoto1.wdp"/><Relationship Id="rId5" Type="http://schemas.openxmlformats.org/officeDocument/2006/relationships/image" Target="media/image1.tiff"/><Relationship Id="rId10" Type="http://schemas.openxmlformats.org/officeDocument/2006/relationships/image" Target="media/image6.png"/><Relationship Id="rId4" Type="http://schemas.openxmlformats.org/officeDocument/2006/relationships/hyperlink" Target="mailto:kollias@fleming.gr" TargetMode="External"/><Relationship Id="rId9" Type="http://schemas.openxmlformats.org/officeDocument/2006/relationships/image" Target="media/image5.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584</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Ntari Lydia</dc:creator>
  <cp:keywords/>
  <dc:description/>
  <cp:lastModifiedBy>Ntari Lydia</cp:lastModifiedBy>
  <cp:revision>11</cp:revision>
  <dcterms:created xsi:type="dcterms:W3CDTF">2020-10-13T06:23:00Z</dcterms:created>
  <dcterms:modified xsi:type="dcterms:W3CDTF">2020-11-05T12:09:00Z</dcterms:modified>
</cp:coreProperties>
</file>