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D5ACE" w14:textId="2745173C" w:rsidR="00021487" w:rsidRPr="002B1A12" w:rsidRDefault="00B24DF6">
      <w:pPr>
        <w:rPr>
          <w:sz w:val="24"/>
          <w:szCs w:val="24"/>
        </w:rPr>
      </w:pPr>
      <w:r w:rsidRPr="002B1A12">
        <w:rPr>
          <w:noProof/>
          <w:sz w:val="24"/>
          <w:szCs w:val="24"/>
        </w:rPr>
        <w:drawing>
          <wp:inline distT="0" distB="0" distL="0" distR="0" wp14:anchorId="415142B9" wp14:editId="66772B0C">
            <wp:extent cx="4916384" cy="2301874"/>
            <wp:effectExtent l="0" t="0" r="0" b="0"/>
            <wp:docPr id="154326975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31E52F2-3969-4FAD-A148-C4358A1CE6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69757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384" cy="230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0AB41" w14:textId="43281392" w:rsidR="00D200A2" w:rsidRPr="002B1A12" w:rsidRDefault="000602F8">
      <w:pPr>
        <w:rPr>
          <w:sz w:val="24"/>
          <w:szCs w:val="24"/>
        </w:rPr>
      </w:pPr>
      <w:r w:rsidRPr="002B1A12">
        <w:rPr>
          <w:b/>
          <w:bCs/>
          <w:sz w:val="24"/>
          <w:szCs w:val="24"/>
        </w:rPr>
        <w:t xml:space="preserve">Figure </w:t>
      </w:r>
      <w:r w:rsidR="007E3DB6" w:rsidRPr="002B1A12">
        <w:rPr>
          <w:b/>
          <w:bCs/>
          <w:sz w:val="24"/>
          <w:szCs w:val="24"/>
        </w:rPr>
        <w:t>S</w:t>
      </w:r>
      <w:r w:rsidRPr="002B1A12">
        <w:rPr>
          <w:b/>
          <w:bCs/>
          <w:sz w:val="24"/>
          <w:szCs w:val="24"/>
        </w:rPr>
        <w:t xml:space="preserve">1. </w:t>
      </w:r>
      <w:r w:rsidR="00002DE9" w:rsidRPr="002B1A12">
        <w:rPr>
          <w:b/>
          <w:bCs/>
          <w:sz w:val="24"/>
          <w:szCs w:val="24"/>
        </w:rPr>
        <w:t xml:space="preserve">Additional </w:t>
      </w:r>
      <w:r w:rsidR="00002DE9" w:rsidRPr="002B1A12">
        <w:rPr>
          <w:rFonts w:cstheme="minorHAnsi"/>
          <w:b/>
          <w:bCs/>
          <w:sz w:val="24"/>
          <w:szCs w:val="24"/>
        </w:rPr>
        <w:t>α</w:t>
      </w:r>
      <w:r w:rsidR="00002DE9" w:rsidRPr="002B1A12">
        <w:rPr>
          <w:b/>
          <w:bCs/>
          <w:sz w:val="24"/>
          <w:szCs w:val="24"/>
        </w:rPr>
        <w:t>-diversity metrics</w:t>
      </w:r>
      <w:r w:rsidRPr="002B1A12">
        <w:rPr>
          <w:b/>
          <w:bCs/>
          <w:sz w:val="24"/>
          <w:szCs w:val="24"/>
        </w:rPr>
        <w:t xml:space="preserve">. </w:t>
      </w:r>
      <w:r w:rsidRPr="002B1A12">
        <w:rPr>
          <w:sz w:val="24"/>
          <w:szCs w:val="24"/>
        </w:rPr>
        <w:t xml:space="preserve"> </w:t>
      </w:r>
      <w:r w:rsidRPr="002B1A12">
        <w:rPr>
          <w:b/>
          <w:bCs/>
          <w:sz w:val="24"/>
          <w:szCs w:val="24"/>
        </w:rPr>
        <w:t xml:space="preserve">A. </w:t>
      </w:r>
      <w:r w:rsidR="00002DE9" w:rsidRPr="002B1A12">
        <w:rPr>
          <w:sz w:val="24"/>
          <w:szCs w:val="24"/>
        </w:rPr>
        <w:t xml:space="preserve">Faith’s Phylogenetic diversity. </w:t>
      </w:r>
      <w:r w:rsidR="00002DE9" w:rsidRPr="002B1A12">
        <w:rPr>
          <w:b/>
          <w:bCs/>
          <w:sz w:val="24"/>
          <w:szCs w:val="24"/>
        </w:rPr>
        <w:t xml:space="preserve">B. </w:t>
      </w:r>
      <w:r w:rsidR="00002DE9" w:rsidRPr="002B1A12">
        <w:rPr>
          <w:sz w:val="24"/>
          <w:szCs w:val="24"/>
        </w:rPr>
        <w:t>Observed features</w:t>
      </w:r>
      <w:r w:rsidR="00BB3AD8" w:rsidRPr="002B1A12">
        <w:rPr>
          <w:sz w:val="24"/>
          <w:szCs w:val="24"/>
        </w:rPr>
        <w:t>.</w:t>
      </w:r>
      <w:r w:rsidR="00EF7064" w:rsidRPr="002B1A12">
        <w:rPr>
          <w:sz w:val="24"/>
          <w:szCs w:val="24"/>
        </w:rPr>
        <w:t xml:space="preserve"> </w:t>
      </w:r>
      <w:r w:rsidR="00EF7064" w:rsidRPr="002B1A12">
        <w:rPr>
          <w:rFonts w:asciiTheme="majorHAnsi" w:hAnsiTheme="majorHAnsi" w:cstheme="majorHAnsi"/>
          <w:sz w:val="24"/>
          <w:szCs w:val="24"/>
        </w:rPr>
        <w:t xml:space="preserve">Data is comparing HC and </w:t>
      </w:r>
      <w:r w:rsidR="0051314F">
        <w:rPr>
          <w:rFonts w:asciiTheme="majorHAnsi" w:hAnsiTheme="majorHAnsi" w:cstheme="majorHAnsi"/>
          <w:sz w:val="24"/>
          <w:szCs w:val="24"/>
        </w:rPr>
        <w:t>ED</w:t>
      </w:r>
      <w:r w:rsidR="00EF7064" w:rsidRPr="002B1A12">
        <w:rPr>
          <w:rFonts w:asciiTheme="majorHAnsi" w:hAnsiTheme="majorHAnsi" w:cstheme="majorHAnsi"/>
          <w:sz w:val="24"/>
          <w:szCs w:val="24"/>
        </w:rPr>
        <w:t>, and HC and the three %TGW subgroups</w:t>
      </w:r>
      <w:r w:rsidR="004919F0" w:rsidRPr="002B1A12">
        <w:rPr>
          <w:rFonts w:asciiTheme="majorHAnsi" w:hAnsiTheme="majorHAnsi" w:cstheme="majorHAnsi"/>
          <w:sz w:val="24"/>
          <w:szCs w:val="24"/>
        </w:rPr>
        <w:t xml:space="preserve">. The α-diversity was analyzed by Mann-Whitney U tests for HC vs </w:t>
      </w:r>
      <w:r w:rsidR="0051314F">
        <w:rPr>
          <w:rFonts w:asciiTheme="majorHAnsi" w:hAnsiTheme="majorHAnsi" w:cstheme="majorHAnsi"/>
          <w:sz w:val="24"/>
          <w:szCs w:val="24"/>
        </w:rPr>
        <w:t>ED</w:t>
      </w:r>
      <w:r w:rsidR="004919F0" w:rsidRPr="002B1A12">
        <w:rPr>
          <w:rFonts w:asciiTheme="majorHAnsi" w:hAnsiTheme="majorHAnsi" w:cstheme="majorHAnsi"/>
          <w:sz w:val="24"/>
          <w:szCs w:val="24"/>
        </w:rPr>
        <w:t xml:space="preserve"> comparisons and Kruskal-Wallis for subgroup comparisons. The p-value for the HC-</w:t>
      </w:r>
      <w:r w:rsidR="0051314F">
        <w:rPr>
          <w:rFonts w:asciiTheme="majorHAnsi" w:hAnsiTheme="majorHAnsi" w:cstheme="majorHAnsi"/>
          <w:sz w:val="24"/>
          <w:szCs w:val="24"/>
        </w:rPr>
        <w:t>ED</w:t>
      </w:r>
      <w:r w:rsidR="004919F0" w:rsidRPr="002B1A12">
        <w:rPr>
          <w:rFonts w:asciiTheme="majorHAnsi" w:hAnsiTheme="majorHAnsi" w:cstheme="majorHAnsi"/>
          <w:sz w:val="24"/>
          <w:szCs w:val="24"/>
        </w:rPr>
        <w:t xml:space="preserve"> analysis are depicted in the graph.</w:t>
      </w:r>
      <w:r w:rsidR="00B24DF6" w:rsidRPr="002B1A12">
        <w:rPr>
          <w:rFonts w:asciiTheme="majorHAnsi" w:hAnsiTheme="majorHAnsi" w:cstheme="majorHAnsi"/>
          <w:sz w:val="24"/>
          <w:szCs w:val="24"/>
        </w:rPr>
        <w:t xml:space="preserve"> There were no significant differences between HC and the three %TGW</w:t>
      </w:r>
      <w:r w:rsidR="004B2879" w:rsidRPr="002B1A12">
        <w:rPr>
          <w:rFonts w:asciiTheme="majorHAnsi" w:hAnsiTheme="majorHAnsi" w:cstheme="majorHAnsi"/>
          <w:sz w:val="24"/>
          <w:szCs w:val="24"/>
        </w:rPr>
        <w:t xml:space="preserve"> subgroups.</w:t>
      </w:r>
    </w:p>
    <w:p w14:paraId="78FC85D7" w14:textId="77777777" w:rsidR="00D200A2" w:rsidRPr="002B1A12" w:rsidRDefault="00D200A2">
      <w:pPr>
        <w:rPr>
          <w:sz w:val="24"/>
          <w:szCs w:val="24"/>
        </w:rPr>
      </w:pPr>
    </w:p>
    <w:p w14:paraId="03F06FF3" w14:textId="3016E283" w:rsidR="00002DE9" w:rsidRPr="002B1A12" w:rsidRDefault="00BB3AD8">
      <w:pPr>
        <w:rPr>
          <w:sz w:val="24"/>
          <w:szCs w:val="24"/>
        </w:rPr>
      </w:pPr>
      <w:r w:rsidRPr="002B1A12">
        <w:rPr>
          <w:sz w:val="24"/>
          <w:szCs w:val="24"/>
        </w:rPr>
        <w:t xml:space="preserve"> </w:t>
      </w:r>
    </w:p>
    <w:p w14:paraId="0905B5C0" w14:textId="603B0EF6" w:rsidR="00002DE9" w:rsidRPr="002B1A12" w:rsidRDefault="00F30817">
      <w:pPr>
        <w:rPr>
          <w:sz w:val="24"/>
          <w:szCs w:val="24"/>
        </w:rPr>
      </w:pPr>
      <w:r w:rsidRPr="002B1A12">
        <w:rPr>
          <w:noProof/>
          <w:sz w:val="24"/>
          <w:szCs w:val="24"/>
        </w:rPr>
        <w:lastRenderedPageBreak/>
        <w:drawing>
          <wp:inline distT="0" distB="0" distL="0" distR="0" wp14:anchorId="0D2C75E1" wp14:editId="7698FEE2">
            <wp:extent cx="5943071" cy="4551716"/>
            <wp:effectExtent l="0" t="0" r="0" b="0"/>
            <wp:docPr id="59018581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1710B5DE-A30B-4D5F-84C8-FCF4DDD2ED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8581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071" cy="455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F8946" w14:textId="6029DD6A" w:rsidR="00AD741C" w:rsidRPr="002B1A12" w:rsidRDefault="008E6695" w:rsidP="00AD741C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B1A12">
        <w:rPr>
          <w:b/>
          <w:bCs/>
          <w:sz w:val="24"/>
          <w:szCs w:val="24"/>
        </w:rPr>
        <w:t xml:space="preserve">Figure S2. Additional </w:t>
      </w:r>
      <w:r w:rsidRPr="002B1A12">
        <w:rPr>
          <w:rFonts w:cstheme="minorHAnsi"/>
          <w:b/>
          <w:bCs/>
          <w:sz w:val="24"/>
          <w:szCs w:val="24"/>
        </w:rPr>
        <w:t>β</w:t>
      </w:r>
      <w:r w:rsidRPr="002B1A12">
        <w:rPr>
          <w:b/>
          <w:bCs/>
          <w:sz w:val="24"/>
          <w:szCs w:val="24"/>
        </w:rPr>
        <w:t xml:space="preserve">-diversity metrics. </w:t>
      </w:r>
      <w:r w:rsidR="00555999" w:rsidRPr="002B1A12">
        <w:rPr>
          <w:b/>
          <w:bCs/>
          <w:sz w:val="24"/>
          <w:szCs w:val="24"/>
        </w:rPr>
        <w:t>A</w:t>
      </w:r>
      <w:r w:rsidR="00366BF2" w:rsidRPr="002B1A12">
        <w:rPr>
          <w:b/>
          <w:bCs/>
          <w:sz w:val="24"/>
          <w:szCs w:val="24"/>
        </w:rPr>
        <w:t xml:space="preserve">. </w:t>
      </w:r>
      <w:r w:rsidR="00366BF2" w:rsidRPr="002B1A12">
        <w:rPr>
          <w:sz w:val="24"/>
          <w:szCs w:val="24"/>
        </w:rPr>
        <w:t xml:space="preserve">Weighted Unifrac Distances, demonstrating </w:t>
      </w:r>
      <w:r w:rsidR="00750D97" w:rsidRPr="002B1A12">
        <w:rPr>
          <w:sz w:val="24"/>
          <w:szCs w:val="24"/>
        </w:rPr>
        <w:t xml:space="preserve">no differences in composition (left) or dispersion (right) between HC and </w:t>
      </w:r>
      <w:r w:rsidR="0051314F">
        <w:rPr>
          <w:sz w:val="24"/>
          <w:szCs w:val="24"/>
        </w:rPr>
        <w:t>ED</w:t>
      </w:r>
      <w:r w:rsidR="00750D97" w:rsidRPr="002B1A12">
        <w:rPr>
          <w:sz w:val="24"/>
          <w:szCs w:val="24"/>
        </w:rPr>
        <w:t xml:space="preserve"> (A), and HC and TGW subgroups (B)</w:t>
      </w:r>
      <w:r w:rsidR="00366BF2" w:rsidRPr="002B1A12">
        <w:rPr>
          <w:b/>
          <w:bCs/>
          <w:sz w:val="24"/>
          <w:szCs w:val="24"/>
        </w:rPr>
        <w:t xml:space="preserve"> </w:t>
      </w:r>
      <w:r w:rsidR="007E7708">
        <w:rPr>
          <w:b/>
          <w:bCs/>
          <w:sz w:val="24"/>
          <w:szCs w:val="24"/>
        </w:rPr>
        <w:t>B</w:t>
      </w:r>
      <w:r w:rsidR="00BB3AD8" w:rsidRPr="002B1A12">
        <w:rPr>
          <w:b/>
          <w:bCs/>
          <w:sz w:val="24"/>
          <w:szCs w:val="24"/>
        </w:rPr>
        <w:t>.</w:t>
      </w:r>
      <w:r w:rsidR="00BB3AD8" w:rsidRPr="002B1A12">
        <w:rPr>
          <w:sz w:val="24"/>
          <w:szCs w:val="24"/>
        </w:rPr>
        <w:t xml:space="preserve"> </w:t>
      </w:r>
      <w:r w:rsidR="00750D97" w:rsidRPr="002B1A12">
        <w:rPr>
          <w:sz w:val="24"/>
          <w:szCs w:val="24"/>
        </w:rPr>
        <w:t xml:space="preserve">Unweighted Unifrac Distances, demonstrating no differences in composition (left) or dispersion (right) between HC and </w:t>
      </w:r>
      <w:r w:rsidR="0051314F">
        <w:rPr>
          <w:sz w:val="24"/>
          <w:szCs w:val="24"/>
        </w:rPr>
        <w:t>ED</w:t>
      </w:r>
      <w:r w:rsidR="00750D97" w:rsidRPr="002B1A12">
        <w:rPr>
          <w:sz w:val="24"/>
          <w:szCs w:val="24"/>
        </w:rPr>
        <w:t xml:space="preserve"> (C), and HC and TGW subgroups (D)</w:t>
      </w:r>
      <w:r w:rsidR="00BC439C" w:rsidRPr="002B1A12">
        <w:rPr>
          <w:rFonts w:asciiTheme="majorHAnsi" w:hAnsiTheme="majorHAnsi" w:cstheme="majorHAnsi"/>
          <w:sz w:val="24"/>
          <w:szCs w:val="24"/>
        </w:rPr>
        <w:t>.</w:t>
      </w:r>
      <w:r w:rsidR="006E5D2E" w:rsidRPr="002B1A12">
        <w:rPr>
          <w:rFonts w:asciiTheme="majorHAnsi" w:hAnsiTheme="majorHAnsi" w:cstheme="majorHAnsi"/>
          <w:sz w:val="24"/>
          <w:szCs w:val="24"/>
        </w:rPr>
        <w:t xml:space="preserve"> </w:t>
      </w:r>
      <w:r w:rsidR="008F620C" w:rsidRPr="002B1A12">
        <w:rPr>
          <w:rFonts w:asciiTheme="majorHAnsi" w:hAnsiTheme="majorHAnsi" w:cstheme="majorHAnsi"/>
          <w:b/>
          <w:bCs/>
          <w:sz w:val="24"/>
          <w:szCs w:val="24"/>
        </w:rPr>
        <w:t>E.</w:t>
      </w:r>
      <w:r w:rsidR="008F620C" w:rsidRPr="002B1A12">
        <w:rPr>
          <w:rFonts w:asciiTheme="majorHAnsi" w:hAnsiTheme="majorHAnsi" w:cstheme="majorHAnsi"/>
          <w:sz w:val="24"/>
          <w:szCs w:val="24"/>
        </w:rPr>
        <w:t xml:space="preserve"> Bray-Curtis Dissimilarity Index</w:t>
      </w:r>
      <w:r w:rsidR="00F30817" w:rsidRPr="002B1A12">
        <w:rPr>
          <w:rFonts w:asciiTheme="majorHAnsi" w:hAnsiTheme="majorHAnsi" w:cstheme="majorHAnsi"/>
          <w:sz w:val="24"/>
          <w:szCs w:val="24"/>
        </w:rPr>
        <w:t xml:space="preserve"> demonstrating </w:t>
      </w:r>
      <w:r w:rsidR="00FF1A4F" w:rsidRPr="002B1A12">
        <w:rPr>
          <w:rFonts w:asciiTheme="majorHAnsi" w:hAnsiTheme="majorHAnsi" w:cstheme="majorHAnsi"/>
          <w:sz w:val="24"/>
          <w:szCs w:val="24"/>
        </w:rPr>
        <w:t xml:space="preserve">an overall </w:t>
      </w:r>
      <w:r w:rsidR="00F30817" w:rsidRPr="002B1A12">
        <w:rPr>
          <w:rFonts w:asciiTheme="majorHAnsi" w:hAnsiTheme="majorHAnsi" w:cstheme="majorHAnsi"/>
          <w:sz w:val="24"/>
          <w:szCs w:val="24"/>
        </w:rPr>
        <w:t>difference in composition</w:t>
      </w:r>
      <w:r w:rsidR="00FF1A4F" w:rsidRPr="002B1A12">
        <w:rPr>
          <w:rFonts w:asciiTheme="majorHAnsi" w:hAnsiTheme="majorHAnsi" w:cstheme="majorHAnsi"/>
          <w:sz w:val="24"/>
          <w:szCs w:val="24"/>
        </w:rPr>
        <w:t xml:space="preserve">, alongside significant differences between </w:t>
      </w:r>
      <w:r w:rsidR="00EC006E">
        <w:rPr>
          <w:rFonts w:asciiTheme="majorHAnsi" w:hAnsiTheme="majorHAnsi" w:cstheme="majorHAnsi"/>
          <w:sz w:val="24"/>
          <w:szCs w:val="24"/>
        </w:rPr>
        <w:t>each subgroup</w:t>
      </w:r>
      <w:r w:rsidR="00B21C6D" w:rsidRPr="002B1A12">
        <w:rPr>
          <w:rFonts w:asciiTheme="majorHAnsi" w:hAnsiTheme="majorHAnsi" w:cstheme="majorHAnsi"/>
          <w:sz w:val="24"/>
          <w:szCs w:val="24"/>
        </w:rPr>
        <w:t xml:space="preserve"> compared to </w:t>
      </w:r>
      <w:r w:rsidR="00032BF2" w:rsidRPr="002B1A12">
        <w:rPr>
          <w:rFonts w:asciiTheme="majorHAnsi" w:hAnsiTheme="majorHAnsi" w:cstheme="majorHAnsi"/>
          <w:sz w:val="24"/>
          <w:szCs w:val="24"/>
        </w:rPr>
        <w:t xml:space="preserve">HC. We also noted </w:t>
      </w:r>
      <w:r w:rsidR="00F30817" w:rsidRPr="002B1A12">
        <w:rPr>
          <w:rFonts w:asciiTheme="majorHAnsi" w:hAnsiTheme="majorHAnsi" w:cstheme="majorHAnsi"/>
          <w:sz w:val="24"/>
          <w:szCs w:val="24"/>
        </w:rPr>
        <w:t>a significant</w:t>
      </w:r>
      <w:r w:rsidR="00EC006E">
        <w:rPr>
          <w:rFonts w:asciiTheme="majorHAnsi" w:hAnsiTheme="majorHAnsi" w:cstheme="majorHAnsi"/>
          <w:sz w:val="24"/>
          <w:szCs w:val="24"/>
        </w:rPr>
        <w:t>ly</w:t>
      </w:r>
      <w:r w:rsidR="002B1A12" w:rsidRPr="002B1A12">
        <w:rPr>
          <w:rFonts w:asciiTheme="majorHAnsi" w:hAnsiTheme="majorHAnsi" w:cstheme="majorHAnsi"/>
          <w:sz w:val="24"/>
          <w:szCs w:val="24"/>
        </w:rPr>
        <w:t xml:space="preserve"> greater variability in the</w:t>
      </w:r>
      <w:r w:rsidR="00CB2448">
        <w:rPr>
          <w:rFonts w:asciiTheme="majorHAnsi" w:hAnsiTheme="majorHAnsi" w:cstheme="majorHAnsi"/>
          <w:sz w:val="24"/>
          <w:szCs w:val="24"/>
        </w:rPr>
        <w:t xml:space="preserve"> &lt;80% and the</w:t>
      </w:r>
      <w:r w:rsidR="00F53602" w:rsidRPr="002B1A12">
        <w:rPr>
          <w:rFonts w:asciiTheme="majorHAnsi" w:hAnsiTheme="majorHAnsi" w:cstheme="majorHAnsi"/>
          <w:sz w:val="24"/>
          <w:szCs w:val="24"/>
        </w:rPr>
        <w:t xml:space="preserve"> </w:t>
      </w:r>
      <w:r w:rsidR="002B1A12" w:rsidRPr="002B1A12">
        <w:rPr>
          <w:rFonts w:asciiTheme="majorHAnsi" w:hAnsiTheme="majorHAnsi" w:cstheme="majorHAnsi"/>
          <w:sz w:val="24"/>
          <w:szCs w:val="24"/>
        </w:rPr>
        <w:t>&gt;9</w:t>
      </w:r>
      <w:r w:rsidR="00F53602" w:rsidRPr="002B1A12">
        <w:rPr>
          <w:rFonts w:asciiTheme="majorHAnsi" w:hAnsiTheme="majorHAnsi" w:cstheme="majorHAnsi"/>
          <w:sz w:val="24"/>
          <w:szCs w:val="24"/>
        </w:rPr>
        <w:t>0% subgroup</w:t>
      </w:r>
      <w:r w:rsidR="00EC006E">
        <w:rPr>
          <w:rFonts w:asciiTheme="majorHAnsi" w:hAnsiTheme="majorHAnsi" w:cstheme="majorHAnsi"/>
          <w:sz w:val="24"/>
          <w:szCs w:val="24"/>
        </w:rPr>
        <w:t>, but not the 80-90%</w:t>
      </w:r>
      <w:r w:rsidR="00F53602" w:rsidRPr="002B1A12">
        <w:rPr>
          <w:rFonts w:asciiTheme="majorHAnsi" w:hAnsiTheme="majorHAnsi" w:cstheme="majorHAnsi"/>
          <w:sz w:val="24"/>
          <w:szCs w:val="24"/>
        </w:rPr>
        <w:t xml:space="preserve"> </w:t>
      </w:r>
      <w:r w:rsidR="00EC006E">
        <w:rPr>
          <w:rFonts w:asciiTheme="majorHAnsi" w:hAnsiTheme="majorHAnsi" w:cstheme="majorHAnsi"/>
          <w:sz w:val="24"/>
          <w:szCs w:val="24"/>
        </w:rPr>
        <w:t xml:space="preserve">subgroup </w:t>
      </w:r>
      <w:r w:rsidR="00F53602" w:rsidRPr="002B1A12">
        <w:rPr>
          <w:rFonts w:asciiTheme="majorHAnsi" w:hAnsiTheme="majorHAnsi" w:cstheme="majorHAnsi"/>
          <w:sz w:val="24"/>
          <w:szCs w:val="24"/>
        </w:rPr>
        <w:t xml:space="preserve">compared to controls. </w:t>
      </w:r>
      <w:r w:rsidR="00F30817" w:rsidRPr="002B1A12">
        <w:rPr>
          <w:rFonts w:asciiTheme="majorHAnsi" w:hAnsiTheme="majorHAnsi" w:cstheme="majorHAnsi"/>
          <w:sz w:val="24"/>
          <w:szCs w:val="24"/>
        </w:rPr>
        <w:t xml:space="preserve"> </w:t>
      </w:r>
      <w:r w:rsidR="00AD741C" w:rsidRPr="002B1A12">
        <w:rPr>
          <w:rFonts w:asciiTheme="majorHAnsi" w:hAnsiTheme="majorHAnsi" w:cstheme="majorHAnsi"/>
          <w:sz w:val="24"/>
          <w:szCs w:val="24"/>
        </w:rPr>
        <w:t>Stars represent the degree of significance (*: p&lt;0.05). No stars represent p&gt;0.05.</w:t>
      </w:r>
      <w:r w:rsidR="009A0831">
        <w:rPr>
          <w:rFonts w:asciiTheme="majorHAnsi" w:hAnsiTheme="majorHAnsi" w:cstheme="majorHAnsi"/>
          <w:sz w:val="24"/>
          <w:szCs w:val="24"/>
        </w:rPr>
        <w:t xml:space="preserve"> </w:t>
      </w:r>
      <w:r w:rsidR="009A0831" w:rsidRPr="002B1A12">
        <w:rPr>
          <w:rFonts w:asciiTheme="majorHAnsi" w:hAnsiTheme="majorHAnsi" w:cstheme="majorHAnsi"/>
          <w:sz w:val="24"/>
          <w:szCs w:val="24"/>
        </w:rPr>
        <w:t xml:space="preserve">The β-diversity was analysed by PERMANOVA, and the dispersion was assessed by </w:t>
      </w:r>
      <w:proofErr w:type="spellStart"/>
      <w:r w:rsidR="009A0831" w:rsidRPr="002B1A12">
        <w:rPr>
          <w:rFonts w:asciiTheme="majorHAnsi" w:hAnsiTheme="majorHAnsi" w:cstheme="majorHAnsi"/>
          <w:sz w:val="24"/>
          <w:szCs w:val="24"/>
        </w:rPr>
        <w:t>permdisp</w:t>
      </w:r>
      <w:proofErr w:type="spellEnd"/>
      <w:r w:rsidR="00EC006E">
        <w:rPr>
          <w:rFonts w:asciiTheme="majorHAnsi" w:hAnsiTheme="majorHAnsi" w:cstheme="majorHAnsi"/>
          <w:sz w:val="24"/>
          <w:szCs w:val="24"/>
        </w:rPr>
        <w:t xml:space="preserve">. Pairwise p-values were adjusted </w:t>
      </w:r>
      <w:r w:rsidR="0056230A">
        <w:rPr>
          <w:rFonts w:asciiTheme="majorHAnsi" w:hAnsiTheme="majorHAnsi" w:cstheme="majorHAnsi"/>
          <w:sz w:val="24"/>
          <w:szCs w:val="24"/>
        </w:rPr>
        <w:t>by BH-FDR.</w:t>
      </w:r>
    </w:p>
    <w:p w14:paraId="5A77E918" w14:textId="7A91E15F" w:rsidR="000602F8" w:rsidRPr="002B1A12" w:rsidRDefault="000602F8">
      <w:pPr>
        <w:rPr>
          <w:sz w:val="24"/>
          <w:szCs w:val="24"/>
        </w:rPr>
      </w:pPr>
    </w:p>
    <w:p w14:paraId="684C7A98" w14:textId="77777777" w:rsidR="006E5D2E" w:rsidRPr="002B1A12" w:rsidRDefault="006E5D2E">
      <w:pPr>
        <w:rPr>
          <w:rFonts w:asciiTheme="majorHAnsi" w:hAnsiTheme="majorHAnsi" w:cstheme="majorHAnsi"/>
          <w:sz w:val="24"/>
          <w:szCs w:val="24"/>
        </w:rPr>
      </w:pPr>
    </w:p>
    <w:p w14:paraId="21F8AD21" w14:textId="77777777" w:rsidR="006E5D2E" w:rsidRPr="002B1A12" w:rsidRDefault="006E5D2E">
      <w:pPr>
        <w:rPr>
          <w:rFonts w:asciiTheme="majorHAnsi" w:hAnsiTheme="majorHAnsi" w:cstheme="majorHAnsi"/>
          <w:sz w:val="24"/>
          <w:szCs w:val="24"/>
        </w:rPr>
      </w:pPr>
    </w:p>
    <w:p w14:paraId="6AEC5420" w14:textId="36BC4C75" w:rsidR="006E5D2E" w:rsidRPr="002B1A12" w:rsidRDefault="00934167">
      <w:pPr>
        <w:rPr>
          <w:sz w:val="24"/>
          <w:szCs w:val="24"/>
        </w:rPr>
      </w:pPr>
      <w:r w:rsidRPr="002B1A12">
        <w:rPr>
          <w:noProof/>
          <w:sz w:val="24"/>
          <w:szCs w:val="24"/>
        </w:rPr>
        <w:lastRenderedPageBreak/>
        <w:drawing>
          <wp:inline distT="0" distB="0" distL="0" distR="0" wp14:anchorId="02441F01" wp14:editId="62411A40">
            <wp:extent cx="5689880" cy="1605847"/>
            <wp:effectExtent l="0" t="0" r="0" b="0"/>
            <wp:docPr id="2081316603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5AFF6899-886E-4911-A0E7-9328E25E3A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16603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880" cy="160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2D594" w14:textId="2A8D71A2" w:rsidR="000075B9" w:rsidRPr="002B1A12" w:rsidRDefault="002E5B32" w:rsidP="000075B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</w:rPr>
      </w:pPr>
      <w:r w:rsidRPr="002B1A12">
        <w:rPr>
          <w:b/>
          <w:bCs/>
        </w:rPr>
        <w:t xml:space="preserve">Figure </w:t>
      </w:r>
      <w:r w:rsidR="00AB1EDF" w:rsidRPr="002B1A12">
        <w:rPr>
          <w:b/>
          <w:bCs/>
        </w:rPr>
        <w:t>S</w:t>
      </w:r>
      <w:r w:rsidR="00934167" w:rsidRPr="002B1A12">
        <w:rPr>
          <w:b/>
          <w:bCs/>
        </w:rPr>
        <w:t>3</w:t>
      </w:r>
      <w:r w:rsidRPr="002B1A12">
        <w:rPr>
          <w:b/>
          <w:bCs/>
        </w:rPr>
        <w:t xml:space="preserve">. </w:t>
      </w:r>
      <w:r w:rsidR="000075B9" w:rsidRPr="002B1A12">
        <w:rPr>
          <w:rStyle w:val="normaltextrun"/>
          <w:rFonts w:asciiTheme="majorHAnsi" w:hAnsiTheme="majorHAnsi" w:cstheme="majorHAnsi"/>
          <w:b/>
          <w:bCs/>
        </w:rPr>
        <w:t>Fecal SCFAs</w:t>
      </w:r>
      <w:r w:rsidR="00F52CDC" w:rsidRPr="002B1A12">
        <w:rPr>
          <w:rStyle w:val="normaltextrun"/>
          <w:rFonts w:asciiTheme="majorHAnsi" w:hAnsiTheme="majorHAnsi" w:cstheme="majorHAnsi"/>
          <w:b/>
          <w:bCs/>
        </w:rPr>
        <w:t xml:space="preserve"> and BCFA</w:t>
      </w:r>
      <w:r w:rsidR="000075B9" w:rsidRPr="002B1A12">
        <w:rPr>
          <w:rStyle w:val="normaltextrun"/>
          <w:rFonts w:asciiTheme="majorHAnsi" w:hAnsiTheme="majorHAnsi" w:cstheme="majorHAnsi"/>
          <w:b/>
          <w:bCs/>
        </w:rPr>
        <w:t xml:space="preserve"> concentrations. A-C</w:t>
      </w:r>
      <w:r w:rsidR="000075B9" w:rsidRPr="002B1A12">
        <w:rPr>
          <w:rStyle w:val="normaltextrun"/>
          <w:rFonts w:asciiTheme="majorHAnsi" w:hAnsiTheme="majorHAnsi" w:cstheme="majorHAnsi"/>
        </w:rPr>
        <w:t>. SCFA</w:t>
      </w:r>
      <w:r w:rsidR="00F52CDC" w:rsidRPr="002B1A12">
        <w:rPr>
          <w:rStyle w:val="normaltextrun"/>
          <w:rFonts w:asciiTheme="majorHAnsi" w:hAnsiTheme="majorHAnsi" w:cstheme="majorHAnsi"/>
        </w:rPr>
        <w:t xml:space="preserve"> and BCFA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 concentrations (A: </w:t>
      </w:r>
      <w:r w:rsidR="00F52CDC" w:rsidRPr="002B1A12">
        <w:rPr>
          <w:rStyle w:val="normaltextrun"/>
          <w:rFonts w:asciiTheme="majorHAnsi" w:hAnsiTheme="majorHAnsi" w:cstheme="majorHAnsi"/>
        </w:rPr>
        <w:t>Valerate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, B: </w:t>
      </w:r>
      <w:r w:rsidR="00F52CDC" w:rsidRPr="002B1A12">
        <w:rPr>
          <w:rStyle w:val="normaltextrun"/>
          <w:rFonts w:asciiTheme="majorHAnsi" w:hAnsiTheme="majorHAnsi" w:cstheme="majorHAnsi"/>
        </w:rPr>
        <w:t>Isobutyrate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, C: </w:t>
      </w:r>
      <w:r w:rsidR="00F52CDC" w:rsidRPr="002B1A12">
        <w:rPr>
          <w:rStyle w:val="normaltextrun"/>
          <w:rFonts w:asciiTheme="majorHAnsi" w:hAnsiTheme="majorHAnsi" w:cstheme="majorHAnsi"/>
        </w:rPr>
        <w:t>Isovalerate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) between HC and </w:t>
      </w:r>
      <w:r w:rsidR="0051314F">
        <w:rPr>
          <w:rStyle w:val="normaltextrun"/>
          <w:rFonts w:asciiTheme="majorHAnsi" w:hAnsiTheme="majorHAnsi" w:cstheme="majorHAnsi"/>
        </w:rPr>
        <w:t>ED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, and the three %TGW subgroups. HC vs </w:t>
      </w:r>
      <w:r w:rsidR="0051314F">
        <w:rPr>
          <w:rStyle w:val="normaltextrun"/>
          <w:rFonts w:asciiTheme="majorHAnsi" w:hAnsiTheme="majorHAnsi" w:cstheme="majorHAnsi"/>
        </w:rPr>
        <w:t>ED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 analyses</w:t>
      </w:r>
      <w:r w:rsidR="0056230A">
        <w:rPr>
          <w:rStyle w:val="normaltextrun"/>
          <w:rFonts w:asciiTheme="majorHAnsi" w:hAnsiTheme="majorHAnsi" w:cstheme="majorHAnsi"/>
        </w:rPr>
        <w:t xml:space="preserve"> were performed using Mann-Whitney U tests. Analysis of 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HC vs each subgroup independently </w:t>
      </w:r>
      <w:r w:rsidR="0056230A">
        <w:rPr>
          <w:rStyle w:val="normaltextrun"/>
          <w:rFonts w:asciiTheme="majorHAnsi" w:hAnsiTheme="majorHAnsi" w:cstheme="majorHAnsi"/>
        </w:rPr>
        <w:t>was</w:t>
      </w:r>
      <w:r w:rsidR="000075B9" w:rsidRPr="002B1A12">
        <w:rPr>
          <w:rStyle w:val="normaltextrun"/>
          <w:rFonts w:asciiTheme="majorHAnsi" w:hAnsiTheme="majorHAnsi" w:cstheme="majorHAnsi"/>
        </w:rPr>
        <w:t xml:space="preserve"> performed using </w:t>
      </w:r>
      <w:r w:rsidR="00567EBD">
        <w:rPr>
          <w:rStyle w:val="normaltextrun"/>
          <w:rFonts w:asciiTheme="majorHAnsi" w:hAnsiTheme="majorHAnsi" w:cstheme="majorHAnsi"/>
        </w:rPr>
        <w:t>Kruskal-Wallis tests. Multiple comparisons were not completed as the omnibus test did not reach significance.</w:t>
      </w:r>
    </w:p>
    <w:sectPr w:rsidR="000075B9" w:rsidRPr="002B1A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2F8"/>
    <w:rsid w:val="00002DE9"/>
    <w:rsid w:val="000075B9"/>
    <w:rsid w:val="00021487"/>
    <w:rsid w:val="00031E0F"/>
    <w:rsid w:val="00032BF2"/>
    <w:rsid w:val="000372F8"/>
    <w:rsid w:val="000602F8"/>
    <w:rsid w:val="0007567C"/>
    <w:rsid w:val="00093065"/>
    <w:rsid w:val="00095392"/>
    <w:rsid w:val="000A1596"/>
    <w:rsid w:val="000B3C03"/>
    <w:rsid w:val="000C1BE6"/>
    <w:rsid w:val="001313EB"/>
    <w:rsid w:val="001C5195"/>
    <w:rsid w:val="001D4B4F"/>
    <w:rsid w:val="001D7AFA"/>
    <w:rsid w:val="001F4537"/>
    <w:rsid w:val="00212166"/>
    <w:rsid w:val="00250AF0"/>
    <w:rsid w:val="0026640E"/>
    <w:rsid w:val="002B1A12"/>
    <w:rsid w:val="002E5B32"/>
    <w:rsid w:val="00342515"/>
    <w:rsid w:val="00342CF7"/>
    <w:rsid w:val="003470DC"/>
    <w:rsid w:val="00350DEB"/>
    <w:rsid w:val="00366BF2"/>
    <w:rsid w:val="003B64E5"/>
    <w:rsid w:val="003D3006"/>
    <w:rsid w:val="003E2920"/>
    <w:rsid w:val="004344C9"/>
    <w:rsid w:val="00444EAA"/>
    <w:rsid w:val="004919F0"/>
    <w:rsid w:val="004B2879"/>
    <w:rsid w:val="004B2B0C"/>
    <w:rsid w:val="004C32D6"/>
    <w:rsid w:val="004C6441"/>
    <w:rsid w:val="004D133C"/>
    <w:rsid w:val="004D2891"/>
    <w:rsid w:val="0051314F"/>
    <w:rsid w:val="00540497"/>
    <w:rsid w:val="0054223B"/>
    <w:rsid w:val="005513C6"/>
    <w:rsid w:val="00555999"/>
    <w:rsid w:val="005570AE"/>
    <w:rsid w:val="00561B54"/>
    <w:rsid w:val="0056230A"/>
    <w:rsid w:val="00563D57"/>
    <w:rsid w:val="00567EBD"/>
    <w:rsid w:val="00570D02"/>
    <w:rsid w:val="00592509"/>
    <w:rsid w:val="005A17A5"/>
    <w:rsid w:val="005C222F"/>
    <w:rsid w:val="005D287F"/>
    <w:rsid w:val="005E4388"/>
    <w:rsid w:val="00636B3B"/>
    <w:rsid w:val="006460A1"/>
    <w:rsid w:val="00665834"/>
    <w:rsid w:val="00683F9A"/>
    <w:rsid w:val="006868B9"/>
    <w:rsid w:val="006B5574"/>
    <w:rsid w:val="006C0CCB"/>
    <w:rsid w:val="006C4209"/>
    <w:rsid w:val="006E5D2E"/>
    <w:rsid w:val="00703959"/>
    <w:rsid w:val="0071491C"/>
    <w:rsid w:val="007341E2"/>
    <w:rsid w:val="00750D97"/>
    <w:rsid w:val="00753DAC"/>
    <w:rsid w:val="0076087F"/>
    <w:rsid w:val="00773377"/>
    <w:rsid w:val="007768D8"/>
    <w:rsid w:val="007910C0"/>
    <w:rsid w:val="00793F50"/>
    <w:rsid w:val="007A7527"/>
    <w:rsid w:val="007D4D3C"/>
    <w:rsid w:val="007E3348"/>
    <w:rsid w:val="007E3DB6"/>
    <w:rsid w:val="007E7708"/>
    <w:rsid w:val="0084198F"/>
    <w:rsid w:val="00885E6B"/>
    <w:rsid w:val="008D323D"/>
    <w:rsid w:val="008D7DFC"/>
    <w:rsid w:val="008E6695"/>
    <w:rsid w:val="008F604E"/>
    <w:rsid w:val="008F620C"/>
    <w:rsid w:val="00914A26"/>
    <w:rsid w:val="00934167"/>
    <w:rsid w:val="009708D4"/>
    <w:rsid w:val="009729AB"/>
    <w:rsid w:val="009730EA"/>
    <w:rsid w:val="00992E77"/>
    <w:rsid w:val="009A0831"/>
    <w:rsid w:val="009C4B0A"/>
    <w:rsid w:val="009D5698"/>
    <w:rsid w:val="009E2B96"/>
    <w:rsid w:val="009E4AD8"/>
    <w:rsid w:val="00A034F4"/>
    <w:rsid w:val="00A0497B"/>
    <w:rsid w:val="00A13157"/>
    <w:rsid w:val="00A35F70"/>
    <w:rsid w:val="00A46BB6"/>
    <w:rsid w:val="00A61698"/>
    <w:rsid w:val="00A74F63"/>
    <w:rsid w:val="00A94095"/>
    <w:rsid w:val="00A95110"/>
    <w:rsid w:val="00AA5E18"/>
    <w:rsid w:val="00AB1EDF"/>
    <w:rsid w:val="00AB2291"/>
    <w:rsid w:val="00AB58AD"/>
    <w:rsid w:val="00AD6B7A"/>
    <w:rsid w:val="00AD741C"/>
    <w:rsid w:val="00B0507E"/>
    <w:rsid w:val="00B11AC0"/>
    <w:rsid w:val="00B21C6D"/>
    <w:rsid w:val="00B22A42"/>
    <w:rsid w:val="00B24DF6"/>
    <w:rsid w:val="00B97606"/>
    <w:rsid w:val="00B9784E"/>
    <w:rsid w:val="00BA14D0"/>
    <w:rsid w:val="00BB3AD8"/>
    <w:rsid w:val="00BC439C"/>
    <w:rsid w:val="00C14E2F"/>
    <w:rsid w:val="00C33A52"/>
    <w:rsid w:val="00C74192"/>
    <w:rsid w:val="00CA2CBA"/>
    <w:rsid w:val="00CA4869"/>
    <w:rsid w:val="00CB2448"/>
    <w:rsid w:val="00D17E79"/>
    <w:rsid w:val="00D200A2"/>
    <w:rsid w:val="00D33178"/>
    <w:rsid w:val="00D80B84"/>
    <w:rsid w:val="00D863C8"/>
    <w:rsid w:val="00DA76EF"/>
    <w:rsid w:val="00DC5891"/>
    <w:rsid w:val="00DD4046"/>
    <w:rsid w:val="00E0021C"/>
    <w:rsid w:val="00E34141"/>
    <w:rsid w:val="00E47EFE"/>
    <w:rsid w:val="00E548E9"/>
    <w:rsid w:val="00E816D5"/>
    <w:rsid w:val="00EC006E"/>
    <w:rsid w:val="00ED2842"/>
    <w:rsid w:val="00EF7064"/>
    <w:rsid w:val="00EF7ED7"/>
    <w:rsid w:val="00F03ABC"/>
    <w:rsid w:val="00F07203"/>
    <w:rsid w:val="00F30817"/>
    <w:rsid w:val="00F50D52"/>
    <w:rsid w:val="00F52CDC"/>
    <w:rsid w:val="00F53602"/>
    <w:rsid w:val="00F57695"/>
    <w:rsid w:val="00F6317F"/>
    <w:rsid w:val="00F81AEC"/>
    <w:rsid w:val="00FA178A"/>
    <w:rsid w:val="00FB287E"/>
    <w:rsid w:val="00FB5B92"/>
    <w:rsid w:val="00FD729D"/>
    <w:rsid w:val="00FF05AF"/>
    <w:rsid w:val="00FF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C751A"/>
  <w15:chartTrackingRefBased/>
  <w15:docId w15:val="{9CAD388D-642D-4106-9029-633077AC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D0"/>
  </w:style>
  <w:style w:type="paragraph" w:styleId="Heading1">
    <w:name w:val="heading 1"/>
    <w:basedOn w:val="Normal"/>
    <w:next w:val="Normal"/>
    <w:link w:val="Heading1Char"/>
    <w:uiPriority w:val="9"/>
    <w:qFormat/>
    <w:rsid w:val="00060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2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2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2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42515"/>
  </w:style>
  <w:style w:type="character" w:styleId="CommentReference">
    <w:name w:val="annotation reference"/>
    <w:basedOn w:val="DefaultParagraphFont"/>
    <w:uiPriority w:val="99"/>
    <w:semiHidden/>
    <w:unhideWhenUsed/>
    <w:rsid w:val="007D4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D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D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D3C"/>
    <w:rPr>
      <w:b/>
      <w:bCs/>
      <w:sz w:val="20"/>
      <w:szCs w:val="20"/>
    </w:rPr>
  </w:style>
  <w:style w:type="paragraph" w:customStyle="1" w:styleId="paragraph">
    <w:name w:val="paragraph"/>
    <w:basedOn w:val="Normal"/>
    <w:rsid w:val="00007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Dawson Livingston</dc:creator>
  <cp:keywords/>
  <dc:description/>
  <cp:lastModifiedBy>Dawson Livingston</cp:lastModifiedBy>
  <cp:revision>140</cp:revision>
  <dcterms:created xsi:type="dcterms:W3CDTF">2025-11-26T10:15:00Z</dcterms:created>
  <dcterms:modified xsi:type="dcterms:W3CDTF">2026-08-21T15:29:00Z</dcterms:modified>
</cp:coreProperties>
</file>