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TRIPOD_Checklist_Immunization_ML_Manuscript</w:t>
      </w:r>
    </w:p>
    <w:bookmarkStart w:id="20" w:name="X720c77b060ac3639f780583fe17070cfe02cded"/>
    <w:p>
      <w:pPr>
        <w:pStyle w:val="Heading1"/>
      </w:pPr>
      <w:r>
        <w:t xml:space="preserve">TRIPOD 2015 / TRIPOD-AI Statement Checklist</w:t>
      </w:r>
    </w:p>
    <w:p>
      <w:pPr>
        <w:pStyle w:val="FirstParagraph"/>
      </w:pPr>
      <w:r>
        <w:rPr>
          <w:b/>
          <w:bCs/>
        </w:rPr>
        <w:t xml:space="preserve">Prediction Model Development and Validation</w:t>
      </w:r>
    </w:p>
    <w:p>
      <w:pPr>
        <w:pStyle w:val="BodyText"/>
      </w:pPr>
      <w:r>
        <w:rPr>
          <w:b/>
          <w:bCs/>
        </w:rPr>
        <w:t xml:space="preserve">Manuscript Title:</w:t>
      </w:r>
      <w:r>
        <w:t xml:space="preserve"> </w:t>
      </w:r>
      <w:r>
        <w:t xml:space="preserve">Predicting Childhood Immunization Defaulters and Zero-Dose Children to Enable Digital Community Health Triage in Ethiopia: An Explainable Machine Learning Analysis of the 2024/25 Demographic and Health Survey</w:t>
      </w:r>
      <w:r>
        <w:br/>
      </w:r>
      <w:r>
        <w:rPr>
          <w:b/>
          <w:bCs/>
        </w:rPr>
        <w:t xml:space="preserve">Target Journal:</w:t>
      </w:r>
      <w:r>
        <w:t xml:space="preserve"> </w:t>
      </w:r>
      <w:r>
        <w:rPr>
          <w:i/>
          <w:iCs/>
        </w:rPr>
        <w:t xml:space="preserve">Online Journal of Public Health Informatics</w:t>
      </w:r>
      <w:r>
        <w:t xml:space="preserve"> </w:t>
      </w:r>
      <w:r>
        <w:t xml:space="preserve">(OJPHI - JMIR Publications)</w:t>
      </w:r>
      <w:r>
        <w:br/>
      </w:r>
      <w:r>
        <w:rPr>
          <w:b/>
          <w:bCs/>
        </w:rPr>
        <w:t xml:space="preserve">Corresponding Author:</w:t>
      </w:r>
      <w:r>
        <w:t xml:space="preserve"> </w:t>
      </w:r>
      <w:r>
        <w:t xml:space="preserve">Ashebir Mamay Gebiru, MSc</w:t>
      </w:r>
      <w:r>
        <w:br/>
      </w:r>
      <w:r>
        <w:rPr>
          <w:b/>
          <w:bCs/>
        </w:rPr>
        <w:t xml:space="preserve">Institution:</w:t>
      </w:r>
      <w:r>
        <w:t xml:space="preserve"> </w:t>
      </w:r>
      <w:r>
        <w:t xml:space="preserve">Teda Health Science College, Gondar, Ethiopia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Section / Item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TRIPOD Checklist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 on Page / Section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Details in Manuscript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TITLE AND ABSTRACT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Identify the study as developing and/or validating a multivariable prediction model, the target population, and the outcome predicted.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 Page (Page 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Title explicitly identifies machine learning prediction model development/validation for childhood immunization defaulting/zero-dose status using 2024/25 EDHS data in Ethiopia.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Abstract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 a summary of objectives, study design, setting, participants, sample size, predictors, outcome, statistical analysis, results, and conclusions.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Abstract (Page 2)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Structured abstract includes Background, Methods (N=6,850; 80/20 split; 25 non-invasive predictors; XGBoost; SMOTE; Isotonic calibration; DCA; SHAP), Results (AUROC 0.891, AUPRC 0.776, Brier 0.046), and Conclusions.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INTRODUCTION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Background &amp; Rationale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 the medical/public health context and rationale for developing or validating the multivariable prediction model, including existing models.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Introduction (Pages 3–4)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Details the burden of zero-dose children and vaccine dropouts in Ethiopia, limitations of paper tickler boxes, and rationale for embedding ML into eCHIS/mBrana platforms.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Objectives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Specify the study objectives, including whether the study describes the development or validation of a model or both.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Introduction (Page 5)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Outlines 6 specific aims: prevalence determination, model development, nested SMOTE, Isotonic calibration, DCA net benefit, SHAP explainability, and eCHIS integration framework.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METHODS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Source of Data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the study design, source of data, key dates, and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5, Section 2.1)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Secondary analysis of nationally representative cross-sectional data from the 2024/25 Ethiopian Demographic and Health Survey (EDHS) Kids Recode (KR) dataset.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4b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Specify key dates, including start of study, end of study, and follow-up.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5, Section 2.1)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Data collected during the 2024/25 EDHS nationwide sampling frame across 12 administrative regions and 2 chartered cities.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Participants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eligibility criteria for participants.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(Pages 5–6, Section 2.2)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Living children aged 12–23 months with completed routine vaccination records confirmed via card or maternal recall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850</m:t>
              </m:r>
            </m:oMath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5b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Give details of treatments/interventions received, if relevant.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6, Section 2.2)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Routine WHO/EPI national immunization schedule evaluated (BCG, Pentavalent 1–3, PCV 1–3, Rota 1–2, OPV 1–3, MCV1).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Outcome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Clearly define the outcome that is predicted by the multivariable prediction model, including how and when it was assessed.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6, Section 2.3)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Binary outcome: Immunization Defaulter / Non-Fully Vaccinated (missed</w:t>
            </w:r>
            <w:r>
              <w:t xml:space="preserve"> </w:t>
            </w:r>
            <m:oMath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routine vaccine dose or zero-dose status) vs. Fully Vaccinated.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6b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any actions taken to blind assessment of the outcome.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6, Section 2.3)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Outcome objectively derived from standardized EDHS biomarker/immunization records according to WHO criteria.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Predictors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Clearly define all candidate predictors used in developing or validating the model, including how and when they were measured.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(Pages 6–7, Section 2.4 &amp; Table 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25 non-invasive predictors defined across 5 domains (Maternal Healthcare, Maternal Attributes, Child Demographics, Household Infrastructure, Access Barriers).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any actions taken to blind assessment of predictors.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7, Section 2.4)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Predictor matrix strictly audited for non-invasive variables; laboratory biomarkers excluded to prevent target leakage.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Sample Size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 how the study sample size was arrived at.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8, Section 2.5)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Full national sample of eligible children aged 12–23 months in EDHS 2024/25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850</m:t>
              </m:r>
            </m:oMath>
            <w:r>
              <w:t xml:space="preserve">), partitioned into 80% Training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t>480</m:t>
              </m:r>
            </m:oMath>
            <w:r>
              <w:t xml:space="preserve">) and 20% Holdout Validation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370</m:t>
              </m:r>
            </m:oMath>
            <w:r>
              <w:t xml:space="preserve">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Missing Data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how missing data were handled, specifying the number of participants with missing data for each predictor and outcome.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8, Section 2.5)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Records with</w:t>
            </w:r>
            <w:r>
              <w:t xml:space="preserve"> </w:t>
            </w:r>
            <m:oMath>
              <m:r>
                <m:rPr>
                  <m:sty m:val="p"/>
                </m:rPr>
                <m:t>&gt;</m:t>
              </m:r>
              <m:r>
                <m:t>2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missingness excluded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340</m:t>
              </m:r>
            </m:oMath>
            <w:r>
              <w:t xml:space="preserve">). Median imputation for numerical features and mode imputation for categorical features, fitted strictly on training folds.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Statistical Analysis Methods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how predictors were handled in the analyses (continuous vs. categorical encodings).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8, Section 2.5 &amp; Table 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Numerical features standardized (</w:t>
            </w:r>
            <w:r>
              <w:rPr>
                <w:rStyle w:val="VerbatimChar"/>
              </w:rPr>
              <w:t xml:space="preserve">StandardScaler</w:t>
            </w:r>
            <w:r>
              <w:t xml:space="preserve">), nominal features One-Hot Encoded, and tiered socioeconomic variables Ordinal Encoded.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10b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Specify type of model, all model building procedures, hyperparameter tuning, and cross-validation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(Pages 8–9, Section 2.6 &amp; Supp Table S1)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Benchmarked 6 algorithms (LR, DT, RF, SVM, GBM, XGBoost) using 5-Fold Stratified Cross-Validation with</w:t>
            </w:r>
            <w:r>
              <w:t xml:space="preserve"> </w:t>
            </w:r>
            <w:r>
              <w:rPr>
                <w:rStyle w:val="VerbatimChar"/>
              </w:rPr>
              <w:t xml:space="preserve">RandomizedSearchCV</w:t>
            </w:r>
            <w:r>
              <w:t xml:space="preserve"> </w:t>
            </w:r>
            <w:r>
              <w:t xml:space="preserve">on training set.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10c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how class imbalance was handled during model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8, Section 2.5)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Nested SMOTE (Synthetic Minority Over-sampling Technique) executed strictly within training folds during cross-validation.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10d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methods for assessing model performance (discrimination, calibration, clinical decision utility).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(Pages 9–10, Sections 2.7–2.9)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Evaluated via AUROC, AUPRC, Sensitivity, Specificity, Precision, F1-Score, Brier score loss, Isotonic calibration slopes/intercepts, DCA, and SHAP.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Risk Groups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 details of how risk categories/thresholds were defined, if applicable.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10, Section 2.8 &amp; Figure 5)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Optimal decision threshold probability established at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=</m:t>
              </m:r>
              <m:r>
                <m:t>0.312</m:t>
              </m:r>
            </m:oMath>
            <w:r>
              <w:t xml:space="preserve"> </w:t>
            </w:r>
            <w:r>
              <w:t xml:space="preserve">(Youden's Index) and triage outreach cutoff set at</w:t>
            </w:r>
            <w:r>
              <w:t xml:space="preserve"> </w:t>
            </w:r>
            <m:oMath>
              <m:r>
                <m:rPr>
                  <m:sty m:val="p"/>
                </m:rPr>
                <m:t>≥</m:t>
              </m:r>
              <m:r>
                <m:t>20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probability for eCHIS Action Cards.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Development vs. Validation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Specify any differences between the development and validation data in terms of setting, eligibility, outcome, or predictors.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 (Page 8, Section 2.5 &amp; Figure 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Outcome-stratified random 80/20 data partitioning. Holdout validation set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370</m:t>
              </m:r>
            </m:oMath>
            <w:r>
              <w:t xml:space="preserve">) kept completely unexposed during training, SMOTE resampling, or hyperparameter tuning.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RESULTS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Participant Flow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the flow of participants through the study, including number of participants with and without the outcome.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 (Page 10, Section 3.1 &amp; Figure 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STROBE/TRIPOD participant flow diagram provided in Figure 1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,</m:t>
              </m:r>
              <m:r>
                <m:t>240</m:t>
              </m:r>
            </m:oMath>
            <w:r>
              <w:t xml:space="preserve"> </w:t>
            </w:r>
            <w:r>
              <w:t xml:space="preserve">screened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850</m:t>
              </m:r>
            </m:oMath>
            <w:r>
              <w:t xml:space="preserve"> </w:t>
            </w:r>
            <w:r>
              <w:t xml:space="preserve">final analytical sample).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13b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characteristics of the study sample, including predictors and outcome.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 (Pages 10–12, Section 3.1 &amp; Table 2)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Weighted prevalence of defaulting is</w:t>
            </w:r>
            <w:r>
              <w:t xml:space="preserve"> </w:t>
            </w:r>
            <m:oMath>
              <m:r>
                <m:t>32.4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220</m:t>
              </m:r>
            </m:oMath>
            <w:r>
              <w:t xml:space="preserve">) and zero-dose rate is</w:t>
            </w:r>
            <w:r>
              <w:t xml:space="preserve"> </w:t>
            </w:r>
            <m:oMath>
              <m:r>
                <m:t>14.8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014</m:t>
              </m:r>
            </m:oMath>
            <w:r>
              <w:t xml:space="preserve">). Table 2 details baseline characteristics with design-adjusted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m:oMath>
              <m:r>
                <m:t>p</m:t>
              </m:r>
            </m:oMath>
            <w:r>
              <w:t xml:space="preserve">-values.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Model Development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 the full prediction model details (coefficients, feature importances).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 (Pages 13–15, Sections 3.5–3.6, Table 4, Figures 3 &amp; 4)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Top predictors ranked by mean absolute SHAP values ($\text{mean }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14b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model performance metrics (discrimination, calibration) with confidence intervals.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 (Pages 12–13, Section 3.2–3.3, Table 3 &amp; Figure 2)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XGBoost achieved AUROC 0.891 (95% CI: 0.872–0.910), AUPRC 0.776, Brier score 0.046, Calibration slope 0.984, Sensitivity 83.5%, Specificity 81.2%.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Model Validation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performance of the model on validation data.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 (Pages 12–13, Section 3.2–3.4, Table 3 &amp; Figure 2)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Full validation metrics evaluated on independent holdout test set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370</m:t>
              </m:r>
            </m:oMath>
            <w:r>
              <w:t xml:space="preserve">). DCA confirms positive net clinical benefit across 10%–70% decision thresholds.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DISCUSSION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Limitations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 any limitations of the study, such as non-representative sampling, missing data, or cross-sectional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Discussion (Page 18, Section 4.3)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Acknowledges cross-sectional design limitations, inability to establish temporal causality, and reliance on maternal recall when vaccination cards were missing.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Interpretation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Give an overall interpretation of the results in the context of objectives and previous research.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Discussion (Pages 16–17, Section 4.1)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Contextualizes findings within maternal continuum of care, facility delivery touchpoints, geographic access barriers, and maternal autonomy health literacy.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17b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 the clinical / public health applicability of the model and its potential utility.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Discussion (Pages 17–18, Section 4.2 &amp; Figure 5)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Details practical public health informatics translation framework for embedding calibrated XGBoost risk engine into eCHIS and mBrana mobile platforms for HEWs.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OTHER INFORMATION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Supplementary Info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 information on where the full prediction model, code, or supplementary materials can be accessed.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Declarations (Page 19)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Open access repository links provided for 2024/25 EDHS datasets (DHS Program User ID: 185291) and computational scripts.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Funding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Give details of funding for the study.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Declarations (Page 19)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Confirms no external funding received for this research.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Conflicts of Interest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Declare any competing interests.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Declarations (Page 19)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Compliant.</w:t>
            </w:r>
            <w:r>
              <w:t xml:space="preserve"> </w:t>
            </w:r>
            <w:r>
              <w:t xml:space="preserve">Confirms authors have no financial or non-financial competing interests.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Reference: Collins GS, Reitsma JB, Altman DG, Moons KG. Transparent Reporting of a multivariable prediction model for Individual Prognosis Or Diagnosis (TRIPOD): the TRIPOD Statement. Circulation. 2015;131(2):211-219 / BMJ Open 2021 (TRIPOD-AI).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TRIPOD_Checklist_Immunization_ML_Manuscript</dc:title>
  <dc:creator/>
  <cp:keywords/>
  <dcterms:created xsi:type="dcterms:W3CDTF">2026-08-28T14:02:11Z</dcterms:created>
  <dcterms:modified xsi:type="dcterms:W3CDTF">2026-08-28T14:02:11Z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