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49810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/>
          <w:b/>
          <w:bCs/>
          <w:sz w:val="24"/>
          <w:szCs w:val="24"/>
          <w:lang w:val="en-US" w:eastAsia="zh-CN"/>
        </w:rPr>
        <w:t>Table 1. Clinical timeline of the patient’s hospital course</w:t>
      </w:r>
    </w:p>
    <w:p w14:paraId="38435A23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3"/>
        <w:tblW w:w="500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3768"/>
        <w:gridCol w:w="2960"/>
      </w:tblGrid>
      <w:tr w14:paraId="08EC9257">
        <w:trPr>
          <w:trHeight w:val="0" w:hRule="atLeast"/>
          <w:tblHeader/>
          <w:jc w:val="center"/>
        </w:trPr>
        <w:tc>
          <w:tcPr>
            <w:tcW w:w="105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493CC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Phase</w:t>
            </w:r>
          </w:p>
        </w:tc>
        <w:tc>
          <w:tcPr>
            <w:tcW w:w="221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20C32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Clinical Events and Diagnostic Findings</w:t>
            </w:r>
          </w:p>
        </w:tc>
        <w:tc>
          <w:tcPr>
            <w:tcW w:w="173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ECAAA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Treatment</w:t>
            </w:r>
          </w:p>
        </w:tc>
      </w:tr>
      <w:tr w14:paraId="474EA399">
        <w:trPr>
          <w:trHeight w:val="0" w:hRule="atLeast"/>
          <w:jc w:val="center"/>
        </w:trPr>
        <w:tc>
          <w:tcPr>
            <w:tcW w:w="105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CCCDF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Pre‑admission (7 days)</w:t>
            </w:r>
          </w:p>
        </w:tc>
        <w:tc>
          <w:tcPr>
            <w:tcW w:w="221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68073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Right shoulder swelling, pain, and limited motion after a fall; long‑standing diabetes with poor control (HbA1c 11.1%).</w:t>
            </w:r>
          </w:p>
        </w:tc>
        <w:tc>
          <w:tcPr>
            <w:tcW w:w="173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6DB6C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No specific anti‑infective therapy.</w:t>
            </w:r>
          </w:p>
        </w:tc>
      </w:tr>
      <w:tr w14:paraId="4261B552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53ADD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of admission (Day 0)</w:t>
            </w:r>
          </w:p>
        </w:tc>
        <w:tc>
          <w:tcPr>
            <w:tcW w:w="22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FE25B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Sudden dyspnea, hypotension, and altered mental status; septic shock, transferred to ICU. CT demonstrated soft‑tissue emphysema in right shoulder, cervical region, and axilla, intramedullary gas within the clavicle and scapula, a hypoattenuating lesion in the right hepatic lobe, and bilateral pleural effusions.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EB83C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Fluid resuscitation; empirical imipenem–cilastatin (500 mg every 6 hours).</w:t>
            </w:r>
          </w:p>
        </w:tc>
      </w:tr>
      <w:tr w14:paraId="586DC561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2B8A8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1</w:t>
            </w:r>
          </w:p>
        </w:tc>
        <w:tc>
          <w:tcPr>
            <w:tcW w:w="22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CD41A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Blood mNGS identified 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i/>
                <w:iCs/>
                <w:color w:val="auto"/>
                <w:sz w:val="24"/>
                <w:szCs w:val="24"/>
                <w:vertAlign w:val="baseline"/>
                <w:lang w:val="en-US" w:eastAsia="zh-CN"/>
              </w:rPr>
              <w:t>Klebsiella variicola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(4731 specific reads), confirming the pathogen.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E95D6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Continue current regimen pending susceptibility results.</w:t>
            </w:r>
          </w:p>
        </w:tc>
      </w:tr>
      <w:tr w14:paraId="566F9EF8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5DB5B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2</w:t>
            </w:r>
          </w:p>
        </w:tc>
        <w:tc>
          <w:tcPr>
            <w:tcW w:w="22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031EF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Bone‑marrow biopsy: culture grew 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i/>
                <w:iCs/>
                <w:color w:val="auto"/>
                <w:sz w:val="24"/>
                <w:szCs w:val="24"/>
                <w:vertAlign w:val="baseline"/>
                <w:lang w:val="en-US" w:eastAsia="zh-CN"/>
              </w:rPr>
              <w:t>Klebsiella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species (imipenem‑susceptible); histopathology showed dense neutrophilic infiltration. Urine culture yielded the same organism with a susceptible antimicrobial‑susceptibility profile.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F8DC5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Confirmation of infection foci; basis for subsequent regimen adjustment.</w:t>
            </w:r>
          </w:p>
        </w:tc>
      </w:tr>
      <w:tr w14:paraId="5292087A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1A44C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3</w:t>
            </w:r>
          </w:p>
        </w:tc>
        <w:tc>
          <w:tcPr>
            <w:tcW w:w="22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0A3C5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Ultrasound‑guided drainage of the hepatic abscess; purulent fluid was obtained. Bilateral closed‑chest thoracic drainage was performed.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57677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Complete multi‑site drainage to enhance source control.</w:t>
            </w:r>
          </w:p>
        </w:tc>
      </w:tr>
      <w:tr w14:paraId="5E641A28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F7878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5–8</w:t>
            </w:r>
          </w:p>
        </w:tc>
        <w:tc>
          <w:tcPr>
            <w:tcW w:w="22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40F14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Infection markers (PCT) declined markedly; hepatic abscess size reduced.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AE70E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On Day 8, de‑escalated to piperacillin‑tazobactam (4.5 g every 8 hours) based on susceptibility.</w:t>
            </w:r>
          </w:p>
        </w:tc>
      </w:tr>
      <w:tr w14:paraId="1637B3AB">
        <w:trPr>
          <w:trHeight w:val="0" w:hRule="atLeast"/>
          <w:jc w:val="center"/>
        </w:trPr>
        <w:tc>
          <w:tcPr>
            <w:tcW w:w="105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5F438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Day 10</w:t>
            </w:r>
          </w:p>
        </w:tc>
        <w:tc>
          <w:tcPr>
            <w:tcW w:w="221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E51D1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Follow‑up CT showed near‑complete resolution of emphysema, improved pulmonary infiltrates, and reduced pleural effusions. Vasopressors were discontinued, mental status returned to baseline, and oral intake was resumed.</w:t>
            </w:r>
          </w:p>
        </w:tc>
        <w:tc>
          <w:tcPr>
            <w:tcW w:w="173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1982E">
            <w:pPr>
              <w:keepNext/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Transferred back to the general orthopedic ward for further care.</w:t>
            </w:r>
          </w:p>
        </w:tc>
      </w:tr>
    </w:tbl>
    <w:p w14:paraId="38D19E78">
      <w:pPr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line="480" w:lineRule="auto"/>
        <w:textAlignment w:val="auto"/>
        <w:rPr>
          <w:rFonts w:hint="default" w:ascii="Times New Roman Regular" w:hAnsi="Times New Roman Regular" w:cs="Times New Roman Regular"/>
          <w:b/>
          <w:bCs/>
          <w:color w:val="auto"/>
          <w:sz w:val="24"/>
          <w:szCs w:val="24"/>
          <w:lang w:val="en-US" w:eastAsia="zh-CN"/>
        </w:rPr>
      </w:pPr>
    </w:p>
    <w:p w14:paraId="01C642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DB812"/>
    <w:rsid w:val="574D73E3"/>
    <w:rsid w:val="7BBF6BE2"/>
    <w:rsid w:val="9DFE71C6"/>
    <w:rsid w:val="B7FDB812"/>
    <w:rsid w:val="DBFF3EB0"/>
    <w:rsid w:val="F7EDB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2026-08-26T07:38:00Z</dcterms:created>
  <dc:creator>开心</dc:creator>
  <cp:lastModifiedBy>开心</cp:lastModifiedBy>
  <dcterms:modified xsi:type="dcterms:W3CDTF">2026-09-01T17:13:39Z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E9DED760D561081FECB68D6A42B2CE83_41</vt:lpwstr>
  </property>
</Properties>
</file>