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CA09" w14:textId="77777777" w:rsidR="004A6D5C" w:rsidRPr="0070006A" w:rsidRDefault="004A6D5C" w:rsidP="004A6D5C">
      <w:pPr>
        <w:spacing w:after="160" w:line="278" w:lineRule="auto"/>
        <w:rPr>
          <w:rFonts w:ascii="Helvetica" w:hAnsi="Helvetica"/>
        </w:rPr>
      </w:pPr>
      <w:r w:rsidRPr="0070006A">
        <w:rPr>
          <w:rFonts w:ascii="Helvetica" w:eastAsiaTheme="minorEastAsia" w:hAnsi="Helvetica" w:cs="Calibri"/>
          <w:kern w:val="2"/>
          <w14:ligatures w14:val="standardContextual"/>
        </w:rPr>
        <w:br w:type="page"/>
      </w:r>
      <w:r w:rsidRPr="0070006A">
        <w:rPr>
          <w:noProof/>
        </w:rPr>
        <w:drawing>
          <wp:anchor distT="0" distB="0" distL="114300" distR="114300" simplePos="0" relativeHeight="251659264" behindDoc="0" locked="0" layoutInCell="1" allowOverlap="1" wp14:anchorId="61C235A5" wp14:editId="7290D65A">
            <wp:simplePos x="0" y="0"/>
            <wp:positionH relativeFrom="margin">
              <wp:align>center</wp:align>
            </wp:positionH>
            <wp:positionV relativeFrom="margin">
              <wp:align>top</wp:align>
            </wp:positionV>
            <wp:extent cx="4697095" cy="8338185"/>
            <wp:effectExtent l="0" t="0" r="1905" b="5715"/>
            <wp:wrapSquare wrapText="bothSides"/>
            <wp:docPr id="392194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94452" name="Picture 39219445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97095" cy="8338185"/>
                    </a:xfrm>
                    <a:prstGeom prst="rect">
                      <a:avLst/>
                    </a:prstGeom>
                  </pic:spPr>
                </pic:pic>
              </a:graphicData>
            </a:graphic>
            <wp14:sizeRelH relativeFrom="margin">
              <wp14:pctWidth>0</wp14:pctWidth>
            </wp14:sizeRelH>
            <wp14:sizeRelV relativeFrom="margin">
              <wp14:pctHeight>0</wp14:pctHeight>
            </wp14:sizeRelV>
          </wp:anchor>
        </w:drawing>
      </w:r>
    </w:p>
    <w:p w14:paraId="2D819EDA" w14:textId="77777777" w:rsidR="004A6D5C" w:rsidRPr="0070006A" w:rsidRDefault="004A6D5C" w:rsidP="004A6D5C">
      <w:pPr>
        <w:spacing w:after="160" w:line="278" w:lineRule="auto"/>
        <w:jc w:val="both"/>
        <w:rPr>
          <w:rFonts w:ascii="Helvetica" w:hAnsi="Helvetica"/>
        </w:rPr>
      </w:pPr>
      <w:r w:rsidRPr="00E7346F">
        <w:rPr>
          <w:rFonts w:ascii="Helvetica" w:hAnsi="Helvetica"/>
          <w:b/>
          <w:bCs/>
          <w:sz w:val="22"/>
          <w:szCs w:val="22"/>
        </w:rPr>
        <w:lastRenderedPageBreak/>
        <w:t>Supp</w:t>
      </w:r>
      <w:r w:rsidRPr="0070006A">
        <w:rPr>
          <w:rFonts w:ascii="Helvetica" w:hAnsi="Helvetica"/>
          <w:b/>
          <w:bCs/>
          <w:sz w:val="22"/>
          <w:szCs w:val="22"/>
        </w:rPr>
        <w:t>lementary</w:t>
      </w:r>
      <w:r w:rsidRPr="00E7346F">
        <w:rPr>
          <w:rFonts w:ascii="Helvetica" w:hAnsi="Helvetica"/>
          <w:b/>
          <w:bCs/>
          <w:sz w:val="22"/>
          <w:szCs w:val="22"/>
        </w:rPr>
        <w:t xml:space="preserve"> Fig</w:t>
      </w:r>
      <w:r w:rsidRPr="00993AD2">
        <w:rPr>
          <w:rFonts w:ascii="Helvetica" w:hAnsi="Helvetica"/>
          <w:b/>
          <w:bCs/>
          <w:sz w:val="22"/>
          <w:szCs w:val="22"/>
        </w:rPr>
        <w:t>ure</w:t>
      </w:r>
      <w:r w:rsidRPr="00E7346F">
        <w:rPr>
          <w:rFonts w:ascii="Helvetica" w:hAnsi="Helvetica"/>
          <w:b/>
          <w:bCs/>
          <w:sz w:val="22"/>
          <w:szCs w:val="22"/>
        </w:rPr>
        <w:t xml:space="preserve"> 1. Median of insertion length measured in bp in MSI/MMRD tumors.</w:t>
      </w:r>
      <w:r w:rsidRPr="0070006A">
        <w:rPr>
          <w:rFonts w:ascii="Helvetica" w:hAnsi="Helvetica"/>
          <w:sz w:val="22"/>
          <w:szCs w:val="22"/>
        </w:rPr>
        <w:t xml:space="preserve"> </w:t>
      </w:r>
      <w:r w:rsidRPr="00E7346F">
        <w:rPr>
          <w:rFonts w:ascii="Helvetica" w:hAnsi="Helvetica"/>
          <w:b/>
          <w:bCs/>
          <w:sz w:val="22"/>
          <w:szCs w:val="22"/>
        </w:rPr>
        <w:t>(a)</w:t>
      </w:r>
      <w:r w:rsidRPr="0070006A">
        <w:rPr>
          <w:rFonts w:ascii="Helvetica" w:hAnsi="Helvetica"/>
          <w:sz w:val="22"/>
          <w:szCs w:val="22"/>
        </w:rPr>
        <w:t xml:space="preserve"> TA repeat length in N/A tumors. </w:t>
      </w:r>
      <w:r w:rsidRPr="00E7346F">
        <w:rPr>
          <w:rFonts w:ascii="Helvetica" w:hAnsi="Helvetica"/>
          <w:b/>
          <w:bCs/>
          <w:sz w:val="22"/>
          <w:szCs w:val="22"/>
        </w:rPr>
        <w:t>(b)</w:t>
      </w:r>
      <w:r w:rsidRPr="0070006A">
        <w:rPr>
          <w:rFonts w:ascii="Helvetica" w:hAnsi="Helvetica"/>
          <w:sz w:val="22"/>
          <w:szCs w:val="22"/>
        </w:rPr>
        <w:t xml:space="preserve"> TA repeat length in MSH2</w:t>
      </w:r>
      <w:r>
        <w:rPr>
          <w:rFonts w:ascii="Helvetica" w:hAnsi="Helvetica"/>
          <w:sz w:val="22"/>
          <w:szCs w:val="22"/>
        </w:rPr>
        <w:t>d</w:t>
      </w:r>
      <w:r w:rsidRPr="0070006A">
        <w:rPr>
          <w:rFonts w:ascii="Helvetica" w:hAnsi="Helvetica"/>
          <w:sz w:val="22"/>
          <w:szCs w:val="22"/>
        </w:rPr>
        <w:t xml:space="preserve"> tumors. </w:t>
      </w:r>
      <w:r w:rsidRPr="008F019F">
        <w:rPr>
          <w:rFonts w:ascii="Helvetica" w:hAnsi="Helvetica"/>
          <w:b/>
          <w:bCs/>
          <w:sz w:val="22"/>
          <w:szCs w:val="22"/>
        </w:rPr>
        <w:t>(c)</w:t>
      </w:r>
      <w:r w:rsidRPr="0070006A">
        <w:rPr>
          <w:rFonts w:ascii="Helvetica" w:hAnsi="Helvetica"/>
          <w:sz w:val="22"/>
          <w:szCs w:val="22"/>
        </w:rPr>
        <w:t xml:space="preserve"> TA repeat length in MLH1</w:t>
      </w:r>
      <w:r>
        <w:rPr>
          <w:rFonts w:ascii="Helvetica" w:hAnsi="Helvetica"/>
          <w:sz w:val="22"/>
          <w:szCs w:val="22"/>
        </w:rPr>
        <w:t>d</w:t>
      </w:r>
      <w:r w:rsidRPr="0070006A">
        <w:rPr>
          <w:rFonts w:ascii="Helvetica" w:hAnsi="Helvetica"/>
          <w:sz w:val="22"/>
          <w:szCs w:val="22"/>
        </w:rPr>
        <w:t xml:space="preserve"> tumors. </w:t>
      </w:r>
      <w:r w:rsidRPr="00E7346F">
        <w:rPr>
          <w:rFonts w:ascii="Helvetica" w:hAnsi="Helvetica"/>
          <w:b/>
          <w:bCs/>
          <w:sz w:val="22"/>
          <w:szCs w:val="22"/>
        </w:rPr>
        <w:t>(d)</w:t>
      </w:r>
      <w:r w:rsidRPr="0070006A">
        <w:rPr>
          <w:rFonts w:ascii="Helvetica" w:hAnsi="Helvetica"/>
          <w:sz w:val="22"/>
          <w:szCs w:val="22"/>
        </w:rPr>
        <w:t xml:space="preserve"> TA repeat length in PMS2</w:t>
      </w:r>
      <w:r>
        <w:rPr>
          <w:rFonts w:ascii="Helvetica" w:hAnsi="Helvetica"/>
          <w:sz w:val="22"/>
          <w:szCs w:val="22"/>
        </w:rPr>
        <w:t>d</w:t>
      </w:r>
      <w:r w:rsidRPr="0070006A">
        <w:rPr>
          <w:rFonts w:ascii="Helvetica" w:hAnsi="Helvetica"/>
          <w:sz w:val="22"/>
          <w:szCs w:val="22"/>
        </w:rPr>
        <w:t xml:space="preserve"> tumors. </w:t>
      </w:r>
      <w:r w:rsidRPr="008F019F">
        <w:rPr>
          <w:rFonts w:ascii="Helvetica" w:hAnsi="Helvetica"/>
          <w:b/>
          <w:bCs/>
          <w:sz w:val="22"/>
          <w:szCs w:val="22"/>
        </w:rPr>
        <w:t>(e)</w:t>
      </w:r>
      <w:r w:rsidRPr="008F019F">
        <w:rPr>
          <w:rFonts w:ascii="Helvetica" w:hAnsi="Helvetica"/>
          <w:sz w:val="22"/>
          <w:szCs w:val="22"/>
        </w:rPr>
        <w:t xml:space="preserve"> Dinucleotide repeat length in PMS2d tumors.</w:t>
      </w:r>
    </w:p>
    <w:p w14:paraId="60B7D408" w14:textId="77777777" w:rsidR="004A6D5C" w:rsidRPr="0070006A" w:rsidRDefault="004A6D5C" w:rsidP="004A6D5C">
      <w:pPr>
        <w:spacing w:after="160" w:line="278" w:lineRule="auto"/>
        <w:rPr>
          <w:rFonts w:ascii="Helvetica" w:hAnsi="Helvetica"/>
        </w:rPr>
      </w:pPr>
    </w:p>
    <w:p w14:paraId="074E11A6" w14:textId="77777777" w:rsidR="004A6D5C" w:rsidRPr="00E7346F" w:rsidRDefault="004A6D5C" w:rsidP="004A6D5C">
      <w:pPr>
        <w:spacing w:after="160"/>
        <w:jc w:val="both"/>
        <w:rPr>
          <w:rFonts w:ascii="Helvetica" w:hAnsi="Helvetica"/>
          <w:sz w:val="22"/>
          <w:szCs w:val="22"/>
        </w:rPr>
      </w:pPr>
      <w:r w:rsidRPr="0070006A">
        <w:rPr>
          <w:rFonts w:ascii="Helvetica" w:hAnsi="Helvetica"/>
        </w:rPr>
        <w:br w:type="column"/>
      </w:r>
    </w:p>
    <w:p w14:paraId="5907BF81" w14:textId="77777777" w:rsidR="004A6D5C" w:rsidRPr="0070006A" w:rsidRDefault="004A6D5C" w:rsidP="004A6D5C">
      <w:pPr>
        <w:spacing w:after="160" w:line="278" w:lineRule="auto"/>
        <w:rPr>
          <w:rFonts w:ascii="Helvetica" w:hAnsi="Helvetica"/>
        </w:rPr>
      </w:pPr>
      <w:r w:rsidRPr="0070006A">
        <w:rPr>
          <w:rFonts w:ascii="Helvetica" w:hAnsi="Helvetica"/>
          <w:noProof/>
          <w14:ligatures w14:val="standardContextual"/>
        </w:rPr>
        <w:drawing>
          <wp:inline distT="0" distB="0" distL="0" distR="0" wp14:anchorId="397C2B9D" wp14:editId="6BA1F5AE">
            <wp:extent cx="6400800" cy="5980430"/>
            <wp:effectExtent l="0" t="0" r="0" b="1270"/>
            <wp:docPr id="17500135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13579" name="Picture 1750013579"/>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5980430"/>
                    </a:xfrm>
                    <a:prstGeom prst="rect">
                      <a:avLst/>
                    </a:prstGeom>
                  </pic:spPr>
                </pic:pic>
              </a:graphicData>
            </a:graphic>
          </wp:inline>
        </w:drawing>
      </w:r>
    </w:p>
    <w:p w14:paraId="194AAC88" w14:textId="77777777" w:rsidR="004A6D5C" w:rsidRPr="0070006A" w:rsidRDefault="004A6D5C" w:rsidP="004A6D5C">
      <w:pPr>
        <w:jc w:val="both"/>
        <w:rPr>
          <w:rFonts w:ascii="Helvetica" w:hAnsi="Helvetica"/>
        </w:rPr>
      </w:pPr>
      <w:r w:rsidRPr="00E7346F">
        <w:rPr>
          <w:rFonts w:ascii="Helvetica" w:hAnsi="Helvetica"/>
          <w:b/>
          <w:bCs/>
          <w:sz w:val="22"/>
          <w:szCs w:val="22"/>
        </w:rPr>
        <w:t>Supp</w:t>
      </w:r>
      <w:r w:rsidRPr="0070006A">
        <w:rPr>
          <w:rFonts w:ascii="Helvetica" w:hAnsi="Helvetica"/>
          <w:b/>
          <w:bCs/>
          <w:sz w:val="22"/>
          <w:szCs w:val="22"/>
        </w:rPr>
        <w:t>lementary</w:t>
      </w:r>
      <w:r w:rsidRPr="00E7346F">
        <w:rPr>
          <w:rFonts w:ascii="Helvetica" w:hAnsi="Helvetica"/>
          <w:b/>
          <w:bCs/>
          <w:sz w:val="22"/>
          <w:szCs w:val="22"/>
        </w:rPr>
        <w:t xml:space="preserve"> Fig</w:t>
      </w:r>
      <w:r w:rsidRPr="0070006A">
        <w:rPr>
          <w:rFonts w:ascii="Helvetica" w:hAnsi="Helvetica"/>
          <w:b/>
          <w:bCs/>
          <w:sz w:val="22"/>
          <w:szCs w:val="22"/>
        </w:rPr>
        <w:t>ure</w:t>
      </w:r>
      <w:r w:rsidRPr="00E7346F">
        <w:rPr>
          <w:rFonts w:ascii="Helvetica" w:hAnsi="Helvetica"/>
          <w:b/>
          <w:bCs/>
          <w:sz w:val="22"/>
          <w:szCs w:val="22"/>
        </w:rPr>
        <w:t xml:space="preserve"> 2. Insertions in MSI/PMS2D tumors.</w:t>
      </w:r>
      <w:r w:rsidRPr="0070006A">
        <w:rPr>
          <w:rFonts w:ascii="Helvetica" w:hAnsi="Helvetica"/>
          <w:sz w:val="22"/>
          <w:szCs w:val="22"/>
        </w:rPr>
        <w:t xml:space="preserve"> </w:t>
      </w:r>
      <w:r w:rsidRPr="00E7346F">
        <w:rPr>
          <w:rFonts w:ascii="Helvetica" w:hAnsi="Helvetica"/>
          <w:b/>
          <w:bCs/>
          <w:sz w:val="22"/>
          <w:szCs w:val="22"/>
        </w:rPr>
        <w:t>(a)</w:t>
      </w:r>
      <w:r w:rsidRPr="0070006A">
        <w:rPr>
          <w:rFonts w:ascii="Helvetica" w:hAnsi="Helvetica"/>
          <w:sz w:val="22"/>
          <w:szCs w:val="22"/>
        </w:rPr>
        <w:t xml:space="preserve"> Distribution of insertions by dinucleotide repeat type. </w:t>
      </w:r>
      <w:r w:rsidRPr="00E7346F">
        <w:rPr>
          <w:rFonts w:ascii="Helvetica" w:hAnsi="Helvetica"/>
          <w:b/>
          <w:bCs/>
          <w:sz w:val="22"/>
          <w:szCs w:val="22"/>
        </w:rPr>
        <w:t>(b)</w:t>
      </w:r>
      <w:r w:rsidRPr="0070006A">
        <w:rPr>
          <w:rFonts w:ascii="Helvetica" w:hAnsi="Helvetica"/>
          <w:sz w:val="22"/>
          <w:szCs w:val="22"/>
        </w:rPr>
        <w:t xml:space="preserve"> Proportion of dinucleotide repeats in hg38 genome. </w:t>
      </w:r>
      <w:r w:rsidRPr="00E7346F">
        <w:rPr>
          <w:rFonts w:ascii="Helvetica" w:hAnsi="Helvetica"/>
          <w:b/>
          <w:bCs/>
          <w:sz w:val="22"/>
          <w:szCs w:val="22"/>
        </w:rPr>
        <w:t>(c)</w:t>
      </w:r>
      <w:r w:rsidRPr="0070006A">
        <w:rPr>
          <w:rFonts w:ascii="Helvetica" w:hAnsi="Helvetica"/>
          <w:sz w:val="22"/>
          <w:szCs w:val="22"/>
        </w:rPr>
        <w:t xml:space="preserve"> Proportions of annotated or non-annotated dinucleotide expanded repeats using hg38 genome as reference.</w:t>
      </w:r>
      <w:r w:rsidRPr="0070006A">
        <w:rPr>
          <w:rFonts w:ascii="Helvetica" w:hAnsi="Helvetica"/>
        </w:rPr>
        <w:br w:type="page"/>
      </w:r>
    </w:p>
    <w:p w14:paraId="60C989C3" w14:textId="77777777" w:rsidR="004A6D5C" w:rsidRPr="0070006A" w:rsidRDefault="004A6D5C" w:rsidP="004A6D5C">
      <w:pPr>
        <w:spacing w:after="160" w:line="278" w:lineRule="auto"/>
        <w:rPr>
          <w:rFonts w:ascii="Helvetica" w:hAnsi="Helvetica"/>
        </w:rPr>
      </w:pPr>
      <w:r w:rsidRPr="0070006A">
        <w:rPr>
          <w:rFonts w:ascii="Helvetica" w:hAnsi="Helvetica"/>
          <w:noProof/>
          <w14:ligatures w14:val="standardContextual"/>
        </w:rPr>
        <w:lastRenderedPageBreak/>
        <w:drawing>
          <wp:inline distT="0" distB="0" distL="0" distR="0" wp14:anchorId="3F5B17A3" wp14:editId="24A692C5">
            <wp:extent cx="6400800" cy="5319395"/>
            <wp:effectExtent l="0" t="0" r="0" b="1905"/>
            <wp:docPr id="15159082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08220" name="Picture 151590822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0800" cy="5319395"/>
                    </a:xfrm>
                    <a:prstGeom prst="rect">
                      <a:avLst/>
                    </a:prstGeom>
                  </pic:spPr>
                </pic:pic>
              </a:graphicData>
            </a:graphic>
          </wp:inline>
        </w:drawing>
      </w:r>
    </w:p>
    <w:p w14:paraId="2EB6EC10" w14:textId="77777777" w:rsidR="004A6D5C" w:rsidRPr="0070006A" w:rsidRDefault="004A6D5C" w:rsidP="004A6D5C">
      <w:pPr>
        <w:jc w:val="both"/>
        <w:rPr>
          <w:rFonts w:ascii="Helvetica" w:hAnsi="Helvetica"/>
          <w:sz w:val="22"/>
          <w:szCs w:val="22"/>
        </w:rPr>
      </w:pPr>
      <w:r w:rsidRPr="00E7346F">
        <w:rPr>
          <w:rFonts w:ascii="Helvetica" w:hAnsi="Helvetica"/>
          <w:b/>
          <w:bCs/>
          <w:sz w:val="22"/>
          <w:szCs w:val="22"/>
        </w:rPr>
        <w:t>Supp</w:t>
      </w:r>
      <w:r w:rsidRPr="0070006A">
        <w:rPr>
          <w:rFonts w:ascii="Helvetica" w:hAnsi="Helvetica"/>
          <w:b/>
          <w:bCs/>
          <w:sz w:val="22"/>
          <w:szCs w:val="22"/>
        </w:rPr>
        <w:t>lementary</w:t>
      </w:r>
      <w:r w:rsidRPr="00E7346F">
        <w:rPr>
          <w:rFonts w:ascii="Helvetica" w:hAnsi="Helvetica"/>
          <w:b/>
          <w:bCs/>
          <w:sz w:val="22"/>
          <w:szCs w:val="22"/>
        </w:rPr>
        <w:t xml:space="preserve"> Fig</w:t>
      </w:r>
      <w:r w:rsidRPr="0070006A">
        <w:rPr>
          <w:rFonts w:ascii="Helvetica" w:hAnsi="Helvetica"/>
          <w:b/>
          <w:bCs/>
          <w:sz w:val="22"/>
          <w:szCs w:val="22"/>
        </w:rPr>
        <w:t>ure</w:t>
      </w:r>
      <w:r w:rsidRPr="00E7346F">
        <w:rPr>
          <w:rFonts w:ascii="Helvetica" w:hAnsi="Helvetica"/>
          <w:b/>
          <w:bCs/>
          <w:sz w:val="22"/>
          <w:szCs w:val="22"/>
        </w:rPr>
        <w:t xml:space="preserve"> 3. Genomic characterization of expanded TA repeats.</w:t>
      </w:r>
      <w:r w:rsidRPr="0070006A">
        <w:rPr>
          <w:rFonts w:ascii="Helvetica" w:hAnsi="Helvetica"/>
          <w:sz w:val="22"/>
          <w:szCs w:val="22"/>
        </w:rPr>
        <w:t xml:space="preserve"> </w:t>
      </w:r>
      <w:r w:rsidRPr="00E7346F">
        <w:rPr>
          <w:rFonts w:ascii="Helvetica" w:hAnsi="Helvetica"/>
          <w:b/>
          <w:bCs/>
          <w:sz w:val="22"/>
          <w:szCs w:val="22"/>
        </w:rPr>
        <w:t>(a)</w:t>
      </w:r>
      <w:r w:rsidRPr="0070006A">
        <w:rPr>
          <w:rFonts w:ascii="Helvetica" w:hAnsi="Helvetica"/>
          <w:sz w:val="22"/>
          <w:szCs w:val="22"/>
        </w:rPr>
        <w:t xml:space="preserve"> Number of overlapping TA insertions between tumors. </w:t>
      </w:r>
      <w:r w:rsidRPr="00E7346F">
        <w:rPr>
          <w:rFonts w:ascii="Helvetica" w:hAnsi="Helvetica"/>
          <w:b/>
          <w:bCs/>
          <w:sz w:val="22"/>
          <w:szCs w:val="22"/>
        </w:rPr>
        <w:t>(b)</w:t>
      </w:r>
      <w:r w:rsidRPr="0070006A">
        <w:rPr>
          <w:rFonts w:ascii="Helvetica" w:hAnsi="Helvetica"/>
          <w:sz w:val="22"/>
          <w:szCs w:val="22"/>
        </w:rPr>
        <w:t xml:space="preserve"> Genomic location of non-expanded and expanded TA repeats. </w:t>
      </w:r>
      <w:r w:rsidRPr="00E7346F">
        <w:rPr>
          <w:rFonts w:ascii="Helvetica" w:hAnsi="Helvetica"/>
          <w:b/>
          <w:bCs/>
          <w:sz w:val="22"/>
          <w:szCs w:val="22"/>
        </w:rPr>
        <w:t>(c)</w:t>
      </w:r>
      <w:r w:rsidRPr="0070006A">
        <w:rPr>
          <w:rFonts w:ascii="Helvetica" w:hAnsi="Helvetica"/>
          <w:sz w:val="22"/>
          <w:szCs w:val="22"/>
        </w:rPr>
        <w:t xml:space="preserve"> Proportion of cancer-related genes (oncogenes/TSGs) overlapping with non-expanded and expanded TA repeats. </w:t>
      </w:r>
      <w:r w:rsidRPr="00E7346F">
        <w:rPr>
          <w:rFonts w:ascii="Helvetica" w:hAnsi="Helvetica"/>
          <w:b/>
          <w:bCs/>
          <w:sz w:val="22"/>
          <w:szCs w:val="22"/>
        </w:rPr>
        <w:t>(d)</w:t>
      </w:r>
      <w:r w:rsidRPr="0070006A">
        <w:rPr>
          <w:rFonts w:ascii="Helvetica" w:hAnsi="Helvetica"/>
          <w:sz w:val="22"/>
          <w:szCs w:val="22"/>
        </w:rPr>
        <w:t xml:space="preserve"> Proportions of CRC-related genes overlapping with non-expanded and expanded TA repeats.</w:t>
      </w:r>
    </w:p>
    <w:p w14:paraId="3A8ADCB5" w14:textId="77777777" w:rsidR="004A6D5C" w:rsidRPr="0070006A" w:rsidRDefault="004A6D5C" w:rsidP="004A6D5C">
      <w:pPr>
        <w:spacing w:after="160" w:line="278" w:lineRule="auto"/>
        <w:rPr>
          <w:rFonts w:ascii="Helvetica" w:hAnsi="Helvetica"/>
        </w:rPr>
      </w:pPr>
    </w:p>
    <w:p w14:paraId="7C41DCBF" w14:textId="77777777" w:rsidR="004A6D5C" w:rsidRPr="0070006A" w:rsidRDefault="004A6D5C" w:rsidP="004A6D5C">
      <w:pPr>
        <w:spacing w:after="160" w:line="278" w:lineRule="auto"/>
        <w:rPr>
          <w:rFonts w:ascii="Helvetica" w:hAnsi="Helvetica"/>
        </w:rPr>
      </w:pPr>
      <w:r w:rsidRPr="0070006A">
        <w:rPr>
          <w:rFonts w:ascii="Helvetica" w:hAnsi="Helvetica"/>
        </w:rPr>
        <w:br w:type="page"/>
      </w:r>
    </w:p>
    <w:p w14:paraId="05BE9928" w14:textId="77777777" w:rsidR="004A6D5C" w:rsidRPr="0070006A" w:rsidRDefault="004A6D5C" w:rsidP="004A6D5C">
      <w:pPr>
        <w:spacing w:after="160" w:line="278" w:lineRule="auto"/>
        <w:jc w:val="center"/>
        <w:rPr>
          <w:rFonts w:ascii="Helvetica" w:hAnsi="Helvetica"/>
        </w:rPr>
      </w:pPr>
      <w:r w:rsidRPr="0070006A">
        <w:rPr>
          <w:rFonts w:ascii="Helvetica" w:hAnsi="Helvetica"/>
          <w:noProof/>
          <w14:ligatures w14:val="standardContextual"/>
        </w:rPr>
        <w:lastRenderedPageBreak/>
        <w:drawing>
          <wp:inline distT="0" distB="0" distL="0" distR="0" wp14:anchorId="25595F24" wp14:editId="37E13C29">
            <wp:extent cx="4851400" cy="5359400"/>
            <wp:effectExtent l="0" t="0" r="0" b="0"/>
            <wp:docPr id="17516626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62654" name="Picture 17516626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51400" cy="5359400"/>
                    </a:xfrm>
                    <a:prstGeom prst="rect">
                      <a:avLst/>
                    </a:prstGeom>
                  </pic:spPr>
                </pic:pic>
              </a:graphicData>
            </a:graphic>
          </wp:inline>
        </w:drawing>
      </w:r>
    </w:p>
    <w:p w14:paraId="7C063A1E" w14:textId="77777777" w:rsidR="004A6D5C" w:rsidRPr="0070006A" w:rsidRDefault="004A6D5C" w:rsidP="004A6D5C">
      <w:pPr>
        <w:jc w:val="both"/>
        <w:rPr>
          <w:rFonts w:ascii="Helvetica" w:hAnsi="Helvetica"/>
          <w:sz w:val="22"/>
          <w:szCs w:val="22"/>
        </w:rPr>
      </w:pPr>
      <w:r w:rsidRPr="0070006A">
        <w:rPr>
          <w:rFonts w:ascii="Helvetica" w:hAnsi="Helvetica"/>
          <w:b/>
          <w:bCs/>
          <w:sz w:val="22"/>
          <w:szCs w:val="22"/>
        </w:rPr>
        <w:t>Supplementary Figure 4</w:t>
      </w:r>
      <w:r w:rsidRPr="0070006A">
        <w:rPr>
          <w:rFonts w:ascii="Helvetica" w:hAnsi="Helvetica"/>
          <w:sz w:val="22"/>
          <w:szCs w:val="22"/>
        </w:rPr>
        <w:t xml:space="preserve">. </w:t>
      </w:r>
      <w:r w:rsidRPr="00E7346F">
        <w:rPr>
          <w:rFonts w:ascii="Helvetica" w:hAnsi="Helvetica"/>
          <w:b/>
          <w:bCs/>
          <w:sz w:val="22"/>
          <w:szCs w:val="22"/>
        </w:rPr>
        <w:t>S1</w:t>
      </w:r>
      <w:r>
        <w:rPr>
          <w:rFonts w:ascii="Helvetica" w:hAnsi="Helvetica"/>
          <w:b/>
          <w:bCs/>
          <w:sz w:val="22"/>
          <w:szCs w:val="22"/>
        </w:rPr>
        <w:t>-</w:t>
      </w:r>
      <w:r w:rsidRPr="00E7346F">
        <w:rPr>
          <w:rFonts w:ascii="Helvetica" w:hAnsi="Helvetica"/>
          <w:b/>
          <w:bCs/>
          <w:sz w:val="22"/>
          <w:szCs w:val="22"/>
        </w:rPr>
        <w:t>END</w:t>
      </w:r>
      <w:r>
        <w:rPr>
          <w:rFonts w:ascii="Helvetica" w:hAnsi="Helvetica"/>
          <w:b/>
          <w:bCs/>
          <w:sz w:val="22"/>
          <w:szCs w:val="22"/>
        </w:rPr>
        <w:t>-</w:t>
      </w:r>
      <w:r w:rsidRPr="00E7346F">
        <w:rPr>
          <w:rFonts w:ascii="Helvetica" w:hAnsi="Helvetica"/>
          <w:b/>
          <w:bCs/>
          <w:sz w:val="22"/>
          <w:szCs w:val="22"/>
        </w:rPr>
        <w:t>seq reveals formation of cruciform-like structure at expanded TA repeats in MSI cells but not in MSS cells.</w:t>
      </w:r>
      <w:r w:rsidRPr="00E01378">
        <w:rPr>
          <w:rFonts w:ascii="Helvetica" w:hAnsi="Helvetica"/>
          <w:sz w:val="22"/>
          <w:szCs w:val="22"/>
        </w:rPr>
        <w:t xml:space="preserve"> </w:t>
      </w:r>
      <w:r w:rsidRPr="0070006A">
        <w:rPr>
          <w:rFonts w:ascii="Helvetica" w:hAnsi="Helvetica"/>
          <w:sz w:val="22"/>
          <w:szCs w:val="22"/>
        </w:rPr>
        <w:t>S1-END-seq heatmaps comparing the S1-END-seq signal in reads per million (RPM) related to 500 bp from the center of expanded TA repeats (top panel) and non-expanded TA repeats (bottom panel) in MSS (SW620, SW837) and MSI (RKO, KM12, SW48) cell lines.</w:t>
      </w:r>
    </w:p>
    <w:p w14:paraId="15F07FA5" w14:textId="77777777" w:rsidR="004A6D5C" w:rsidRPr="0070006A" w:rsidRDefault="004A6D5C" w:rsidP="004A6D5C">
      <w:pPr>
        <w:spacing w:after="160" w:line="278" w:lineRule="auto"/>
        <w:rPr>
          <w:rFonts w:ascii="Helvetica" w:hAnsi="Helvetica"/>
        </w:rPr>
        <w:sectPr w:rsidR="004A6D5C" w:rsidRPr="0070006A" w:rsidSect="004A6D5C">
          <w:pgSz w:w="11900" w:h="16840"/>
          <w:pgMar w:top="1440" w:right="1080" w:bottom="1440" w:left="1080" w:header="720" w:footer="720" w:gutter="0"/>
          <w:lnNumType w:countBy="1" w:restart="continuous"/>
          <w:cols w:space="720"/>
          <w:docGrid w:linePitch="360"/>
        </w:sectPr>
      </w:pPr>
    </w:p>
    <w:p w14:paraId="465DA266" w14:textId="77777777" w:rsidR="004A6D5C" w:rsidRPr="0070006A" w:rsidRDefault="004A6D5C" w:rsidP="004A6D5C">
      <w:pPr>
        <w:spacing w:after="160" w:line="278" w:lineRule="auto"/>
        <w:rPr>
          <w:rFonts w:ascii="Helvetica" w:hAnsi="Helvetica"/>
        </w:rPr>
      </w:pPr>
      <w:r w:rsidRPr="0070006A">
        <w:rPr>
          <w:rFonts w:ascii="Helvetica" w:hAnsi="Helvetica"/>
          <w:noProof/>
          <w14:ligatures w14:val="standardContextual"/>
        </w:rPr>
        <w:lastRenderedPageBreak/>
        <w:drawing>
          <wp:inline distT="0" distB="0" distL="0" distR="0" wp14:anchorId="54C36C82" wp14:editId="68269EDA">
            <wp:extent cx="8203324" cy="4389755"/>
            <wp:effectExtent l="0" t="0" r="1270" b="4445"/>
            <wp:docPr id="1536960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60666" name="Picture 15369606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13269" cy="4395077"/>
                    </a:xfrm>
                    <a:prstGeom prst="rect">
                      <a:avLst/>
                    </a:prstGeom>
                  </pic:spPr>
                </pic:pic>
              </a:graphicData>
            </a:graphic>
          </wp:inline>
        </w:drawing>
      </w:r>
    </w:p>
    <w:p w14:paraId="112C0B82" w14:textId="77777777" w:rsidR="004A6D5C" w:rsidRPr="0070006A" w:rsidRDefault="004A6D5C" w:rsidP="004A6D5C">
      <w:pPr>
        <w:jc w:val="both"/>
        <w:rPr>
          <w:rFonts w:ascii="Helvetica" w:hAnsi="Helvetica"/>
        </w:rPr>
        <w:sectPr w:rsidR="004A6D5C" w:rsidRPr="0070006A" w:rsidSect="004A6D5C">
          <w:pgSz w:w="15840" w:h="12240" w:orient="landscape"/>
          <w:pgMar w:top="1080" w:right="1440" w:bottom="1080" w:left="1440" w:header="720" w:footer="720" w:gutter="0"/>
          <w:lnNumType w:countBy="1" w:restart="continuous"/>
          <w:cols w:space="720"/>
          <w:docGrid w:linePitch="360"/>
        </w:sectPr>
      </w:pPr>
      <w:r w:rsidRPr="0070006A">
        <w:rPr>
          <w:rFonts w:ascii="Helvetica" w:hAnsi="Helvetica"/>
          <w:b/>
          <w:bCs/>
          <w:sz w:val="22"/>
          <w:szCs w:val="22"/>
        </w:rPr>
        <w:t>Supplementary Figure 5</w:t>
      </w:r>
      <w:r w:rsidRPr="0070006A">
        <w:rPr>
          <w:rFonts w:ascii="Helvetica" w:hAnsi="Helvetica"/>
          <w:sz w:val="22"/>
          <w:szCs w:val="22"/>
        </w:rPr>
        <w:t xml:space="preserve">. </w:t>
      </w:r>
      <w:r w:rsidRPr="00E7346F">
        <w:rPr>
          <w:rFonts w:ascii="Helvetica" w:hAnsi="Helvetica"/>
          <w:b/>
          <w:bCs/>
          <w:sz w:val="22"/>
          <w:szCs w:val="22"/>
        </w:rPr>
        <w:t>Characterization of WRN inhibitor-resistant cell lines.</w:t>
      </w:r>
      <w:r w:rsidRPr="0070006A">
        <w:rPr>
          <w:rFonts w:ascii="Helvetica" w:hAnsi="Helvetica"/>
        </w:rPr>
        <w:t xml:space="preserve"> </w:t>
      </w:r>
      <w:r w:rsidRPr="00E7346F">
        <w:rPr>
          <w:rFonts w:ascii="Helvetica" w:hAnsi="Helvetica"/>
          <w:b/>
          <w:bCs/>
          <w:sz w:val="22"/>
          <w:szCs w:val="22"/>
        </w:rPr>
        <w:t>(a)</w:t>
      </w:r>
      <w:r w:rsidRPr="0070006A">
        <w:rPr>
          <w:rFonts w:ascii="Helvetica" w:hAnsi="Helvetica"/>
          <w:sz w:val="22"/>
          <w:szCs w:val="22"/>
        </w:rPr>
        <w:t xml:space="preserve"> The IC</w:t>
      </w:r>
      <w:r w:rsidRPr="0070006A">
        <w:rPr>
          <w:rFonts w:ascii="Helvetica" w:hAnsi="Helvetica"/>
          <w:sz w:val="22"/>
          <w:szCs w:val="22"/>
          <w:vertAlign w:val="subscript"/>
        </w:rPr>
        <w:t>50</w:t>
      </w:r>
      <w:r w:rsidRPr="0070006A">
        <w:rPr>
          <w:rFonts w:ascii="Helvetica" w:hAnsi="Helvetica"/>
          <w:sz w:val="22"/>
          <w:szCs w:val="22"/>
        </w:rPr>
        <w:t xml:space="preserve"> values were estimated from the data shown in Fig. 4b using a variable slope four-parameter fit (left table). For the estimation of the IC</w:t>
      </w:r>
      <w:r w:rsidRPr="0070006A">
        <w:rPr>
          <w:rFonts w:ascii="Helvetica" w:hAnsi="Helvetica"/>
          <w:sz w:val="22"/>
          <w:szCs w:val="22"/>
          <w:vertAlign w:val="subscript"/>
        </w:rPr>
        <w:t>50</w:t>
      </w:r>
      <w:r w:rsidRPr="0070006A">
        <w:rPr>
          <w:rFonts w:ascii="Helvetica" w:hAnsi="Helvetica"/>
          <w:sz w:val="22"/>
          <w:szCs w:val="22"/>
        </w:rPr>
        <w:t xml:space="preserve"> values of the parental HCT116 cell line, survival curves after low doses of WRN inhibitors were used (middle and right panels, n=3). </w:t>
      </w:r>
      <w:r w:rsidRPr="00E7346F">
        <w:rPr>
          <w:rFonts w:ascii="Helvetica" w:hAnsi="Helvetica"/>
          <w:b/>
          <w:bCs/>
          <w:sz w:val="22"/>
          <w:szCs w:val="22"/>
        </w:rPr>
        <w:t>(b)</w:t>
      </w:r>
      <w:r w:rsidRPr="00E7346F">
        <w:rPr>
          <w:rFonts w:ascii="Helvetica" w:hAnsi="Helvetica"/>
          <w:sz w:val="22"/>
          <w:szCs w:val="22"/>
        </w:rPr>
        <w:t xml:space="preserve"> </w:t>
      </w:r>
      <w:r w:rsidRPr="0070006A">
        <w:rPr>
          <w:rFonts w:ascii="Helvetica" w:hAnsi="Helvetica"/>
          <w:sz w:val="22"/>
          <w:szCs w:val="22"/>
        </w:rPr>
        <w:t>Identification of WRN mutations in WRNi</w:t>
      </w:r>
      <w:r w:rsidRPr="0070006A">
        <w:rPr>
          <w:rFonts w:ascii="Helvetica" w:hAnsi="Helvetica"/>
          <w:sz w:val="22"/>
          <w:szCs w:val="22"/>
          <w:vertAlign w:val="superscript"/>
        </w:rPr>
        <w:t>R</w:t>
      </w:r>
      <w:r w:rsidRPr="0070006A">
        <w:rPr>
          <w:rFonts w:ascii="Helvetica" w:hAnsi="Helvetica"/>
          <w:sz w:val="22"/>
          <w:szCs w:val="22"/>
        </w:rPr>
        <w:t xml:space="preserve"> cell lines by whole-exome sequencing. The images show read alignments on </w:t>
      </w:r>
      <w:r>
        <w:rPr>
          <w:rFonts w:ascii="Helvetica" w:hAnsi="Helvetica"/>
          <w:sz w:val="22"/>
          <w:szCs w:val="22"/>
        </w:rPr>
        <w:t xml:space="preserve">the </w:t>
      </w:r>
      <w:r w:rsidRPr="0070006A">
        <w:rPr>
          <w:rFonts w:ascii="Helvetica" w:hAnsi="Helvetica"/>
          <w:sz w:val="22"/>
          <w:szCs w:val="22"/>
        </w:rPr>
        <w:t xml:space="preserve">hg38 reference genome using the IGV software, confirming that the identified variants were absent from the parental HCT116 cell line (see also </w:t>
      </w:r>
      <w:r w:rsidRPr="00E7346F">
        <w:rPr>
          <w:rFonts w:ascii="Helvetica" w:hAnsi="Helvetica"/>
          <w:b/>
          <w:bCs/>
          <w:sz w:val="22"/>
          <w:szCs w:val="22"/>
        </w:rPr>
        <w:t>Supplementary Table 2</w:t>
      </w:r>
      <w:r w:rsidRPr="0070006A">
        <w:rPr>
          <w:rFonts w:ascii="Helvetica" w:hAnsi="Helvetica"/>
          <w:sz w:val="22"/>
          <w:szCs w:val="22"/>
        </w:rPr>
        <w:t xml:space="preserve">). </w:t>
      </w:r>
      <w:r w:rsidRPr="00E7346F">
        <w:rPr>
          <w:rFonts w:ascii="Helvetica" w:hAnsi="Helvetica"/>
          <w:b/>
          <w:bCs/>
          <w:sz w:val="22"/>
          <w:szCs w:val="22"/>
        </w:rPr>
        <w:t>(c)</w:t>
      </w:r>
      <w:r w:rsidRPr="0070006A">
        <w:rPr>
          <w:rFonts w:ascii="Helvetica" w:hAnsi="Helvetica"/>
          <w:sz w:val="22"/>
          <w:szCs w:val="22"/>
        </w:rPr>
        <w:t xml:space="preserve"> The table recapitulates the identified CDS mutations and their consequences at the protein level. Of note, WRNi</w:t>
      </w:r>
      <w:r w:rsidRPr="0070006A">
        <w:rPr>
          <w:rFonts w:ascii="Helvetica" w:hAnsi="Helvetica"/>
          <w:sz w:val="22"/>
          <w:szCs w:val="22"/>
          <w:vertAlign w:val="superscript"/>
        </w:rPr>
        <w:t>R</w:t>
      </w:r>
      <w:r w:rsidRPr="0070006A">
        <w:rPr>
          <w:rFonts w:ascii="Helvetica" w:hAnsi="Helvetica"/>
          <w:sz w:val="22"/>
          <w:szCs w:val="22"/>
        </w:rPr>
        <w:t xml:space="preserve"> #2 and #5 shared the same two mutations, both on the same allele, although the two cell lines were established independently. Protein structures were visualized using UCSF ChimeraX software based on PDB structure 8PFO and PDB structure 7GQU, representing the interaction between WRN and HRO761 and WRN and VVD214, respectively. WRN protein is represented in gray in both panels, while interacting molecules are shown in turquoise for HRO761 (left panel) and yellow for VVD214 (right panel). Residues mutated in resistant cell lines are highlighted in dark blue. Predicted contact sites between WRN and molecules are indicated by red dots. Interactions between </w:t>
      </w:r>
      <w:r w:rsidRPr="0070006A">
        <w:rPr>
          <w:rFonts w:ascii="Helvetica" w:hAnsi="Helvetica"/>
          <w:sz w:val="22"/>
          <w:szCs w:val="22"/>
        </w:rPr>
        <w:lastRenderedPageBreak/>
        <w:t xml:space="preserve">residues separated by fewer than 90 amino acids in the primary sequence were excluded from the contact analysis. </w:t>
      </w:r>
      <w:r w:rsidRPr="00E7346F">
        <w:rPr>
          <w:rFonts w:ascii="Helvetica" w:hAnsi="Helvetica"/>
          <w:b/>
          <w:bCs/>
          <w:sz w:val="22"/>
          <w:szCs w:val="22"/>
        </w:rPr>
        <w:t>(d)</w:t>
      </w:r>
      <w:r w:rsidRPr="0070006A">
        <w:rPr>
          <w:rFonts w:ascii="Helvetica" w:hAnsi="Helvetica"/>
          <w:sz w:val="22"/>
          <w:szCs w:val="22"/>
        </w:rPr>
        <w:t xml:space="preserve"> WB analysis of WRN protein after treatment with 5 </w:t>
      </w:r>
      <w:r w:rsidRPr="0070006A">
        <w:rPr>
          <w:rFonts w:ascii="Helvetica" w:hAnsi="Helvetica"/>
          <w:sz w:val="22"/>
          <w:szCs w:val="22"/>
        </w:rPr>
        <w:sym w:font="Symbol" w:char="F06D"/>
      </w:r>
      <w:r w:rsidRPr="0070006A">
        <w:rPr>
          <w:rFonts w:ascii="Helvetica" w:hAnsi="Helvetica"/>
          <w:sz w:val="22"/>
          <w:szCs w:val="22"/>
        </w:rPr>
        <w:t xml:space="preserve">M HRO761 or VVD214 for 24 </w:t>
      </w:r>
      <w:r>
        <w:rPr>
          <w:rFonts w:ascii="Helvetica" w:hAnsi="Helvetica"/>
          <w:sz w:val="22"/>
          <w:szCs w:val="22"/>
        </w:rPr>
        <w:t>hours</w:t>
      </w:r>
      <w:r w:rsidRPr="0070006A">
        <w:rPr>
          <w:rFonts w:ascii="Helvetica" w:hAnsi="Helvetica"/>
          <w:sz w:val="22"/>
          <w:szCs w:val="22"/>
        </w:rPr>
        <w:t xml:space="preserve">. The same volume of DMSO was used for mock-treated conditions. </w:t>
      </w:r>
      <w:r w:rsidRPr="0070006A">
        <w:rPr>
          <w:rFonts w:ascii="Helvetica" w:hAnsi="Helvetica"/>
          <w:sz w:val="22"/>
          <w:szCs w:val="22"/>
        </w:rPr>
        <w:sym w:font="Symbol" w:char="F061"/>
      </w:r>
      <w:r w:rsidRPr="0070006A">
        <w:rPr>
          <w:rFonts w:ascii="Helvetica" w:hAnsi="Helvetica"/>
          <w:sz w:val="22"/>
          <w:szCs w:val="22"/>
        </w:rPr>
        <w:t xml:space="preserve">-tubulin was used as a loading control. Histograms showed the quantification of WRN normalized to </w:t>
      </w:r>
      <w:r w:rsidRPr="0070006A">
        <w:rPr>
          <w:rFonts w:ascii="Helvetica" w:hAnsi="Helvetica"/>
          <w:sz w:val="22"/>
          <w:szCs w:val="22"/>
        </w:rPr>
        <w:sym w:font="Symbol" w:char="F061"/>
      </w:r>
      <w:r w:rsidRPr="0070006A">
        <w:rPr>
          <w:rFonts w:ascii="Helvetica" w:hAnsi="Helvetica"/>
          <w:sz w:val="22"/>
          <w:szCs w:val="22"/>
        </w:rPr>
        <w:t xml:space="preserve">-tubulin and represented as a percentage of DMSO-treated cells from 2 independent experiments. </w:t>
      </w:r>
      <w:r w:rsidRPr="00E7346F">
        <w:rPr>
          <w:rFonts w:ascii="Helvetica" w:hAnsi="Helvetica"/>
          <w:b/>
          <w:bCs/>
          <w:sz w:val="22"/>
          <w:szCs w:val="22"/>
        </w:rPr>
        <w:t>(e)</w:t>
      </w:r>
      <w:r w:rsidRPr="0070006A">
        <w:rPr>
          <w:rFonts w:ascii="Helvetica" w:hAnsi="Helvetica"/>
          <w:sz w:val="22"/>
          <w:szCs w:val="22"/>
        </w:rPr>
        <w:t xml:space="preserve"> Clonogenic survival assay of HCT116 and WRNi</w:t>
      </w:r>
      <w:r w:rsidRPr="0070006A">
        <w:rPr>
          <w:rFonts w:ascii="Helvetica" w:hAnsi="Helvetica"/>
          <w:sz w:val="22"/>
          <w:szCs w:val="22"/>
          <w:vertAlign w:val="superscript"/>
        </w:rPr>
        <w:t>R</w:t>
      </w:r>
      <w:r w:rsidRPr="0070006A">
        <w:rPr>
          <w:rFonts w:ascii="Helvetica" w:hAnsi="Helvetica"/>
          <w:sz w:val="22"/>
          <w:szCs w:val="22"/>
        </w:rPr>
        <w:t xml:space="preserve"> cell lines following depletion of WRN by RNA interference. Representative images of crystal violet-stained colonies are shown. WB analysis of WRN protein confirmed the efficiency of the siRNA directed against </w:t>
      </w:r>
      <w:r w:rsidRPr="0070006A">
        <w:rPr>
          <w:rFonts w:ascii="Helvetica" w:hAnsi="Helvetica"/>
          <w:i/>
          <w:iCs/>
          <w:sz w:val="22"/>
          <w:szCs w:val="22"/>
        </w:rPr>
        <w:t>WRN</w:t>
      </w:r>
      <w:r w:rsidRPr="0070006A">
        <w:rPr>
          <w:rFonts w:ascii="Helvetica" w:hAnsi="Helvetica"/>
          <w:sz w:val="22"/>
          <w:szCs w:val="22"/>
        </w:rPr>
        <w:t xml:space="preserve"> (siWRN). </w:t>
      </w:r>
      <w:r w:rsidRPr="0070006A">
        <w:rPr>
          <w:rFonts w:ascii="Helvetica" w:hAnsi="Helvetica"/>
          <w:sz w:val="22"/>
          <w:szCs w:val="22"/>
        </w:rPr>
        <w:sym w:font="Symbol" w:char="F061"/>
      </w:r>
      <w:r w:rsidRPr="0070006A">
        <w:rPr>
          <w:rFonts w:ascii="Helvetica" w:hAnsi="Helvetica"/>
          <w:sz w:val="22"/>
          <w:szCs w:val="22"/>
        </w:rPr>
        <w:t>-tubulin was used as a loading control</w:t>
      </w:r>
      <w:r>
        <w:rPr>
          <w:rFonts w:ascii="Helvetica" w:hAnsi="Helvetica"/>
          <w:sz w:val="22"/>
          <w:szCs w:val="22"/>
        </w:rPr>
        <w:t>.</w:t>
      </w:r>
    </w:p>
    <w:p w14:paraId="0C01A39F"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5C"/>
    <w:rsid w:val="000C4033"/>
    <w:rsid w:val="00173ED8"/>
    <w:rsid w:val="002F50B1"/>
    <w:rsid w:val="004A6D5C"/>
    <w:rsid w:val="004B42CB"/>
    <w:rsid w:val="005F2B46"/>
    <w:rsid w:val="006E1731"/>
    <w:rsid w:val="00866D74"/>
    <w:rsid w:val="00882A73"/>
    <w:rsid w:val="00906905"/>
    <w:rsid w:val="0095305D"/>
    <w:rsid w:val="00B10170"/>
    <w:rsid w:val="00B260B7"/>
    <w:rsid w:val="00B85331"/>
    <w:rsid w:val="00C94D66"/>
    <w:rsid w:val="00DE7E69"/>
    <w:rsid w:val="00E023F9"/>
    <w:rsid w:val="00F974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D179"/>
  <w15:chartTrackingRefBased/>
  <w15:docId w15:val="{B01F800A-21E0-4BB6-971B-7E9A26CD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D5C"/>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4A6D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4A6D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4A6D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4A6D5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4A6D5C"/>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4A6D5C"/>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4A6D5C"/>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4A6D5C"/>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4A6D5C"/>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D5C"/>
    <w:rPr>
      <w:rFonts w:eastAsiaTheme="majorEastAsia" w:cstheme="majorBidi"/>
      <w:color w:val="272727" w:themeColor="text1" w:themeTint="D8"/>
    </w:rPr>
  </w:style>
  <w:style w:type="paragraph" w:styleId="Title">
    <w:name w:val="Title"/>
    <w:basedOn w:val="Normal"/>
    <w:next w:val="Normal"/>
    <w:link w:val="TitleChar"/>
    <w:uiPriority w:val="10"/>
    <w:qFormat/>
    <w:rsid w:val="004A6D5C"/>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4A6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D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4A6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D5C"/>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4A6D5C"/>
    <w:rPr>
      <w:i/>
      <w:iCs/>
      <w:color w:val="404040" w:themeColor="text1" w:themeTint="BF"/>
    </w:rPr>
  </w:style>
  <w:style w:type="paragraph" w:styleId="ListParagraph">
    <w:name w:val="List Paragraph"/>
    <w:basedOn w:val="Normal"/>
    <w:uiPriority w:val="34"/>
    <w:qFormat/>
    <w:rsid w:val="004A6D5C"/>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4A6D5C"/>
    <w:rPr>
      <w:i/>
      <w:iCs/>
      <w:color w:val="0F4761" w:themeColor="accent1" w:themeShade="BF"/>
    </w:rPr>
  </w:style>
  <w:style w:type="paragraph" w:styleId="IntenseQuote">
    <w:name w:val="Intense Quote"/>
    <w:basedOn w:val="Normal"/>
    <w:next w:val="Normal"/>
    <w:link w:val="IntenseQuoteChar"/>
    <w:uiPriority w:val="30"/>
    <w:qFormat/>
    <w:rsid w:val="004A6D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4A6D5C"/>
    <w:rPr>
      <w:i/>
      <w:iCs/>
      <w:color w:val="0F4761" w:themeColor="accent1" w:themeShade="BF"/>
    </w:rPr>
  </w:style>
  <w:style w:type="character" w:styleId="IntenseReference">
    <w:name w:val="Intense Reference"/>
    <w:basedOn w:val="DefaultParagraphFont"/>
    <w:uiPriority w:val="32"/>
    <w:qFormat/>
    <w:rsid w:val="004A6D5C"/>
    <w:rPr>
      <w:b/>
      <w:bCs/>
      <w:smallCaps/>
      <w:color w:val="0F4761" w:themeColor="accent1" w:themeShade="BF"/>
      <w:spacing w:val="5"/>
    </w:rPr>
  </w:style>
  <w:style w:type="character" w:styleId="LineNumber">
    <w:name w:val="line number"/>
    <w:basedOn w:val="DefaultParagraphFont"/>
    <w:uiPriority w:val="99"/>
    <w:semiHidden/>
    <w:unhideWhenUsed/>
    <w:rsid w:val="004A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2026-09-28T05:00:00Z</dcterms:created>
  <dcterms:modified xsi:type="dcterms:W3CDTF">2026-09-28T05:00:00Z</dcterms:modified>
</cp:coreProperties>
</file>