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7222" w14:textId="757694C2" w:rsidR="00646351" w:rsidRPr="00E91567" w:rsidRDefault="00323881" w:rsidP="00E9156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91567">
        <w:rPr>
          <w:rFonts w:ascii="Times New Roman" w:hAnsi="Times New Roman" w:cs="Times New Roman"/>
          <w:sz w:val="24"/>
          <w:szCs w:val="24"/>
          <w:lang w:val="en-US"/>
        </w:rPr>
        <w:t>Supplementary Information</w:t>
      </w:r>
    </w:p>
    <w:p w14:paraId="10085FF4" w14:textId="7F849852" w:rsidR="00E91567" w:rsidRPr="00E91567" w:rsidRDefault="00E91567" w:rsidP="00E915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en-ZA"/>
        </w:rPr>
      </w:pPr>
      <w:proofErr w:type="spellStart"/>
      <w:r w:rsidRPr="00E91567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BiOBr</w:t>
      </w:r>
      <w:proofErr w:type="spellEnd"/>
      <w:r w:rsidRPr="00E91567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>/MoWO</w:t>
      </w:r>
      <w:r w:rsidRPr="00E91567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ZA"/>
        </w:rPr>
        <w:t>4</w:t>
      </w:r>
      <w:r w:rsidRPr="00E91567">
        <w:rPr>
          <w:rFonts w:ascii="Times New Roman" w:eastAsia="Times New Roman" w:hAnsi="Times New Roman" w:cs="Times New Roman"/>
          <w:b/>
          <w:bCs/>
          <w:sz w:val="24"/>
          <w:szCs w:val="24"/>
          <w:lang w:eastAsia="en-ZA"/>
        </w:rPr>
        <w:t xml:space="preserve"> p-n heterojunction photoanode for photodegradation of norfloxacin in water</w:t>
      </w:r>
    </w:p>
    <w:p w14:paraId="2C55C698" w14:textId="77777777" w:rsidR="00E91567" w:rsidRPr="00E91567" w:rsidRDefault="00E91567" w:rsidP="00E91567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</w:pP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Foluke O.G Olorundare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  <w:t>1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, Omotayo A. Arotiba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  <w:t>1, 2*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, Duduzile Nkosi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  <w:t>1,2*</w:t>
      </w:r>
    </w:p>
    <w:p w14:paraId="71B07C79" w14:textId="77777777" w:rsidR="00E91567" w:rsidRPr="00E91567" w:rsidRDefault="00E91567" w:rsidP="00E91567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</w:p>
    <w:p w14:paraId="1AA42432" w14:textId="1ED337F3" w:rsidR="00E91567" w:rsidRPr="00E91567" w:rsidRDefault="00E91567" w:rsidP="00E91567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C064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  <w:t>1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Department </w:t>
      </w:r>
      <w:proofErr w:type="gramStart"/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of  Chemical</w:t>
      </w:r>
      <w:proofErr w:type="gramEnd"/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Sciences, University of Johannesburg, South Africa</w:t>
      </w:r>
    </w:p>
    <w:p w14:paraId="260D5DEB" w14:textId="2816209F" w:rsidR="00E91567" w:rsidRPr="00E91567" w:rsidRDefault="00E91567" w:rsidP="00E91567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C064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ZA"/>
        </w:rPr>
        <w:t>2</w:t>
      </w:r>
      <w:r w:rsidRPr="00E91567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Centre for Nanomaterials Science Research, University of Johannesburg, South Africa</w:t>
      </w:r>
    </w:p>
    <w:p w14:paraId="442F6A8E" w14:textId="3B2B2B62" w:rsidR="004D1DDC" w:rsidRPr="006F1088" w:rsidRDefault="00E91567" w:rsidP="001C0641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567">
        <w:rPr>
          <w:rFonts w:ascii="Times New Roman" w:eastAsia="Calibri" w:hAnsi="Times New Roman" w:cs="Times New Roman"/>
          <w:b/>
          <w:bCs/>
          <w:sz w:val="24"/>
          <w:szCs w:val="24"/>
        </w:rPr>
        <w:t>*</w:t>
      </w:r>
      <w:r w:rsidRPr="00E91567">
        <w:rPr>
          <w:rFonts w:ascii="Times New Roman" w:eastAsia="Calibri" w:hAnsi="Times New Roman" w:cs="Times New Roman"/>
          <w:sz w:val="24"/>
          <w:szCs w:val="24"/>
        </w:rPr>
        <w:t>Corresponding author: dnkosi@uj.ac.za</w:t>
      </w:r>
    </w:p>
    <w:p w14:paraId="2E24A73B" w14:textId="654972FD" w:rsidR="00323881" w:rsidRDefault="004D1DD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8482CFC" wp14:editId="5576519E">
            <wp:extent cx="5505450" cy="3329729"/>
            <wp:effectExtent l="0" t="0" r="0" b="4445"/>
            <wp:docPr id="706080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981" cy="3337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B9DDD" w14:textId="37DFC69D" w:rsidR="00CC6274" w:rsidRPr="006F1088" w:rsidRDefault="00CC6274">
      <w:pPr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CC62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S1. </w:t>
      </w:r>
      <w:r w:rsidRPr="006F1088">
        <w:rPr>
          <w:rFonts w:ascii="Times New Roman" w:hAnsi="Times New Roman" w:cs="Times New Roman"/>
          <w:sz w:val="24"/>
          <w:szCs w:val="24"/>
          <w:lang w:val="en-US"/>
        </w:rPr>
        <w:t xml:space="preserve">Elemental mapping of </w:t>
      </w:r>
      <w:proofErr w:type="spellStart"/>
      <w:r w:rsidRPr="006F1088">
        <w:rPr>
          <w:rFonts w:ascii="Times New Roman" w:hAnsi="Times New Roman" w:cs="Times New Roman"/>
          <w:sz w:val="24"/>
          <w:szCs w:val="24"/>
          <w:lang w:val="en-US"/>
        </w:rPr>
        <w:t>BiOBr</w:t>
      </w:r>
      <w:proofErr w:type="spellEnd"/>
      <w:r w:rsidRPr="006F108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6F1088">
        <w:rPr>
          <w:rFonts w:ascii="Times New Roman" w:hAnsi="Times New Roman" w:cs="Times New Roman"/>
          <w:sz w:val="24"/>
          <w:szCs w:val="24"/>
          <w:lang w:val="en-US"/>
        </w:rPr>
        <w:t>MoWO</w:t>
      </w:r>
      <w:proofErr w:type="spellEnd"/>
      <w:r w:rsidR="001C0641" w:rsidRPr="00137A79">
        <w:rPr>
          <w:rFonts w:ascii="Arial" w:hAnsi="Arial" w:cs="Arial"/>
          <w:vertAlign w:val="subscript"/>
        </w:rPr>
        <w:t>4</w:t>
      </w:r>
    </w:p>
    <w:p w14:paraId="513F8116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705248AA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532402CD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4DCB3A0D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06EDA353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2C311200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2EE5430D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302400F0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1A39550C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6CF5B911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38916014" w14:textId="77777777" w:rsid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</w:pPr>
    </w:p>
    <w:p w14:paraId="79B744BA" w14:textId="7A0EBD44" w:rsidR="006F1088" w:rsidRPr="00660B55" w:rsidRDefault="006F1088" w:rsidP="00660B5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 w:rsidRPr="00660B55">
        <w:rPr>
          <w:rFonts w:ascii="Arial" w:hAnsi="Arial" w:cs="Arial"/>
          <w:shd w:val="clear" w:color="auto" w:fill="FFFFFF"/>
        </w:rPr>
        <w:lastRenderedPageBreak/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, MoWO</w:t>
      </w:r>
      <w:r w:rsidRPr="00660B55">
        <w:rPr>
          <w:rFonts w:ascii="Arial" w:hAnsi="Arial" w:cs="Arial"/>
          <w:shd w:val="clear" w:color="auto" w:fill="FFFFFF"/>
          <w:vertAlign w:val="subscript"/>
        </w:rPr>
        <w:t>4,</w:t>
      </w:r>
      <w:r w:rsidRPr="00660B55">
        <w:rPr>
          <w:rFonts w:ascii="Arial" w:hAnsi="Arial" w:cs="Arial"/>
          <w:shd w:val="clear" w:color="auto" w:fill="FFFFFF"/>
        </w:rPr>
        <w:t xml:space="preserve"> and</w:t>
      </w:r>
      <w:r w:rsidRPr="00660B55">
        <w:rPr>
          <w:rFonts w:ascii="Arial" w:hAnsi="Arial" w:cs="Arial"/>
          <w:shd w:val="clear" w:color="auto" w:fill="FFFFFF"/>
          <w:vertAlign w:val="subscript"/>
        </w:rPr>
        <w:t xml:space="preserve">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/MoWO</w:t>
      </w:r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 xml:space="preserve"> heterojunction BET analysis/studies reveal the surface area enrichment stemming from the successful complete development of the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/MoWO</w:t>
      </w:r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 xml:space="preserve"> photocatalyst heterojunction. The surface area of 25.31 m</w:t>
      </w:r>
      <w:r w:rsidRPr="00660B55">
        <w:rPr>
          <w:rFonts w:ascii="Arial" w:hAnsi="Arial" w:cs="Arial"/>
          <w:shd w:val="clear" w:color="auto" w:fill="FFFFFF"/>
          <w:vertAlign w:val="superscript"/>
        </w:rPr>
        <w:t>2</w:t>
      </w:r>
      <w:r w:rsidRPr="00660B55">
        <w:rPr>
          <w:rFonts w:ascii="Arial" w:hAnsi="Arial" w:cs="Arial"/>
          <w:shd w:val="clear" w:color="auto" w:fill="FFFFFF"/>
        </w:rPr>
        <w:t> g</w:t>
      </w:r>
      <w:r w:rsidRPr="00660B55">
        <w:rPr>
          <w:rFonts w:ascii="Arial" w:hAnsi="Arial" w:cs="Arial"/>
          <w:shd w:val="clear" w:color="auto" w:fill="FFFFFF"/>
          <w:vertAlign w:val="superscript"/>
        </w:rPr>
        <w:t>−1</w:t>
      </w:r>
      <w:r w:rsidRPr="00660B55">
        <w:rPr>
          <w:rFonts w:ascii="Arial" w:hAnsi="Arial" w:cs="Arial"/>
          <w:shd w:val="clear" w:color="auto" w:fill="FFFFFF"/>
        </w:rPr>
        <w:t xml:space="preserve"> was obtained for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/MoWO</w:t>
      </w:r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>, hence solidifying the surface area enrichment displayed by the heterojunction in comparison to 24.38 m</w:t>
      </w:r>
      <w:r w:rsidRPr="00660B55">
        <w:rPr>
          <w:rFonts w:ascii="Arial" w:hAnsi="Arial" w:cs="Arial"/>
          <w:shd w:val="clear" w:color="auto" w:fill="FFFFFF"/>
          <w:vertAlign w:val="superscript"/>
        </w:rPr>
        <w:t>2</w:t>
      </w:r>
      <w:r w:rsidRPr="00660B55">
        <w:rPr>
          <w:rFonts w:ascii="Arial" w:hAnsi="Arial" w:cs="Arial"/>
          <w:shd w:val="clear" w:color="auto" w:fill="FFFFFF"/>
        </w:rPr>
        <w:t> g</w:t>
      </w:r>
      <w:r w:rsidRPr="00660B55">
        <w:rPr>
          <w:rFonts w:ascii="Arial" w:hAnsi="Arial" w:cs="Arial"/>
          <w:shd w:val="clear" w:color="auto" w:fill="FFFFFF"/>
          <w:vertAlign w:val="superscript"/>
        </w:rPr>
        <w:t>−1</w:t>
      </w:r>
      <w:r w:rsidRPr="00660B55">
        <w:rPr>
          <w:rFonts w:ascii="Arial" w:hAnsi="Arial" w:cs="Arial"/>
          <w:shd w:val="clear" w:color="auto" w:fill="FFFFFF"/>
        </w:rPr>
        <w:t>  and 22.78 m</w:t>
      </w:r>
      <w:r w:rsidRPr="00660B55">
        <w:rPr>
          <w:rFonts w:ascii="Arial" w:hAnsi="Arial" w:cs="Arial"/>
          <w:shd w:val="clear" w:color="auto" w:fill="FFFFFF"/>
          <w:vertAlign w:val="superscript"/>
        </w:rPr>
        <w:t>2</w:t>
      </w:r>
      <w:r w:rsidRPr="00660B55">
        <w:rPr>
          <w:rFonts w:ascii="Arial" w:hAnsi="Arial" w:cs="Arial"/>
          <w:shd w:val="clear" w:color="auto" w:fill="FFFFFF"/>
        </w:rPr>
        <w:t xml:space="preserve"> g</w:t>
      </w:r>
      <w:r w:rsidRPr="00660B55">
        <w:rPr>
          <w:rFonts w:ascii="Arial" w:hAnsi="Arial" w:cs="Arial"/>
          <w:shd w:val="clear" w:color="auto" w:fill="FFFFFF"/>
          <w:vertAlign w:val="superscript"/>
        </w:rPr>
        <w:t>−1</w:t>
      </w:r>
      <w:r w:rsidRPr="00660B55">
        <w:rPr>
          <w:rFonts w:ascii="Arial" w:hAnsi="Arial" w:cs="Arial"/>
          <w:shd w:val="clear" w:color="auto" w:fill="FFFFFF"/>
        </w:rPr>
        <w:t xml:space="preserve">  obtained for the </w:t>
      </w:r>
      <w:r w:rsidR="00660B55" w:rsidRPr="00660B55">
        <w:rPr>
          <w:rFonts w:ascii="Arial" w:hAnsi="Arial" w:cs="Arial"/>
          <w:shd w:val="clear" w:color="auto" w:fill="FFFFFF"/>
        </w:rPr>
        <w:t>pristine</w:t>
      </w:r>
      <w:r w:rsidRPr="00660B5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 xml:space="preserve"> and MoWO</w:t>
      </w:r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 xml:space="preserve">. </w:t>
      </w:r>
    </w:p>
    <w:p w14:paraId="06D48EFB" w14:textId="77777777" w:rsidR="006F1088" w:rsidRPr="00660B55" w:rsidRDefault="006F1088" w:rsidP="00660B5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hd w:val="clear" w:color="auto" w:fill="FFFFFF"/>
        </w:rPr>
      </w:pPr>
      <w:r w:rsidRPr="00660B55">
        <w:rPr>
          <w:rFonts w:ascii="Arial" w:hAnsi="Arial" w:cs="Arial"/>
          <w:shd w:val="clear" w:color="auto" w:fill="FFFFFF"/>
        </w:rPr>
        <w:t xml:space="preserve">Thus, the surface enrichment highlights the successful formation of the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/MoWO</w:t>
      </w:r>
      <w:proofErr w:type="gramStart"/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 xml:space="preserve">  heterojunction</w:t>
      </w:r>
      <w:proofErr w:type="gramEnd"/>
      <w:r w:rsidRPr="00660B55">
        <w:rPr>
          <w:rFonts w:ascii="Arial" w:hAnsi="Arial" w:cs="Arial"/>
          <w:shd w:val="clear" w:color="auto" w:fill="FFFFFF"/>
        </w:rPr>
        <w:t xml:space="preserve"> photocatalyst, imparting tremendous benefit to the photocatalytic process. However, the isotherms result from the N</w:t>
      </w:r>
      <w:r w:rsidRPr="00660B55">
        <w:rPr>
          <w:rFonts w:ascii="Arial" w:hAnsi="Arial" w:cs="Arial"/>
          <w:shd w:val="clear" w:color="auto" w:fill="FFFFFF"/>
          <w:vertAlign w:val="subscript"/>
        </w:rPr>
        <w:t>2</w:t>
      </w:r>
      <w:r w:rsidRPr="00660B55">
        <w:rPr>
          <w:rFonts w:ascii="Arial" w:hAnsi="Arial" w:cs="Arial"/>
          <w:shd w:val="clear" w:color="auto" w:fill="FFFFFF"/>
        </w:rPr>
        <w:t xml:space="preserve"> gas adsorption-desorption behaviour of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, MoWO</w:t>
      </w:r>
      <w:r w:rsidRPr="00660B55">
        <w:rPr>
          <w:rFonts w:ascii="Arial" w:hAnsi="Arial" w:cs="Arial"/>
          <w:shd w:val="clear" w:color="auto" w:fill="FFFFFF"/>
          <w:vertAlign w:val="subscript"/>
        </w:rPr>
        <w:t>4,</w:t>
      </w:r>
      <w:r w:rsidRPr="00660B55">
        <w:rPr>
          <w:rFonts w:ascii="Arial" w:hAnsi="Arial" w:cs="Arial"/>
          <w:shd w:val="clear" w:color="auto" w:fill="FFFFFF"/>
        </w:rPr>
        <w:t xml:space="preserve"> and</w:t>
      </w:r>
      <w:r w:rsidRPr="00660B55">
        <w:rPr>
          <w:rFonts w:ascii="Arial" w:hAnsi="Arial" w:cs="Arial"/>
          <w:shd w:val="clear" w:color="auto" w:fill="FFFFFF"/>
          <w:vertAlign w:val="subscript"/>
        </w:rPr>
        <w:t xml:space="preserve"> </w:t>
      </w:r>
      <w:proofErr w:type="spellStart"/>
      <w:r w:rsidRPr="00660B55">
        <w:rPr>
          <w:rFonts w:ascii="Arial" w:hAnsi="Arial" w:cs="Arial"/>
          <w:shd w:val="clear" w:color="auto" w:fill="FFFFFF"/>
        </w:rPr>
        <w:t>BiOBr</w:t>
      </w:r>
      <w:proofErr w:type="spellEnd"/>
      <w:r w:rsidRPr="00660B55">
        <w:rPr>
          <w:rFonts w:ascii="Arial" w:hAnsi="Arial" w:cs="Arial"/>
          <w:shd w:val="clear" w:color="auto" w:fill="FFFFFF"/>
        </w:rPr>
        <w:t>/MoWO</w:t>
      </w:r>
      <w:r w:rsidRPr="00660B55">
        <w:rPr>
          <w:rFonts w:ascii="Arial" w:hAnsi="Arial" w:cs="Arial"/>
          <w:shd w:val="clear" w:color="auto" w:fill="FFFFFF"/>
          <w:vertAlign w:val="subscript"/>
        </w:rPr>
        <w:t>4</w:t>
      </w:r>
      <w:r w:rsidRPr="00660B55">
        <w:rPr>
          <w:rFonts w:ascii="Arial" w:hAnsi="Arial" w:cs="Arial"/>
          <w:shd w:val="clear" w:color="auto" w:fill="FFFFFF"/>
        </w:rPr>
        <w:t xml:space="preserve"> in Fig. S2 exhibited a type IV pattern for all the photocatalysts. The hysteresis of the adsorption-desorption experimental data noted between </w:t>
      </w:r>
      <w:r w:rsidRPr="00660B55">
        <w:rPr>
          <w:rFonts w:ascii="Arial" w:hAnsi="Arial" w:cs="Arial"/>
          <w:i/>
          <w:iCs/>
          <w:shd w:val="clear" w:color="auto" w:fill="FFFFFF"/>
        </w:rPr>
        <w:t>p/p</w:t>
      </w:r>
      <w:r w:rsidRPr="00660B55">
        <w:rPr>
          <w:rFonts w:ascii="Arial" w:hAnsi="Arial" w:cs="Arial"/>
          <w:i/>
          <w:iCs/>
          <w:shd w:val="clear" w:color="auto" w:fill="FFFFFF"/>
          <w:vertAlign w:val="subscript"/>
        </w:rPr>
        <w:t>o</w:t>
      </w:r>
      <w:r w:rsidRPr="00660B55">
        <w:rPr>
          <w:rFonts w:ascii="Arial" w:hAnsi="Arial" w:cs="Arial"/>
          <w:shd w:val="clear" w:color="auto" w:fill="FFFFFF"/>
        </w:rPr>
        <w:t xml:space="preserve"> of 0.5-1.0 is typically of mesoporous materials by IUPAC classification.</w:t>
      </w:r>
    </w:p>
    <w:p w14:paraId="44227A36" w14:textId="77777777" w:rsidR="006F1088" w:rsidRPr="006F1088" w:rsidRDefault="006F1088">
      <w:pPr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</w:p>
    <w:p w14:paraId="7FE0363E" w14:textId="7AF21035" w:rsidR="00D76177" w:rsidRDefault="00D761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364B6E4" wp14:editId="3F82D037">
            <wp:extent cx="4016433" cy="3074400"/>
            <wp:effectExtent l="0" t="0" r="3175" b="0"/>
            <wp:docPr id="19710455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45553" name="Picture 19710455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433" cy="30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6361" w14:textId="2026CFDF" w:rsidR="00D76177" w:rsidRDefault="00D761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C6274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6F108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6F1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 analysis/studies of </w:t>
      </w:r>
      <w:proofErr w:type="spellStart"/>
      <w:r w:rsidR="006F1088">
        <w:rPr>
          <w:rFonts w:ascii="Times New Roman" w:hAnsi="Times New Roman" w:cs="Times New Roman"/>
          <w:sz w:val="24"/>
          <w:szCs w:val="24"/>
          <w:shd w:val="clear" w:color="auto" w:fill="FFFFFF"/>
        </w:rPr>
        <w:t>BiOBr</w:t>
      </w:r>
      <w:proofErr w:type="spellEnd"/>
      <w:r w:rsidR="006F1088">
        <w:rPr>
          <w:rFonts w:ascii="Times New Roman" w:hAnsi="Times New Roman" w:cs="Times New Roman"/>
          <w:sz w:val="24"/>
          <w:szCs w:val="24"/>
          <w:shd w:val="clear" w:color="auto" w:fill="FFFFFF"/>
        </w:rPr>
        <w:t>, MoWO</w:t>
      </w:r>
      <w:r w:rsidR="006F1088" w:rsidRPr="004E068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  <w:r w:rsidR="006F1088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,</w:t>
      </w:r>
      <w:r w:rsidR="006F1088" w:rsidRPr="00FA78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6F1088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 xml:space="preserve"> </w:t>
      </w:r>
      <w:proofErr w:type="spellStart"/>
      <w:r w:rsidR="006F1088">
        <w:rPr>
          <w:rFonts w:ascii="Times New Roman" w:hAnsi="Times New Roman" w:cs="Times New Roman"/>
          <w:sz w:val="24"/>
          <w:szCs w:val="24"/>
          <w:shd w:val="clear" w:color="auto" w:fill="FFFFFF"/>
        </w:rPr>
        <w:t>BiOBr</w:t>
      </w:r>
      <w:proofErr w:type="spellEnd"/>
      <w:r w:rsidR="006F1088">
        <w:rPr>
          <w:rFonts w:ascii="Times New Roman" w:hAnsi="Times New Roman" w:cs="Times New Roman"/>
          <w:sz w:val="24"/>
          <w:szCs w:val="24"/>
          <w:shd w:val="clear" w:color="auto" w:fill="FFFFFF"/>
        </w:rPr>
        <w:t>/MoWO</w:t>
      </w:r>
      <w:r w:rsidR="006F1088" w:rsidRPr="00F11D60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4</w:t>
      </w:r>
    </w:p>
    <w:p w14:paraId="49F82FF1" w14:textId="77777777" w:rsidR="00940299" w:rsidRDefault="00940299" w:rsidP="009402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E28128" w14:textId="77777777" w:rsidR="00940299" w:rsidRPr="00D76177" w:rsidRDefault="0094029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940299" w:rsidRPr="00D76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29"/>
    <w:rsid w:val="001C0641"/>
    <w:rsid w:val="001C6394"/>
    <w:rsid w:val="0026462B"/>
    <w:rsid w:val="00323881"/>
    <w:rsid w:val="004D1DDC"/>
    <w:rsid w:val="00646351"/>
    <w:rsid w:val="00660B55"/>
    <w:rsid w:val="006F1088"/>
    <w:rsid w:val="006F1B29"/>
    <w:rsid w:val="00781C54"/>
    <w:rsid w:val="00940299"/>
    <w:rsid w:val="00CC6274"/>
    <w:rsid w:val="00D76177"/>
    <w:rsid w:val="00DF02A6"/>
    <w:rsid w:val="00E9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31E5A6"/>
  <w15:chartTrackingRefBased/>
  <w15:docId w15:val="{28209448-74CE-49C7-A372-E79060E1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2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185</Words>
  <Characters>1265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FOLUKE OMOBOLA GRACE OLORNUDARE</dc:creator>
  <cp:keywords/>
  <dc:description/>
  <cp:lastModifiedBy>Nkosi, Duduzile</cp:lastModifiedBy>
  <cp:revision>3</cp:revision>
  <dcterms:created xsi:type="dcterms:W3CDTF">2026-05-27T12:59:00Z</dcterms:created>
  <dcterms:modified xsi:type="dcterms:W3CDTF">2026-06-04T11:59:00Z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8a5d18f0-5b9d-49a8-822e-cb2427f478e1</vt:lpwstr>
  </property>
  <property fmtid="{D5CDD505-2E9C-101B-9397-08002B2CF9AE}" pid="3" name="MSIP_Label_b0d31be4-bb77-46d3-b866-62153466896a_Enabled">
    <vt:lpwstr>true</vt:lpwstr>
  </property>
  <property fmtid="{D5CDD505-2E9C-101B-9397-08002B2CF9AE}" pid="4" name="MSIP_Label_b0d31be4-bb77-46d3-b866-62153466896a_SetDate">
    <vt:lpwstr>2026-05-27T09:50:20Z</vt:lpwstr>
  </property>
  <property fmtid="{D5CDD505-2E9C-101B-9397-08002B2CF9AE}" pid="5" name="MSIP_Label_b0d31be4-bb77-46d3-b866-62153466896a_Method">
    <vt:lpwstr>Standard</vt:lpwstr>
  </property>
  <property fmtid="{D5CDD505-2E9C-101B-9397-08002B2CF9AE}" pid="6" name="MSIP_Label_b0d31be4-bb77-46d3-b866-62153466896a_Name">
    <vt:lpwstr>Public</vt:lpwstr>
  </property>
  <property fmtid="{D5CDD505-2E9C-101B-9397-08002B2CF9AE}" pid="7" name="MSIP_Label_b0d31be4-bb77-46d3-b866-62153466896a_SiteId">
    <vt:lpwstr>fa785acd-36ef-41bc-8a94-89841327e045</vt:lpwstr>
  </property>
  <property fmtid="{D5CDD505-2E9C-101B-9397-08002B2CF9AE}" pid="8" name="MSIP_Label_b0d31be4-bb77-46d3-b866-62153466896a_ActionId">
    <vt:lpwstr>f267d3e1-3808-4773-a9d5-6775b6725254</vt:lpwstr>
  </property>
  <property fmtid="{D5CDD505-2E9C-101B-9397-08002B2CF9AE}" pid="9" name="MSIP_Label_b0d31be4-bb77-46d3-b866-62153466896a_ContentBits">
    <vt:lpwstr>0</vt:lpwstr>
  </property>
  <property fmtid="{D5CDD505-2E9C-101B-9397-08002B2CF9AE}" pid="10" name="MSIP_Label_b0d31be4-bb77-46d3-b866-62153466896a_Tag">
    <vt:lpwstr>10, 3, 0, 1</vt:lpwstr>
  </property>
</Properties>
</file>