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385EE" w14:textId="77777777" w:rsidR="00FA7FAC" w:rsidRDefault="00FA7FAC" w:rsidP="00FA7FAC">
      <w:pPr>
        <w:spacing w:line="360" w:lineRule="auto"/>
        <w:jc w:val="both"/>
        <w:rPr>
          <w:rFonts w:ascii="Times New Roman" w:hAnsi="Times New Roman" w:cs="Times New Roman"/>
          <w:b/>
          <w:bCs/>
          <w:sz w:val="20"/>
          <w:lang w:val="en-GB"/>
        </w:rPr>
      </w:pPr>
      <w:r w:rsidRPr="00323399">
        <w:rPr>
          <w:rFonts w:ascii="Times New Roman" w:hAnsi="Times New Roman" w:cs="Times New Roman"/>
          <w:b/>
          <w:bCs/>
          <w:sz w:val="20"/>
          <w:lang w:val="en-GB"/>
        </w:rPr>
        <w:t xml:space="preserve">Revisiting root morphological responses to arbuscular mycorrhizal fungal </w:t>
      </w:r>
      <w:r>
        <w:rPr>
          <w:rFonts w:ascii="Times New Roman" w:hAnsi="Times New Roman" w:cs="Times New Roman"/>
          <w:b/>
          <w:bCs/>
          <w:sz w:val="20"/>
          <w:lang w:val="en-GB"/>
        </w:rPr>
        <w:t xml:space="preserve">(AMF) </w:t>
      </w:r>
      <w:r w:rsidRPr="00323399">
        <w:rPr>
          <w:rFonts w:ascii="Times New Roman" w:hAnsi="Times New Roman" w:cs="Times New Roman"/>
          <w:b/>
          <w:bCs/>
          <w:sz w:val="20"/>
          <w:lang w:val="en-GB"/>
        </w:rPr>
        <w:t>inoculation: a global meta-analysis</w:t>
      </w:r>
    </w:p>
    <w:p w14:paraId="35430FF2" w14:textId="20A41419" w:rsidR="00CA1EB8" w:rsidRPr="00323399" w:rsidRDefault="00CA1EB8" w:rsidP="00FA7FAC">
      <w:pPr>
        <w:spacing w:line="360" w:lineRule="auto"/>
        <w:jc w:val="both"/>
        <w:rPr>
          <w:rFonts w:ascii="Times New Roman" w:hAnsi="Times New Roman" w:cs="Times New Roman"/>
          <w:b/>
          <w:bCs/>
          <w:sz w:val="20"/>
          <w:lang w:val="en-GB"/>
        </w:rPr>
      </w:pPr>
      <w:r>
        <w:rPr>
          <w:rFonts w:ascii="Times New Roman" w:hAnsi="Times New Roman" w:cs="Times New Roman"/>
          <w:b/>
          <w:bCs/>
          <w:sz w:val="20"/>
          <w:lang w:val="en-GB"/>
        </w:rPr>
        <w:t>Mycorrhiza</w:t>
      </w:r>
    </w:p>
    <w:p w14:paraId="7E1AF8E0" w14:textId="21D13DB8" w:rsidR="005B49F6" w:rsidRPr="00FD66E9" w:rsidRDefault="00991F92" w:rsidP="00170D2F">
      <w:pPr>
        <w:spacing w:line="360" w:lineRule="auto"/>
        <w:jc w:val="both"/>
        <w:rPr>
          <w:rFonts w:ascii="Times New Roman" w:hAnsi="Times New Roman" w:cs="Times New Roman"/>
          <w:sz w:val="20"/>
          <w:vertAlign w:val="superscript"/>
        </w:rPr>
      </w:pPr>
      <w:r w:rsidRPr="00FD66E9">
        <w:rPr>
          <w:rFonts w:ascii="Times New Roman" w:hAnsi="Times New Roman" w:cs="Times New Roman"/>
          <w:sz w:val="20"/>
          <w:lang w:val="en-GB"/>
        </w:rPr>
        <w:t xml:space="preserve">Authors: </w:t>
      </w:r>
      <w:r w:rsidR="005B49F6" w:rsidRPr="00FD66E9">
        <w:rPr>
          <w:rFonts w:ascii="Times New Roman" w:hAnsi="Times New Roman" w:cs="Times New Roman"/>
          <w:sz w:val="20"/>
          <w:lang w:val="en-GB"/>
        </w:rPr>
        <w:t>Sarkal Jyakhwa</w:t>
      </w:r>
      <w:r w:rsidR="005B49F6" w:rsidRPr="00FD66E9">
        <w:rPr>
          <w:rFonts w:ascii="Times New Roman" w:hAnsi="Times New Roman" w:cs="Times New Roman"/>
          <w:sz w:val="20"/>
          <w:vertAlign w:val="superscript"/>
          <w:lang w:val="en-GB"/>
        </w:rPr>
        <w:t>1</w:t>
      </w:r>
      <w:r w:rsidR="005B49F6" w:rsidRPr="00FD66E9">
        <w:rPr>
          <w:rFonts w:ascii="Times New Roman" w:hAnsi="Times New Roman" w:cs="Times New Roman"/>
          <w:sz w:val="20"/>
          <w:lang w:val="en-GB"/>
        </w:rPr>
        <w:t>, Ivika Ostonen</w:t>
      </w:r>
      <w:r w:rsidR="00767A6B">
        <w:rPr>
          <w:rFonts w:ascii="Times New Roman" w:hAnsi="Times New Roman" w:cs="Times New Roman"/>
          <w:sz w:val="20"/>
          <w:vertAlign w:val="superscript"/>
          <w:lang w:val="en-GB"/>
        </w:rPr>
        <w:t>1</w:t>
      </w:r>
      <w:r w:rsidR="005B49F6" w:rsidRPr="00FD66E9">
        <w:rPr>
          <w:rFonts w:ascii="Times New Roman" w:hAnsi="Times New Roman" w:cs="Times New Roman"/>
          <w:sz w:val="20"/>
          <w:lang w:val="en-GB"/>
        </w:rPr>
        <w:t xml:space="preserve">, Maarja </w:t>
      </w:r>
      <w:r w:rsidR="005B49F6" w:rsidRPr="00FD66E9">
        <w:rPr>
          <w:rFonts w:ascii="Times New Roman" w:hAnsi="Times New Roman" w:cs="Times New Roman"/>
          <w:sz w:val="20"/>
        </w:rPr>
        <w:t>Öpik</w:t>
      </w:r>
      <w:r w:rsidR="005B49F6" w:rsidRPr="00FD66E9">
        <w:rPr>
          <w:rFonts w:ascii="Times New Roman" w:hAnsi="Times New Roman" w:cs="Times New Roman"/>
          <w:sz w:val="20"/>
          <w:vertAlign w:val="superscript"/>
        </w:rPr>
        <w:t>1</w:t>
      </w:r>
    </w:p>
    <w:p w14:paraId="6BCAA4B4" w14:textId="77777777" w:rsidR="005B49F6" w:rsidRPr="00FD66E9" w:rsidRDefault="005B49F6" w:rsidP="00170D2F">
      <w:pPr>
        <w:spacing w:line="360" w:lineRule="auto"/>
        <w:jc w:val="both"/>
        <w:rPr>
          <w:rFonts w:ascii="Times New Roman" w:hAnsi="Times New Roman" w:cs="Times New Roman"/>
          <w:sz w:val="20"/>
          <w:lang w:val="en-GB"/>
        </w:rPr>
      </w:pPr>
      <w:r w:rsidRPr="00FD66E9">
        <w:rPr>
          <w:rFonts w:ascii="Times New Roman" w:hAnsi="Times New Roman" w:cs="Times New Roman"/>
          <w:sz w:val="20"/>
          <w:vertAlign w:val="superscript"/>
          <w:lang w:val="en-GB"/>
        </w:rPr>
        <w:t>1</w:t>
      </w:r>
      <w:r w:rsidRPr="00FD66E9">
        <w:rPr>
          <w:rFonts w:ascii="Times New Roman" w:hAnsi="Times New Roman" w:cs="Times New Roman"/>
          <w:sz w:val="20"/>
          <w:lang w:val="en-GB"/>
        </w:rPr>
        <w:t>Department of Botany, Institute of Ecology and Earth Sciences, University of Tartu, Tartu, Estonia</w:t>
      </w:r>
    </w:p>
    <w:p w14:paraId="00B6D301" w14:textId="3DC90D4F" w:rsidR="005B49F6" w:rsidRPr="00FD66E9" w:rsidRDefault="009E3F8E" w:rsidP="00170D2F">
      <w:pPr>
        <w:spacing w:line="360" w:lineRule="auto"/>
        <w:jc w:val="both"/>
        <w:rPr>
          <w:rFonts w:ascii="Times New Roman" w:hAnsi="Times New Roman" w:cs="Times New Roman"/>
          <w:b/>
          <w:bCs/>
          <w:sz w:val="20"/>
          <w:lang w:val="en-GB"/>
        </w:rPr>
      </w:pPr>
      <w:r w:rsidRPr="00FD66E9">
        <w:rPr>
          <w:rFonts w:ascii="Times New Roman" w:hAnsi="Times New Roman" w:cs="Times New Roman"/>
          <w:sz w:val="20"/>
        </w:rPr>
        <w:t xml:space="preserve">*Corresponding author: </w:t>
      </w:r>
      <w:r w:rsidR="005B49F6" w:rsidRPr="00FD66E9">
        <w:rPr>
          <w:rFonts w:ascii="Times New Roman" w:hAnsi="Times New Roman" w:cs="Times New Roman"/>
          <w:b/>
          <w:bCs/>
          <w:sz w:val="20"/>
          <w:u w:val="single"/>
          <w:lang w:val="en-GB"/>
        </w:rPr>
        <w:t>sarkal.jyakhwa@ut.ee</w:t>
      </w:r>
    </w:p>
    <w:p w14:paraId="56345158" w14:textId="77777777" w:rsidR="0034678F" w:rsidRPr="00FD66E9" w:rsidRDefault="0034678F" w:rsidP="00170D2F">
      <w:pPr>
        <w:spacing w:line="360" w:lineRule="auto"/>
        <w:jc w:val="both"/>
        <w:rPr>
          <w:rFonts w:ascii="Times New Roman" w:hAnsi="Times New Roman" w:cs="Times New Roman"/>
          <w:b/>
          <w:bCs/>
          <w:sz w:val="20"/>
        </w:rPr>
      </w:pPr>
      <w:r w:rsidRPr="00FD66E9">
        <w:rPr>
          <w:rFonts w:ascii="Times New Roman" w:hAnsi="Times New Roman" w:cs="Times New Roman"/>
          <w:b/>
          <w:bCs/>
          <w:sz w:val="20"/>
        </w:rPr>
        <w:t>ORCID</w:t>
      </w:r>
    </w:p>
    <w:p w14:paraId="0DE35FDE" w14:textId="71708893" w:rsidR="0034678F" w:rsidRPr="00FD66E9" w:rsidRDefault="0034678F" w:rsidP="00170D2F">
      <w:pPr>
        <w:spacing w:line="360" w:lineRule="auto"/>
        <w:jc w:val="both"/>
        <w:rPr>
          <w:rFonts w:ascii="Times New Roman" w:hAnsi="Times New Roman" w:cs="Times New Roman"/>
          <w:sz w:val="20"/>
        </w:rPr>
      </w:pPr>
      <w:r w:rsidRPr="00FD66E9">
        <w:rPr>
          <w:rFonts w:ascii="Times New Roman" w:hAnsi="Times New Roman" w:cs="Times New Roman"/>
          <w:sz w:val="20"/>
        </w:rPr>
        <w:t xml:space="preserve">Maarja </w:t>
      </w:r>
      <w:r w:rsidR="00AC12FA" w:rsidRPr="00FD66E9">
        <w:rPr>
          <w:rFonts w:ascii="Times New Roman" w:hAnsi="Times New Roman" w:cs="Times New Roman"/>
          <w:sz w:val="20"/>
          <w:lang w:val="en-GB"/>
        </w:rPr>
        <w:t>Öpik 0000-0001-8025-7460</w:t>
      </w:r>
    </w:p>
    <w:p w14:paraId="66E17FB1" w14:textId="3FC6327A" w:rsidR="0034678F" w:rsidRPr="00FD66E9" w:rsidRDefault="0034678F" w:rsidP="00170D2F">
      <w:pPr>
        <w:spacing w:line="360" w:lineRule="auto"/>
        <w:jc w:val="both"/>
        <w:rPr>
          <w:rFonts w:ascii="Times New Roman" w:hAnsi="Times New Roman" w:cs="Times New Roman"/>
          <w:sz w:val="20"/>
          <w:lang w:val="en-GB"/>
        </w:rPr>
      </w:pPr>
      <w:r w:rsidRPr="00FD66E9">
        <w:rPr>
          <w:rFonts w:ascii="Times New Roman" w:hAnsi="Times New Roman" w:cs="Times New Roman"/>
          <w:sz w:val="20"/>
          <w:lang w:val="en-GB"/>
        </w:rPr>
        <w:t>Ivika Ostonen 0000-0001-9043-6083</w:t>
      </w:r>
    </w:p>
    <w:p w14:paraId="73ECA468" w14:textId="012188F4" w:rsidR="0034678F" w:rsidRPr="00FD66E9" w:rsidRDefault="0034678F" w:rsidP="00170D2F">
      <w:pPr>
        <w:spacing w:line="360" w:lineRule="auto"/>
        <w:jc w:val="both"/>
        <w:rPr>
          <w:rFonts w:ascii="Times New Roman" w:hAnsi="Times New Roman" w:cs="Times New Roman"/>
          <w:sz w:val="20"/>
        </w:rPr>
      </w:pPr>
      <w:r w:rsidRPr="00FD66E9">
        <w:rPr>
          <w:rFonts w:ascii="Times New Roman" w:hAnsi="Times New Roman" w:cs="Times New Roman"/>
          <w:sz w:val="20"/>
          <w:lang w:val="en-GB"/>
        </w:rPr>
        <w:t>Sarkal Jyakhwa 0000-0003-1427-8671</w:t>
      </w:r>
    </w:p>
    <w:p w14:paraId="5D156933" w14:textId="59DAC7FB" w:rsidR="00655F93" w:rsidRPr="00FD66E9" w:rsidRDefault="00ED2EB2" w:rsidP="00170D2F">
      <w:pPr>
        <w:spacing w:line="360" w:lineRule="auto"/>
        <w:jc w:val="both"/>
        <w:rPr>
          <w:rFonts w:ascii="Times New Roman" w:hAnsi="Times New Roman" w:cs="Times New Roman"/>
          <w:sz w:val="20"/>
        </w:rPr>
      </w:pPr>
      <w:r w:rsidRPr="00FD66E9">
        <w:rPr>
          <w:rFonts w:ascii="Times New Roman" w:hAnsi="Times New Roman" w:cs="Times New Roman"/>
          <w:sz w:val="20"/>
        </w:rPr>
        <w:t xml:space="preserve">The following supplementary information is available for this article: </w:t>
      </w:r>
    </w:p>
    <w:p w14:paraId="3E5F2137" w14:textId="4C6D63EE" w:rsidR="00172008" w:rsidRPr="00D22B99" w:rsidRDefault="004055AF" w:rsidP="00170D2F">
      <w:pPr>
        <w:spacing w:line="360" w:lineRule="auto"/>
        <w:jc w:val="both"/>
        <w:rPr>
          <w:rFonts w:ascii="Times New Roman" w:hAnsi="Times New Roman" w:cs="Times New Roman"/>
          <w:b/>
          <w:bCs/>
          <w:sz w:val="20"/>
        </w:rPr>
      </w:pPr>
      <w:r w:rsidRPr="00D22B99">
        <w:rPr>
          <w:rFonts w:ascii="Times New Roman" w:hAnsi="Times New Roman" w:cs="Times New Roman"/>
          <w:b/>
          <w:bCs/>
          <w:sz w:val="20"/>
        </w:rPr>
        <w:t xml:space="preserve">List of </w:t>
      </w:r>
      <w:r w:rsidR="3BA0FCDC" w:rsidRPr="56D3EE44">
        <w:rPr>
          <w:rFonts w:ascii="Times New Roman" w:hAnsi="Times New Roman" w:cs="Times New Roman"/>
          <w:b/>
          <w:bCs/>
          <w:sz w:val="20"/>
        </w:rPr>
        <w:t xml:space="preserve">SI </w:t>
      </w:r>
      <w:r w:rsidRPr="00D22B99">
        <w:rPr>
          <w:rFonts w:ascii="Times New Roman" w:hAnsi="Times New Roman" w:cs="Times New Roman"/>
          <w:b/>
          <w:bCs/>
          <w:sz w:val="20"/>
        </w:rPr>
        <w:t xml:space="preserve">figures </w:t>
      </w:r>
    </w:p>
    <w:p w14:paraId="5494FFD1" w14:textId="271A20BF" w:rsidR="004055AF" w:rsidRPr="00FD66E9" w:rsidRDefault="00245BCC" w:rsidP="00170D2F">
      <w:pPr>
        <w:spacing w:line="360" w:lineRule="auto"/>
        <w:jc w:val="both"/>
        <w:rPr>
          <w:rFonts w:ascii="Times New Roman" w:hAnsi="Times New Roman" w:cs="Times New Roman"/>
          <w:sz w:val="20"/>
        </w:rPr>
      </w:pPr>
      <w:r w:rsidRPr="00FD66E9">
        <w:rPr>
          <w:rFonts w:ascii="Times New Roman" w:hAnsi="Times New Roman" w:cs="Times New Roman"/>
          <w:sz w:val="20"/>
        </w:rPr>
        <w:t>Figure S1.</w:t>
      </w:r>
      <w:r w:rsidR="00C66E61">
        <w:rPr>
          <w:rFonts w:ascii="Times New Roman" w:hAnsi="Times New Roman" w:cs="Times New Roman"/>
          <w:sz w:val="20"/>
        </w:rPr>
        <w:t xml:space="preserve"> </w:t>
      </w:r>
      <w:r w:rsidR="00986EEB">
        <w:rPr>
          <w:rFonts w:ascii="Times New Roman" w:hAnsi="Times New Roman" w:cs="Times New Roman"/>
          <w:sz w:val="20"/>
        </w:rPr>
        <w:t xml:space="preserve">Moderator analysis of </w:t>
      </w:r>
      <w:r w:rsidR="000B08B6">
        <w:rPr>
          <w:rFonts w:ascii="Times New Roman" w:hAnsi="Times New Roman" w:cs="Times New Roman"/>
          <w:sz w:val="20"/>
        </w:rPr>
        <w:t xml:space="preserve">root dry weight </w:t>
      </w:r>
      <w:r w:rsidR="00986EEB">
        <w:rPr>
          <w:rFonts w:ascii="Times New Roman" w:hAnsi="Times New Roman" w:cs="Times New Roman"/>
          <w:sz w:val="20"/>
        </w:rPr>
        <w:t>responses to AMF inoculation</w:t>
      </w:r>
      <w:r w:rsidR="006953EB">
        <w:rPr>
          <w:rFonts w:ascii="Times New Roman" w:hAnsi="Times New Roman" w:cs="Times New Roman"/>
          <w:sz w:val="20"/>
        </w:rPr>
        <w:t>.</w:t>
      </w:r>
    </w:p>
    <w:p w14:paraId="66A0D531" w14:textId="0E3EF77C" w:rsidR="006953EB" w:rsidRDefault="00245BCC" w:rsidP="00170D2F">
      <w:pPr>
        <w:spacing w:line="360" w:lineRule="auto"/>
        <w:jc w:val="both"/>
        <w:rPr>
          <w:rFonts w:ascii="Times New Roman" w:hAnsi="Times New Roman" w:cs="Times New Roman"/>
          <w:sz w:val="20"/>
        </w:rPr>
      </w:pPr>
      <w:r w:rsidRPr="00FD66E9">
        <w:rPr>
          <w:rFonts w:ascii="Times New Roman" w:hAnsi="Times New Roman" w:cs="Times New Roman"/>
          <w:sz w:val="20"/>
        </w:rPr>
        <w:t xml:space="preserve">Figure S2. </w:t>
      </w:r>
      <w:r w:rsidR="006953EB">
        <w:rPr>
          <w:rFonts w:ascii="Times New Roman" w:hAnsi="Times New Roman" w:cs="Times New Roman"/>
          <w:sz w:val="20"/>
        </w:rPr>
        <w:t xml:space="preserve">Moderator analysis of </w:t>
      </w:r>
      <w:r w:rsidR="001002C1">
        <w:rPr>
          <w:rFonts w:ascii="Times New Roman" w:hAnsi="Times New Roman" w:cs="Times New Roman"/>
          <w:sz w:val="20"/>
        </w:rPr>
        <w:t xml:space="preserve">root </w:t>
      </w:r>
      <w:r w:rsidR="000B08B6">
        <w:rPr>
          <w:rFonts w:ascii="Times New Roman" w:hAnsi="Times New Roman" w:cs="Times New Roman"/>
          <w:sz w:val="20"/>
        </w:rPr>
        <w:t>fresh weight</w:t>
      </w:r>
      <w:r w:rsidR="001002C1">
        <w:rPr>
          <w:rFonts w:ascii="Times New Roman" w:hAnsi="Times New Roman" w:cs="Times New Roman"/>
          <w:sz w:val="20"/>
        </w:rPr>
        <w:t xml:space="preserve"> </w:t>
      </w:r>
      <w:r w:rsidR="006953EB">
        <w:rPr>
          <w:rFonts w:ascii="Times New Roman" w:hAnsi="Times New Roman" w:cs="Times New Roman"/>
          <w:sz w:val="20"/>
        </w:rPr>
        <w:t>responses to AMF inoculation.</w:t>
      </w:r>
    </w:p>
    <w:p w14:paraId="255274A4" w14:textId="107BA016" w:rsidR="006953EB" w:rsidRDefault="006953EB" w:rsidP="00170D2F">
      <w:pPr>
        <w:spacing w:line="360" w:lineRule="auto"/>
        <w:jc w:val="both"/>
        <w:rPr>
          <w:rFonts w:ascii="Times New Roman" w:hAnsi="Times New Roman" w:cs="Times New Roman"/>
          <w:sz w:val="20"/>
        </w:rPr>
      </w:pPr>
      <w:r>
        <w:rPr>
          <w:rFonts w:ascii="Times New Roman" w:hAnsi="Times New Roman" w:cs="Times New Roman"/>
          <w:sz w:val="20"/>
        </w:rPr>
        <w:t xml:space="preserve">Figure S3. Moderator analysis of </w:t>
      </w:r>
      <w:r w:rsidR="00566CFE">
        <w:rPr>
          <w:rFonts w:ascii="Times New Roman" w:hAnsi="Times New Roman" w:cs="Times New Roman"/>
          <w:sz w:val="20"/>
        </w:rPr>
        <w:t xml:space="preserve">root </w:t>
      </w:r>
      <w:r w:rsidR="000B08B6">
        <w:rPr>
          <w:rFonts w:ascii="Times New Roman" w:hAnsi="Times New Roman" w:cs="Times New Roman"/>
          <w:sz w:val="20"/>
        </w:rPr>
        <w:t>branching</w:t>
      </w:r>
      <w:r w:rsidR="001002C1">
        <w:rPr>
          <w:rFonts w:ascii="Times New Roman" w:hAnsi="Times New Roman" w:cs="Times New Roman"/>
          <w:sz w:val="20"/>
        </w:rPr>
        <w:t xml:space="preserve"> </w:t>
      </w:r>
      <w:r>
        <w:rPr>
          <w:rFonts w:ascii="Times New Roman" w:hAnsi="Times New Roman" w:cs="Times New Roman"/>
          <w:sz w:val="20"/>
        </w:rPr>
        <w:t>responses to AMF inoculation.</w:t>
      </w:r>
    </w:p>
    <w:p w14:paraId="5D58C5A4" w14:textId="5AAEA2B5" w:rsidR="00972335" w:rsidRDefault="00972335" w:rsidP="00170D2F">
      <w:pPr>
        <w:spacing w:line="360" w:lineRule="auto"/>
        <w:jc w:val="both"/>
        <w:rPr>
          <w:rFonts w:ascii="Times New Roman" w:hAnsi="Times New Roman" w:cs="Times New Roman"/>
          <w:sz w:val="20"/>
        </w:rPr>
      </w:pPr>
      <w:r>
        <w:rPr>
          <w:rFonts w:ascii="Times New Roman" w:hAnsi="Times New Roman" w:cs="Times New Roman"/>
          <w:sz w:val="20"/>
        </w:rPr>
        <w:t xml:space="preserve">Figure S4. Moderator analysis of </w:t>
      </w:r>
      <w:r w:rsidR="001002C1">
        <w:rPr>
          <w:rFonts w:ascii="Times New Roman" w:hAnsi="Times New Roman" w:cs="Times New Roman"/>
          <w:sz w:val="20"/>
        </w:rPr>
        <w:t xml:space="preserve">root </w:t>
      </w:r>
      <w:r w:rsidR="000B08B6">
        <w:rPr>
          <w:rFonts w:ascii="Times New Roman" w:hAnsi="Times New Roman" w:cs="Times New Roman"/>
          <w:sz w:val="20"/>
        </w:rPr>
        <w:t>tissue density</w:t>
      </w:r>
      <w:r w:rsidR="001002C1">
        <w:rPr>
          <w:rFonts w:ascii="Times New Roman" w:hAnsi="Times New Roman" w:cs="Times New Roman"/>
          <w:sz w:val="20"/>
        </w:rPr>
        <w:t xml:space="preserve"> </w:t>
      </w:r>
      <w:r w:rsidR="00160948">
        <w:rPr>
          <w:rFonts w:ascii="Times New Roman" w:hAnsi="Times New Roman" w:cs="Times New Roman"/>
          <w:sz w:val="20"/>
        </w:rPr>
        <w:t>responses to AMF inoculation.</w:t>
      </w:r>
    </w:p>
    <w:p w14:paraId="4B697E05" w14:textId="2E65C6D3" w:rsidR="00993CF9" w:rsidRDefault="00993CF9" w:rsidP="00170D2F">
      <w:pPr>
        <w:spacing w:line="360" w:lineRule="auto"/>
        <w:jc w:val="both"/>
        <w:rPr>
          <w:rFonts w:ascii="Times New Roman" w:hAnsi="Times New Roman" w:cs="Times New Roman"/>
          <w:sz w:val="20"/>
        </w:rPr>
      </w:pPr>
      <w:r>
        <w:rPr>
          <w:rFonts w:ascii="Times New Roman" w:hAnsi="Times New Roman" w:cs="Times New Roman"/>
          <w:sz w:val="20"/>
        </w:rPr>
        <w:t xml:space="preserve">Figure S5. Moderator analysis of </w:t>
      </w:r>
      <w:r w:rsidR="009918A1">
        <w:rPr>
          <w:rFonts w:ascii="Times New Roman" w:hAnsi="Times New Roman" w:cs="Times New Roman"/>
          <w:sz w:val="20"/>
        </w:rPr>
        <w:t>root-specific area</w:t>
      </w:r>
      <w:r>
        <w:rPr>
          <w:rFonts w:ascii="Times New Roman" w:hAnsi="Times New Roman" w:cs="Times New Roman"/>
          <w:sz w:val="20"/>
        </w:rPr>
        <w:t xml:space="preserve"> responses to AMF inoculation.</w:t>
      </w:r>
    </w:p>
    <w:p w14:paraId="033CD87D" w14:textId="13CA915C" w:rsidR="004E671F" w:rsidRDefault="00F5529F" w:rsidP="00170D2F">
      <w:pPr>
        <w:spacing w:line="360" w:lineRule="auto"/>
        <w:jc w:val="both"/>
        <w:rPr>
          <w:rFonts w:ascii="Times New Roman" w:hAnsi="Times New Roman" w:cs="Times New Roman"/>
          <w:sz w:val="20"/>
        </w:rPr>
      </w:pPr>
      <w:r>
        <w:rPr>
          <w:rFonts w:ascii="Times New Roman" w:hAnsi="Times New Roman" w:cs="Times New Roman"/>
          <w:sz w:val="20"/>
        </w:rPr>
        <w:t>Figure S</w:t>
      </w:r>
      <w:r w:rsidR="004A7B28">
        <w:rPr>
          <w:rFonts w:ascii="Times New Roman" w:hAnsi="Times New Roman" w:cs="Times New Roman"/>
          <w:sz w:val="20"/>
        </w:rPr>
        <w:t>6</w:t>
      </w:r>
      <w:r>
        <w:rPr>
          <w:rFonts w:ascii="Times New Roman" w:hAnsi="Times New Roman" w:cs="Times New Roman"/>
          <w:sz w:val="20"/>
        </w:rPr>
        <w:t xml:space="preserve">. </w:t>
      </w:r>
      <w:r w:rsidR="004E671F">
        <w:rPr>
          <w:rFonts w:ascii="Times New Roman" w:hAnsi="Times New Roman" w:cs="Times New Roman"/>
          <w:sz w:val="20"/>
        </w:rPr>
        <w:t>Funnel plots assessing publication bias for root traits.</w:t>
      </w:r>
    </w:p>
    <w:p w14:paraId="5A0D9664" w14:textId="7261EB28" w:rsidR="001B1D1E" w:rsidRDefault="008967E0" w:rsidP="00170D2F">
      <w:pPr>
        <w:spacing w:line="360" w:lineRule="auto"/>
        <w:jc w:val="both"/>
        <w:rPr>
          <w:rFonts w:ascii="Times New Roman" w:hAnsi="Times New Roman" w:cs="Times New Roman"/>
          <w:sz w:val="20"/>
        </w:rPr>
      </w:pPr>
      <w:r>
        <w:rPr>
          <w:rFonts w:ascii="Times New Roman" w:hAnsi="Times New Roman" w:cs="Times New Roman"/>
          <w:sz w:val="20"/>
        </w:rPr>
        <w:t>Figure S</w:t>
      </w:r>
      <w:r w:rsidR="004A7B28">
        <w:rPr>
          <w:rFonts w:ascii="Times New Roman" w:hAnsi="Times New Roman" w:cs="Times New Roman"/>
          <w:sz w:val="20"/>
        </w:rPr>
        <w:t>7</w:t>
      </w:r>
      <w:r>
        <w:rPr>
          <w:rFonts w:ascii="Times New Roman" w:hAnsi="Times New Roman" w:cs="Times New Roman"/>
          <w:sz w:val="20"/>
        </w:rPr>
        <w:t xml:space="preserve">. </w:t>
      </w:r>
      <w:r w:rsidR="001B1D1E">
        <w:rPr>
          <w:rFonts w:ascii="Times New Roman" w:hAnsi="Times New Roman" w:cs="Times New Roman"/>
          <w:sz w:val="20"/>
        </w:rPr>
        <w:t>Meta-regression of experimental duration on selected root trait responses to AMF inoculation.</w:t>
      </w:r>
    </w:p>
    <w:p w14:paraId="39A7FA37" w14:textId="6C3175F1" w:rsidR="00277516" w:rsidRDefault="00277516" w:rsidP="00170D2F">
      <w:pPr>
        <w:spacing w:line="360" w:lineRule="auto"/>
        <w:jc w:val="both"/>
        <w:rPr>
          <w:rFonts w:ascii="Times New Roman" w:hAnsi="Times New Roman" w:cs="Times New Roman"/>
          <w:sz w:val="20"/>
        </w:rPr>
      </w:pPr>
      <w:r>
        <w:rPr>
          <w:rFonts w:ascii="Times New Roman" w:hAnsi="Times New Roman" w:cs="Times New Roman"/>
          <w:sz w:val="20"/>
        </w:rPr>
        <w:t xml:space="preserve">Figure S8. </w:t>
      </w:r>
      <w:r w:rsidR="00D93FDE">
        <w:rPr>
          <w:rFonts w:ascii="Times New Roman" w:hAnsi="Times New Roman" w:cs="Times New Roman"/>
          <w:sz w:val="20"/>
        </w:rPr>
        <w:t>Correlation among root traits</w:t>
      </w:r>
    </w:p>
    <w:p w14:paraId="32A606F3" w14:textId="51481A16" w:rsidR="008324BC" w:rsidRPr="008324BC" w:rsidRDefault="008324BC" w:rsidP="00170D2F">
      <w:pPr>
        <w:spacing w:line="360" w:lineRule="auto"/>
        <w:jc w:val="both"/>
        <w:rPr>
          <w:rFonts w:ascii="Times New Roman" w:hAnsi="Times New Roman" w:cs="Times New Roman"/>
          <w:b/>
          <w:bCs/>
          <w:sz w:val="20"/>
        </w:rPr>
      </w:pPr>
      <w:r w:rsidRPr="008324BC">
        <w:rPr>
          <w:rFonts w:ascii="Times New Roman" w:hAnsi="Times New Roman" w:cs="Times New Roman"/>
          <w:b/>
          <w:bCs/>
          <w:sz w:val="20"/>
        </w:rPr>
        <w:t xml:space="preserve">List of </w:t>
      </w:r>
      <w:r w:rsidR="21669E5E" w:rsidRPr="56D3EE44">
        <w:rPr>
          <w:rFonts w:ascii="Times New Roman" w:hAnsi="Times New Roman" w:cs="Times New Roman"/>
          <w:b/>
          <w:bCs/>
          <w:sz w:val="20"/>
        </w:rPr>
        <w:t xml:space="preserve">SI </w:t>
      </w:r>
      <w:r w:rsidRPr="008324BC">
        <w:rPr>
          <w:rFonts w:ascii="Times New Roman" w:hAnsi="Times New Roman" w:cs="Times New Roman"/>
          <w:b/>
          <w:bCs/>
          <w:sz w:val="20"/>
        </w:rPr>
        <w:t>Tables</w:t>
      </w:r>
    </w:p>
    <w:p w14:paraId="2FBC4613" w14:textId="42F09BB0" w:rsidR="00DC2909" w:rsidRDefault="00245BCC" w:rsidP="00170D2F">
      <w:pPr>
        <w:spacing w:line="360" w:lineRule="auto"/>
        <w:jc w:val="both"/>
        <w:rPr>
          <w:rFonts w:ascii="Times New Roman" w:hAnsi="Times New Roman" w:cs="Times New Roman"/>
          <w:sz w:val="20"/>
        </w:rPr>
      </w:pPr>
      <w:r w:rsidRPr="00FD66E9">
        <w:rPr>
          <w:rFonts w:ascii="Times New Roman" w:hAnsi="Times New Roman" w:cs="Times New Roman"/>
          <w:sz w:val="20"/>
        </w:rPr>
        <w:t>Table S</w:t>
      </w:r>
      <w:r w:rsidR="00271524">
        <w:rPr>
          <w:rFonts w:ascii="Times New Roman" w:hAnsi="Times New Roman" w:cs="Times New Roman"/>
          <w:sz w:val="20"/>
        </w:rPr>
        <w:t xml:space="preserve">1. </w:t>
      </w:r>
      <w:r w:rsidR="0081029C">
        <w:rPr>
          <w:rFonts w:ascii="Times New Roman" w:hAnsi="Times New Roman" w:cs="Times New Roman"/>
          <w:sz w:val="20"/>
        </w:rPr>
        <w:t>Summary of published articles included in the meta-analysis.</w:t>
      </w:r>
    </w:p>
    <w:p w14:paraId="302493E5" w14:textId="69912E01" w:rsidR="00A528C6" w:rsidRDefault="00A528C6" w:rsidP="00170D2F">
      <w:pPr>
        <w:spacing w:line="360" w:lineRule="auto"/>
        <w:jc w:val="both"/>
        <w:rPr>
          <w:rFonts w:ascii="Times New Roman" w:hAnsi="Times New Roman" w:cs="Times New Roman"/>
          <w:sz w:val="20"/>
        </w:rPr>
      </w:pPr>
      <w:r>
        <w:rPr>
          <w:rFonts w:ascii="Times New Roman" w:hAnsi="Times New Roman" w:cs="Times New Roman"/>
          <w:sz w:val="20"/>
        </w:rPr>
        <w:t xml:space="preserve">Table S2. </w:t>
      </w:r>
      <w:r w:rsidR="00856768">
        <w:rPr>
          <w:rFonts w:ascii="Times New Roman" w:hAnsi="Times New Roman" w:cs="Times New Roman"/>
          <w:sz w:val="20"/>
        </w:rPr>
        <w:t>Arbuscular mycorrhizal fungi (</w:t>
      </w:r>
      <w:r w:rsidR="007D4AFD">
        <w:rPr>
          <w:rFonts w:ascii="Times New Roman" w:hAnsi="Times New Roman" w:cs="Times New Roman"/>
          <w:sz w:val="20"/>
        </w:rPr>
        <w:t>AMF</w:t>
      </w:r>
      <w:r w:rsidR="00856768">
        <w:rPr>
          <w:rFonts w:ascii="Times New Roman" w:hAnsi="Times New Roman" w:cs="Times New Roman"/>
          <w:sz w:val="20"/>
        </w:rPr>
        <w:t>)</w:t>
      </w:r>
      <w:r w:rsidR="007D4AFD">
        <w:rPr>
          <w:rFonts w:ascii="Times New Roman" w:hAnsi="Times New Roman" w:cs="Times New Roman"/>
          <w:sz w:val="20"/>
        </w:rPr>
        <w:t xml:space="preserve"> species used as inoculum across studies.</w:t>
      </w:r>
    </w:p>
    <w:p w14:paraId="4B5ECFB0" w14:textId="69209E12" w:rsidR="00A03801" w:rsidRDefault="00A03801" w:rsidP="00170D2F">
      <w:pPr>
        <w:spacing w:line="360" w:lineRule="auto"/>
        <w:jc w:val="both"/>
        <w:rPr>
          <w:rFonts w:ascii="Times New Roman" w:hAnsi="Times New Roman" w:cs="Times New Roman"/>
          <w:sz w:val="20"/>
        </w:rPr>
      </w:pPr>
      <w:r>
        <w:rPr>
          <w:rFonts w:ascii="Times New Roman" w:hAnsi="Times New Roman" w:cs="Times New Roman"/>
          <w:sz w:val="20"/>
        </w:rPr>
        <w:t>Table S3. Host plant species included in the meta-analysis.</w:t>
      </w:r>
    </w:p>
    <w:p w14:paraId="135EE910" w14:textId="77777777" w:rsidR="0081029C" w:rsidRDefault="00A03801" w:rsidP="00170D2F">
      <w:pPr>
        <w:spacing w:line="360" w:lineRule="auto"/>
        <w:jc w:val="both"/>
        <w:rPr>
          <w:rFonts w:ascii="Times New Roman" w:hAnsi="Times New Roman" w:cs="Times New Roman"/>
          <w:sz w:val="20"/>
        </w:rPr>
      </w:pPr>
      <w:r>
        <w:rPr>
          <w:rFonts w:ascii="Times New Roman" w:hAnsi="Times New Roman" w:cs="Times New Roman"/>
          <w:sz w:val="20"/>
        </w:rPr>
        <w:t xml:space="preserve">Table S4. </w:t>
      </w:r>
      <w:r w:rsidR="0081029C">
        <w:rPr>
          <w:rFonts w:ascii="Times New Roman" w:hAnsi="Times New Roman" w:cs="Times New Roman"/>
          <w:sz w:val="20"/>
        </w:rPr>
        <w:t>Results of heterogeneity analyses for moderator variables.</w:t>
      </w:r>
    </w:p>
    <w:p w14:paraId="3106B641" w14:textId="22922311" w:rsidR="00A03801" w:rsidRPr="00FD66E9" w:rsidRDefault="00A03801" w:rsidP="00170D2F">
      <w:pPr>
        <w:spacing w:line="360" w:lineRule="auto"/>
        <w:jc w:val="both"/>
        <w:rPr>
          <w:rFonts w:ascii="Times New Roman" w:hAnsi="Times New Roman" w:cs="Times New Roman"/>
          <w:sz w:val="20"/>
        </w:rPr>
      </w:pPr>
    </w:p>
    <w:p w14:paraId="35BF6D61" w14:textId="0F02EE4B" w:rsidR="00245BCC" w:rsidRPr="00FD66E9" w:rsidRDefault="00245BCC" w:rsidP="00170D2F">
      <w:pPr>
        <w:spacing w:line="360" w:lineRule="auto"/>
        <w:jc w:val="both"/>
        <w:rPr>
          <w:rFonts w:ascii="Times New Roman" w:hAnsi="Times New Roman" w:cs="Times New Roman"/>
          <w:sz w:val="20"/>
        </w:rPr>
      </w:pPr>
    </w:p>
    <w:p w14:paraId="38B2708E" w14:textId="77777777" w:rsidR="0039501A" w:rsidRPr="00FD66E9" w:rsidRDefault="0039501A" w:rsidP="00170D2F">
      <w:pPr>
        <w:spacing w:line="360" w:lineRule="auto"/>
        <w:jc w:val="both"/>
        <w:rPr>
          <w:rFonts w:ascii="Times New Roman" w:hAnsi="Times New Roman" w:cs="Times New Roman"/>
          <w:sz w:val="20"/>
        </w:rPr>
      </w:pPr>
    </w:p>
    <w:p w14:paraId="58023678" w14:textId="40290DB0" w:rsidR="0039501A" w:rsidRPr="00FD66E9" w:rsidRDefault="005812E6" w:rsidP="00170D2F">
      <w:pPr>
        <w:spacing w:line="360" w:lineRule="auto"/>
        <w:jc w:val="both"/>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01FEEB36" wp14:editId="2B923B07">
            <wp:extent cx="5715000" cy="3429000"/>
            <wp:effectExtent l="0" t="0" r="0" b="0"/>
            <wp:docPr id="858358643" name="Picture 5">
              <a:extLst xmlns:a="http://schemas.openxmlformats.org/drawingml/2006/main">
                <a:ext uri="{FF2B5EF4-FFF2-40B4-BE49-F238E27FC236}">
                  <a16:creationId xmlns:a16="http://schemas.microsoft.com/office/drawing/2014/main" id="{9DE993F1-6E50-403C-B97B-34B4FC9E1B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5000" cy="3429000"/>
                    </a:xfrm>
                    <a:prstGeom prst="rect">
                      <a:avLst/>
                    </a:prstGeom>
                    <a:noFill/>
                    <a:ln>
                      <a:noFill/>
                    </a:ln>
                  </pic:spPr>
                </pic:pic>
              </a:graphicData>
            </a:graphic>
          </wp:inline>
        </w:drawing>
      </w:r>
    </w:p>
    <w:p w14:paraId="0D782749" w14:textId="77777777" w:rsidR="0039501A" w:rsidRPr="00FD66E9" w:rsidRDefault="0039501A" w:rsidP="00170D2F">
      <w:pPr>
        <w:spacing w:line="360" w:lineRule="auto"/>
        <w:jc w:val="both"/>
        <w:rPr>
          <w:rFonts w:ascii="Times New Roman" w:hAnsi="Times New Roman" w:cs="Times New Roman"/>
          <w:sz w:val="20"/>
        </w:rPr>
      </w:pPr>
    </w:p>
    <w:p w14:paraId="11EC65EB" w14:textId="3E35F1E0" w:rsidR="005812E6" w:rsidRPr="00BF1FD2" w:rsidRDefault="005812E6" w:rsidP="00170D2F">
      <w:pPr>
        <w:spacing w:line="360" w:lineRule="auto"/>
        <w:jc w:val="both"/>
        <w:rPr>
          <w:rFonts w:ascii="Times New Roman" w:hAnsi="Times New Roman" w:cs="Times New Roman"/>
          <w:sz w:val="20"/>
          <w:lang w:val="en-GB"/>
        </w:rPr>
      </w:pPr>
      <w:r w:rsidRPr="00FD66E9">
        <w:rPr>
          <w:rFonts w:ascii="Times New Roman" w:hAnsi="Times New Roman" w:cs="Times New Roman"/>
          <w:b/>
          <w:bCs/>
          <w:sz w:val="20"/>
        </w:rPr>
        <w:t>Fig</w:t>
      </w:r>
      <w:r>
        <w:rPr>
          <w:rFonts w:ascii="Times New Roman" w:hAnsi="Times New Roman" w:cs="Times New Roman"/>
          <w:b/>
          <w:bCs/>
          <w:sz w:val="20"/>
        </w:rPr>
        <w:t xml:space="preserve">ure </w:t>
      </w:r>
      <w:r w:rsidRPr="00FD66E9">
        <w:rPr>
          <w:rFonts w:ascii="Times New Roman" w:hAnsi="Times New Roman" w:cs="Times New Roman"/>
          <w:b/>
          <w:bCs/>
          <w:sz w:val="20"/>
        </w:rPr>
        <w:t>S</w:t>
      </w:r>
      <w:r>
        <w:rPr>
          <w:rFonts w:ascii="Times New Roman" w:hAnsi="Times New Roman" w:cs="Times New Roman"/>
          <w:b/>
          <w:bCs/>
          <w:sz w:val="20"/>
        </w:rPr>
        <w:t>1</w:t>
      </w:r>
      <w:r w:rsidRPr="00FD66E9">
        <w:rPr>
          <w:rFonts w:ascii="Times New Roman" w:hAnsi="Times New Roman" w:cs="Times New Roman"/>
          <w:b/>
          <w:bCs/>
          <w:sz w:val="20"/>
        </w:rPr>
        <w:t>.</w:t>
      </w:r>
      <w:r w:rsidRPr="00FD66E9">
        <w:rPr>
          <w:rFonts w:ascii="Times New Roman" w:hAnsi="Times New Roman" w:cs="Times New Roman"/>
          <w:sz w:val="20"/>
        </w:rPr>
        <w:t xml:space="preserve"> </w:t>
      </w:r>
      <w:r w:rsidRPr="00BF1FD2">
        <w:rPr>
          <w:rFonts w:ascii="Times New Roman" w:hAnsi="Times New Roman" w:cs="Times New Roman"/>
          <w:sz w:val="20"/>
        </w:rPr>
        <w:t>Effect sizes (model estimates, mean</w:t>
      </w:r>
      <w:r>
        <w:rPr>
          <w:rFonts w:ascii="Times New Roman" w:hAnsi="Times New Roman" w:cs="Times New Roman"/>
          <w:sz w:val="20"/>
        </w:rPr>
        <w:t>,</w:t>
      </w:r>
      <w:r w:rsidRPr="00BF1FD2">
        <w:rPr>
          <w:rFonts w:ascii="Times New Roman" w:hAnsi="Times New Roman" w:cs="Times New Roman"/>
          <w:sz w:val="20"/>
        </w:rPr>
        <w:t xml:space="preserve"> and 95% CI) for root</w:t>
      </w:r>
      <w:r>
        <w:rPr>
          <w:rFonts w:ascii="Times New Roman" w:hAnsi="Times New Roman" w:cs="Times New Roman"/>
          <w:sz w:val="20"/>
        </w:rPr>
        <w:t xml:space="preserve"> dry weight responses to AMF inoculation. Panels show results for </w:t>
      </w:r>
      <w:r w:rsidRPr="00BF1FD2">
        <w:rPr>
          <w:rFonts w:ascii="Times New Roman" w:hAnsi="Times New Roman" w:cs="Times New Roman"/>
          <w:sz w:val="20"/>
        </w:rPr>
        <w:t xml:space="preserve">(A) all studies, (B) </w:t>
      </w:r>
      <w:r>
        <w:rPr>
          <w:rFonts w:ascii="Times New Roman" w:hAnsi="Times New Roman" w:cs="Times New Roman"/>
          <w:sz w:val="20"/>
        </w:rPr>
        <w:t>host plant families</w:t>
      </w:r>
      <w:r w:rsidRPr="00BF1FD2">
        <w:rPr>
          <w:rFonts w:ascii="Times New Roman" w:hAnsi="Times New Roman" w:cs="Times New Roman"/>
          <w:sz w:val="20"/>
        </w:rPr>
        <w:t xml:space="preserve">, (C) </w:t>
      </w:r>
      <w:r>
        <w:rPr>
          <w:rFonts w:ascii="Times New Roman" w:hAnsi="Times New Roman" w:cs="Times New Roman"/>
          <w:sz w:val="20"/>
        </w:rPr>
        <w:t>monocot vs. dicot plants</w:t>
      </w:r>
      <w:r w:rsidRPr="00BF1FD2">
        <w:rPr>
          <w:rFonts w:ascii="Times New Roman" w:hAnsi="Times New Roman" w:cs="Times New Roman"/>
          <w:sz w:val="20"/>
        </w:rPr>
        <w:t xml:space="preserve">, (D) </w:t>
      </w:r>
      <w:r>
        <w:rPr>
          <w:rFonts w:ascii="Times New Roman" w:hAnsi="Times New Roman" w:cs="Times New Roman"/>
          <w:sz w:val="20"/>
        </w:rPr>
        <w:t>AMF guilds</w:t>
      </w:r>
      <w:r w:rsidRPr="00BF1FD2">
        <w:rPr>
          <w:rFonts w:ascii="Times New Roman" w:hAnsi="Times New Roman" w:cs="Times New Roman"/>
          <w:sz w:val="20"/>
        </w:rPr>
        <w:t xml:space="preserve">, (E) </w:t>
      </w:r>
      <w:r>
        <w:rPr>
          <w:rFonts w:ascii="Times New Roman" w:hAnsi="Times New Roman" w:cs="Times New Roman"/>
          <w:sz w:val="20"/>
        </w:rPr>
        <w:t>AMF inoculum type (single species vs. mixed inoculum),</w:t>
      </w:r>
      <w:r w:rsidRPr="00BF1FD2">
        <w:rPr>
          <w:rFonts w:ascii="Times New Roman" w:hAnsi="Times New Roman" w:cs="Times New Roman"/>
          <w:sz w:val="20"/>
        </w:rPr>
        <w:t xml:space="preserve"> and (F) </w:t>
      </w:r>
      <w:r>
        <w:rPr>
          <w:rFonts w:ascii="Times New Roman" w:hAnsi="Times New Roman" w:cs="Times New Roman"/>
          <w:sz w:val="20"/>
        </w:rPr>
        <w:t>stress conditions</w:t>
      </w:r>
      <w:r w:rsidRPr="00BF1FD2">
        <w:rPr>
          <w:rFonts w:ascii="Times New Roman" w:hAnsi="Times New Roman" w:cs="Times New Roman"/>
          <w:sz w:val="20"/>
        </w:rPr>
        <w:t>. The dotted line shows effect size=0. When the confidence interval does not include zero, the effect size is statistically significant. Values in parentheses are the number of observations included in the analysis.</w:t>
      </w:r>
    </w:p>
    <w:p w14:paraId="57397181" w14:textId="77777777" w:rsidR="0039501A" w:rsidRPr="00FD66E9" w:rsidRDefault="0039501A" w:rsidP="00170D2F">
      <w:pPr>
        <w:spacing w:line="360" w:lineRule="auto"/>
        <w:jc w:val="both"/>
        <w:rPr>
          <w:rFonts w:ascii="Times New Roman" w:hAnsi="Times New Roman" w:cs="Times New Roman"/>
          <w:sz w:val="20"/>
        </w:rPr>
      </w:pPr>
    </w:p>
    <w:p w14:paraId="4820A16E" w14:textId="77777777" w:rsidR="009B01A5" w:rsidRPr="00FD66E9" w:rsidRDefault="009B01A5" w:rsidP="00170D2F">
      <w:pPr>
        <w:spacing w:line="360" w:lineRule="auto"/>
        <w:jc w:val="both"/>
        <w:rPr>
          <w:rFonts w:ascii="Times New Roman" w:hAnsi="Times New Roman" w:cs="Times New Roman"/>
          <w:sz w:val="20"/>
        </w:rPr>
      </w:pPr>
    </w:p>
    <w:p w14:paraId="061DB8A8" w14:textId="2C01C34A" w:rsidR="009B01A5" w:rsidRPr="00FD66E9" w:rsidRDefault="005812E6" w:rsidP="00170D2F">
      <w:pPr>
        <w:spacing w:line="360" w:lineRule="auto"/>
        <w:jc w:val="both"/>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5AADC207" wp14:editId="56F95FB5">
            <wp:extent cx="5715000" cy="4343400"/>
            <wp:effectExtent l="0" t="0" r="0" b="0"/>
            <wp:docPr id="2039510890" name="Picture 9">
              <a:extLst xmlns:a="http://schemas.openxmlformats.org/drawingml/2006/main">
                <a:ext uri="{FF2B5EF4-FFF2-40B4-BE49-F238E27FC236}">
                  <a16:creationId xmlns:a16="http://schemas.microsoft.com/office/drawing/2014/main" id="{DB8497AF-ACF0-4D41-AC8B-41CB6963CC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4343400"/>
                    </a:xfrm>
                    <a:prstGeom prst="rect">
                      <a:avLst/>
                    </a:prstGeom>
                    <a:noFill/>
                    <a:ln>
                      <a:noFill/>
                    </a:ln>
                  </pic:spPr>
                </pic:pic>
              </a:graphicData>
            </a:graphic>
          </wp:inline>
        </w:drawing>
      </w:r>
    </w:p>
    <w:p w14:paraId="32306956" w14:textId="3CD731D7" w:rsidR="005812E6" w:rsidRPr="00BF1FD2" w:rsidRDefault="005812E6" w:rsidP="00170D2F">
      <w:pPr>
        <w:spacing w:line="360" w:lineRule="auto"/>
        <w:jc w:val="both"/>
        <w:rPr>
          <w:rFonts w:ascii="Times New Roman" w:hAnsi="Times New Roman" w:cs="Times New Roman"/>
          <w:sz w:val="20"/>
          <w:lang w:val="en-GB"/>
        </w:rPr>
      </w:pPr>
      <w:r w:rsidRPr="00FD66E9">
        <w:rPr>
          <w:rFonts w:ascii="Times New Roman" w:hAnsi="Times New Roman" w:cs="Times New Roman"/>
          <w:b/>
          <w:bCs/>
          <w:sz w:val="20"/>
        </w:rPr>
        <w:t>Fig</w:t>
      </w:r>
      <w:r>
        <w:rPr>
          <w:rFonts w:ascii="Times New Roman" w:hAnsi="Times New Roman" w:cs="Times New Roman"/>
          <w:b/>
          <w:bCs/>
          <w:sz w:val="20"/>
        </w:rPr>
        <w:t xml:space="preserve">ure </w:t>
      </w:r>
      <w:r w:rsidRPr="00FD66E9">
        <w:rPr>
          <w:rFonts w:ascii="Times New Roman" w:hAnsi="Times New Roman" w:cs="Times New Roman"/>
          <w:b/>
          <w:bCs/>
          <w:sz w:val="20"/>
        </w:rPr>
        <w:t>S</w:t>
      </w:r>
      <w:r>
        <w:rPr>
          <w:rFonts w:ascii="Times New Roman" w:hAnsi="Times New Roman" w:cs="Times New Roman"/>
          <w:b/>
          <w:bCs/>
          <w:sz w:val="20"/>
        </w:rPr>
        <w:t>2</w:t>
      </w:r>
      <w:r w:rsidRPr="00FD66E9">
        <w:rPr>
          <w:rFonts w:ascii="Times New Roman" w:hAnsi="Times New Roman" w:cs="Times New Roman"/>
          <w:b/>
          <w:bCs/>
          <w:sz w:val="20"/>
        </w:rPr>
        <w:t>.</w:t>
      </w:r>
      <w:r w:rsidRPr="00FD66E9">
        <w:rPr>
          <w:rFonts w:ascii="Times New Roman" w:hAnsi="Times New Roman" w:cs="Times New Roman"/>
          <w:sz w:val="20"/>
        </w:rPr>
        <w:t xml:space="preserve"> </w:t>
      </w:r>
      <w:r w:rsidRPr="00BF1FD2">
        <w:rPr>
          <w:rFonts w:ascii="Times New Roman" w:hAnsi="Times New Roman" w:cs="Times New Roman"/>
          <w:sz w:val="20"/>
        </w:rPr>
        <w:t>Effect sizes (model estimates, mean</w:t>
      </w:r>
      <w:r>
        <w:rPr>
          <w:rFonts w:ascii="Times New Roman" w:hAnsi="Times New Roman" w:cs="Times New Roman"/>
          <w:sz w:val="20"/>
        </w:rPr>
        <w:t>,</w:t>
      </w:r>
      <w:r w:rsidRPr="00BF1FD2">
        <w:rPr>
          <w:rFonts w:ascii="Times New Roman" w:hAnsi="Times New Roman" w:cs="Times New Roman"/>
          <w:sz w:val="20"/>
        </w:rPr>
        <w:t xml:space="preserve"> and 95% CI) for root</w:t>
      </w:r>
      <w:r>
        <w:rPr>
          <w:rFonts w:ascii="Times New Roman" w:hAnsi="Times New Roman" w:cs="Times New Roman"/>
          <w:sz w:val="20"/>
        </w:rPr>
        <w:t xml:space="preserve"> fresh weight responses to AMF inoculation. Panels show results for </w:t>
      </w:r>
      <w:r w:rsidRPr="00BF1FD2">
        <w:rPr>
          <w:rFonts w:ascii="Times New Roman" w:hAnsi="Times New Roman" w:cs="Times New Roman"/>
          <w:sz w:val="20"/>
        </w:rPr>
        <w:t xml:space="preserve">(A) all studies, (B) </w:t>
      </w:r>
      <w:r>
        <w:rPr>
          <w:rFonts w:ascii="Times New Roman" w:hAnsi="Times New Roman" w:cs="Times New Roman"/>
          <w:sz w:val="20"/>
        </w:rPr>
        <w:t>host plant families</w:t>
      </w:r>
      <w:r w:rsidRPr="00BF1FD2">
        <w:rPr>
          <w:rFonts w:ascii="Times New Roman" w:hAnsi="Times New Roman" w:cs="Times New Roman"/>
          <w:sz w:val="20"/>
        </w:rPr>
        <w:t xml:space="preserve">, (C) </w:t>
      </w:r>
      <w:r>
        <w:rPr>
          <w:rFonts w:ascii="Times New Roman" w:hAnsi="Times New Roman" w:cs="Times New Roman"/>
          <w:sz w:val="20"/>
        </w:rPr>
        <w:t>monocot vs. dicot plants</w:t>
      </w:r>
      <w:r w:rsidRPr="00BF1FD2">
        <w:rPr>
          <w:rFonts w:ascii="Times New Roman" w:hAnsi="Times New Roman" w:cs="Times New Roman"/>
          <w:sz w:val="20"/>
        </w:rPr>
        <w:t xml:space="preserve">, (D) </w:t>
      </w:r>
      <w:r>
        <w:rPr>
          <w:rFonts w:ascii="Times New Roman" w:hAnsi="Times New Roman" w:cs="Times New Roman"/>
          <w:sz w:val="20"/>
        </w:rPr>
        <w:t>AMF guilds</w:t>
      </w:r>
      <w:r w:rsidRPr="00BF1FD2">
        <w:rPr>
          <w:rFonts w:ascii="Times New Roman" w:hAnsi="Times New Roman" w:cs="Times New Roman"/>
          <w:sz w:val="20"/>
        </w:rPr>
        <w:t xml:space="preserve">, (E) </w:t>
      </w:r>
      <w:r>
        <w:rPr>
          <w:rFonts w:ascii="Times New Roman" w:hAnsi="Times New Roman" w:cs="Times New Roman"/>
          <w:sz w:val="20"/>
        </w:rPr>
        <w:t>AMF inoculum type (single species vs. mixed inoculum),</w:t>
      </w:r>
      <w:r w:rsidRPr="00BF1FD2">
        <w:rPr>
          <w:rFonts w:ascii="Times New Roman" w:hAnsi="Times New Roman" w:cs="Times New Roman"/>
          <w:sz w:val="20"/>
        </w:rPr>
        <w:t xml:space="preserve"> and (F) </w:t>
      </w:r>
      <w:r>
        <w:rPr>
          <w:rFonts w:ascii="Times New Roman" w:hAnsi="Times New Roman" w:cs="Times New Roman"/>
          <w:sz w:val="20"/>
        </w:rPr>
        <w:t>stress conditions</w:t>
      </w:r>
      <w:r w:rsidRPr="00BF1FD2">
        <w:rPr>
          <w:rFonts w:ascii="Times New Roman" w:hAnsi="Times New Roman" w:cs="Times New Roman"/>
          <w:sz w:val="20"/>
        </w:rPr>
        <w:t>. The dotted line shows effect size=0. When the confidence interval does not include zero, the effect size is statistically significant. Values in parentheses are the number of observations included in the analysis.</w:t>
      </w:r>
    </w:p>
    <w:p w14:paraId="723B82A7" w14:textId="77777777" w:rsidR="0039501A" w:rsidRPr="00FD66E9" w:rsidRDefault="0039501A" w:rsidP="00170D2F">
      <w:pPr>
        <w:spacing w:line="360" w:lineRule="auto"/>
        <w:jc w:val="both"/>
        <w:rPr>
          <w:rFonts w:ascii="Times New Roman" w:hAnsi="Times New Roman" w:cs="Times New Roman"/>
          <w:sz w:val="20"/>
        </w:rPr>
      </w:pPr>
    </w:p>
    <w:p w14:paraId="4EE09C88" w14:textId="77777777" w:rsidR="000A2F29" w:rsidRPr="00FD66E9" w:rsidRDefault="000A2F29" w:rsidP="00170D2F">
      <w:pPr>
        <w:spacing w:line="360" w:lineRule="auto"/>
        <w:jc w:val="both"/>
        <w:rPr>
          <w:rFonts w:ascii="Times New Roman" w:hAnsi="Times New Roman" w:cs="Times New Roman"/>
          <w:sz w:val="20"/>
        </w:rPr>
      </w:pPr>
    </w:p>
    <w:p w14:paraId="6D18980B" w14:textId="77777777" w:rsidR="00E85F31" w:rsidRPr="00FD66E9" w:rsidRDefault="00E85F31" w:rsidP="00170D2F">
      <w:pPr>
        <w:spacing w:line="360" w:lineRule="auto"/>
        <w:jc w:val="both"/>
        <w:rPr>
          <w:rFonts w:ascii="Times New Roman" w:hAnsi="Times New Roman" w:cs="Times New Roman"/>
          <w:sz w:val="20"/>
        </w:rPr>
      </w:pPr>
    </w:p>
    <w:p w14:paraId="1F0DEF44" w14:textId="62A9D97C" w:rsidR="00E85F31" w:rsidRPr="00FD66E9" w:rsidRDefault="00A12A02" w:rsidP="00170D2F">
      <w:pPr>
        <w:spacing w:line="360" w:lineRule="auto"/>
        <w:jc w:val="both"/>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46984F22" wp14:editId="3E7002B0">
            <wp:extent cx="5715000" cy="3429000"/>
            <wp:effectExtent l="0" t="0" r="0" b="0"/>
            <wp:docPr id="202086105" name="Picture 4">
              <a:extLst xmlns:a="http://schemas.openxmlformats.org/drawingml/2006/main">
                <a:ext uri="{FF2B5EF4-FFF2-40B4-BE49-F238E27FC236}">
                  <a16:creationId xmlns:a16="http://schemas.microsoft.com/office/drawing/2014/main" id="{1270DDD3-6BBA-4502-966D-BA53831D28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0" cy="3429000"/>
                    </a:xfrm>
                    <a:prstGeom prst="rect">
                      <a:avLst/>
                    </a:prstGeom>
                    <a:noFill/>
                    <a:ln>
                      <a:noFill/>
                    </a:ln>
                  </pic:spPr>
                </pic:pic>
              </a:graphicData>
            </a:graphic>
          </wp:inline>
        </w:drawing>
      </w:r>
    </w:p>
    <w:p w14:paraId="044648AD" w14:textId="787BAEEC" w:rsidR="00AB15EB" w:rsidRPr="00BF1FD2" w:rsidRDefault="00A44FF3" w:rsidP="00170D2F">
      <w:pPr>
        <w:spacing w:line="360" w:lineRule="auto"/>
        <w:jc w:val="both"/>
        <w:rPr>
          <w:rFonts w:ascii="Times New Roman" w:hAnsi="Times New Roman" w:cs="Times New Roman"/>
          <w:sz w:val="20"/>
          <w:lang w:val="en-GB"/>
        </w:rPr>
      </w:pPr>
      <w:r w:rsidRPr="00FD66E9">
        <w:rPr>
          <w:rFonts w:ascii="Times New Roman" w:hAnsi="Times New Roman" w:cs="Times New Roman"/>
          <w:b/>
          <w:bCs/>
          <w:sz w:val="20"/>
        </w:rPr>
        <w:t>Fig</w:t>
      </w:r>
      <w:r w:rsidR="005F5D4A">
        <w:rPr>
          <w:rFonts w:ascii="Times New Roman" w:hAnsi="Times New Roman" w:cs="Times New Roman"/>
          <w:b/>
          <w:bCs/>
          <w:sz w:val="20"/>
        </w:rPr>
        <w:t xml:space="preserve">ure </w:t>
      </w:r>
      <w:r w:rsidRPr="00FD66E9">
        <w:rPr>
          <w:rFonts w:ascii="Times New Roman" w:hAnsi="Times New Roman" w:cs="Times New Roman"/>
          <w:b/>
          <w:bCs/>
          <w:sz w:val="20"/>
        </w:rPr>
        <w:t>S</w:t>
      </w:r>
      <w:r w:rsidR="00AC4DDC">
        <w:rPr>
          <w:rFonts w:ascii="Times New Roman" w:hAnsi="Times New Roman" w:cs="Times New Roman"/>
          <w:b/>
          <w:bCs/>
          <w:sz w:val="20"/>
        </w:rPr>
        <w:t>3</w:t>
      </w:r>
      <w:r w:rsidRPr="00FD66E9">
        <w:rPr>
          <w:rFonts w:ascii="Times New Roman" w:hAnsi="Times New Roman" w:cs="Times New Roman"/>
          <w:b/>
          <w:bCs/>
          <w:sz w:val="20"/>
        </w:rPr>
        <w:t>.</w:t>
      </w:r>
      <w:r w:rsidRPr="00FD66E9">
        <w:rPr>
          <w:rFonts w:ascii="Times New Roman" w:hAnsi="Times New Roman" w:cs="Times New Roman"/>
          <w:sz w:val="20"/>
        </w:rPr>
        <w:t xml:space="preserve"> </w:t>
      </w:r>
      <w:r w:rsidR="00AB15EB" w:rsidRPr="00BF1FD2">
        <w:rPr>
          <w:rFonts w:ascii="Times New Roman" w:hAnsi="Times New Roman" w:cs="Times New Roman"/>
          <w:sz w:val="20"/>
        </w:rPr>
        <w:t>Effect sizes (model estimates, mean</w:t>
      </w:r>
      <w:r w:rsidR="00AB15EB">
        <w:rPr>
          <w:rFonts w:ascii="Times New Roman" w:hAnsi="Times New Roman" w:cs="Times New Roman"/>
          <w:sz w:val="20"/>
        </w:rPr>
        <w:t>,</w:t>
      </w:r>
      <w:r w:rsidR="00AB15EB" w:rsidRPr="00BF1FD2">
        <w:rPr>
          <w:rFonts w:ascii="Times New Roman" w:hAnsi="Times New Roman" w:cs="Times New Roman"/>
          <w:sz w:val="20"/>
        </w:rPr>
        <w:t xml:space="preserve"> and 95% CI) for root</w:t>
      </w:r>
      <w:r w:rsidR="00AB15EB">
        <w:rPr>
          <w:rFonts w:ascii="Times New Roman" w:hAnsi="Times New Roman" w:cs="Times New Roman"/>
          <w:sz w:val="20"/>
        </w:rPr>
        <w:t xml:space="preserve"> branching responses to AMF inoculation. Panels show results for </w:t>
      </w:r>
      <w:r w:rsidR="00AB15EB" w:rsidRPr="00BF1FD2">
        <w:rPr>
          <w:rFonts w:ascii="Times New Roman" w:hAnsi="Times New Roman" w:cs="Times New Roman"/>
          <w:sz w:val="20"/>
        </w:rPr>
        <w:t xml:space="preserve">(A) all studies, (B) </w:t>
      </w:r>
      <w:r w:rsidR="00AB15EB">
        <w:rPr>
          <w:rFonts w:ascii="Times New Roman" w:hAnsi="Times New Roman" w:cs="Times New Roman"/>
          <w:sz w:val="20"/>
        </w:rPr>
        <w:t>host plant families</w:t>
      </w:r>
      <w:r w:rsidR="00AB15EB" w:rsidRPr="00BF1FD2">
        <w:rPr>
          <w:rFonts w:ascii="Times New Roman" w:hAnsi="Times New Roman" w:cs="Times New Roman"/>
          <w:sz w:val="20"/>
        </w:rPr>
        <w:t xml:space="preserve">, (C) </w:t>
      </w:r>
      <w:r w:rsidR="00AB15EB">
        <w:rPr>
          <w:rFonts w:ascii="Times New Roman" w:hAnsi="Times New Roman" w:cs="Times New Roman"/>
          <w:sz w:val="20"/>
        </w:rPr>
        <w:t>monocot vs. dicot plants</w:t>
      </w:r>
      <w:r w:rsidR="00AB15EB" w:rsidRPr="00BF1FD2">
        <w:rPr>
          <w:rFonts w:ascii="Times New Roman" w:hAnsi="Times New Roman" w:cs="Times New Roman"/>
          <w:sz w:val="20"/>
        </w:rPr>
        <w:t xml:space="preserve">, (D) </w:t>
      </w:r>
      <w:r w:rsidR="00AB15EB">
        <w:rPr>
          <w:rFonts w:ascii="Times New Roman" w:hAnsi="Times New Roman" w:cs="Times New Roman"/>
          <w:sz w:val="20"/>
        </w:rPr>
        <w:t>AMF guilds</w:t>
      </w:r>
      <w:r w:rsidR="00AB15EB" w:rsidRPr="00BF1FD2">
        <w:rPr>
          <w:rFonts w:ascii="Times New Roman" w:hAnsi="Times New Roman" w:cs="Times New Roman"/>
          <w:sz w:val="20"/>
        </w:rPr>
        <w:t xml:space="preserve">, (E) </w:t>
      </w:r>
      <w:r w:rsidR="00AB15EB">
        <w:rPr>
          <w:rFonts w:ascii="Times New Roman" w:hAnsi="Times New Roman" w:cs="Times New Roman"/>
          <w:sz w:val="20"/>
        </w:rPr>
        <w:t>AMF inoculum type (single species vs. mixed inoculum),</w:t>
      </w:r>
      <w:r w:rsidR="00AB15EB" w:rsidRPr="00BF1FD2">
        <w:rPr>
          <w:rFonts w:ascii="Times New Roman" w:hAnsi="Times New Roman" w:cs="Times New Roman"/>
          <w:sz w:val="20"/>
        </w:rPr>
        <w:t xml:space="preserve"> and (F) </w:t>
      </w:r>
      <w:r w:rsidR="00AB15EB">
        <w:rPr>
          <w:rFonts w:ascii="Times New Roman" w:hAnsi="Times New Roman" w:cs="Times New Roman"/>
          <w:sz w:val="20"/>
        </w:rPr>
        <w:t>stress conditions</w:t>
      </w:r>
      <w:r w:rsidR="00AB15EB" w:rsidRPr="00BF1FD2">
        <w:rPr>
          <w:rFonts w:ascii="Times New Roman" w:hAnsi="Times New Roman" w:cs="Times New Roman"/>
          <w:sz w:val="20"/>
        </w:rPr>
        <w:t>. The dotted line shows effect size=0. When the confidence interval does not include zero, the effect size is statistically significant. Values in parentheses are the number of observations included in the analysis.</w:t>
      </w:r>
    </w:p>
    <w:p w14:paraId="207B9EF0" w14:textId="175EB585" w:rsidR="00E85F31" w:rsidRPr="00FD66E9" w:rsidRDefault="00E85F31" w:rsidP="00170D2F">
      <w:pPr>
        <w:spacing w:line="360" w:lineRule="auto"/>
        <w:jc w:val="both"/>
        <w:rPr>
          <w:rFonts w:ascii="Times New Roman" w:hAnsi="Times New Roman" w:cs="Times New Roman"/>
          <w:sz w:val="20"/>
        </w:rPr>
      </w:pPr>
    </w:p>
    <w:p w14:paraId="54050938" w14:textId="77777777" w:rsidR="00F472A8" w:rsidRDefault="00F472A8" w:rsidP="00170D2F">
      <w:pPr>
        <w:spacing w:line="360" w:lineRule="auto"/>
        <w:jc w:val="both"/>
        <w:rPr>
          <w:rFonts w:ascii="Times New Roman" w:hAnsi="Times New Roman" w:cs="Times New Roman"/>
          <w:sz w:val="20"/>
        </w:rPr>
      </w:pPr>
    </w:p>
    <w:p w14:paraId="1FC0D6E1" w14:textId="77777777" w:rsidR="00F472A8" w:rsidRDefault="00F472A8" w:rsidP="00170D2F">
      <w:pPr>
        <w:spacing w:line="360" w:lineRule="auto"/>
        <w:jc w:val="both"/>
        <w:rPr>
          <w:rFonts w:ascii="Times New Roman" w:hAnsi="Times New Roman" w:cs="Times New Roman"/>
          <w:sz w:val="20"/>
        </w:rPr>
      </w:pPr>
    </w:p>
    <w:p w14:paraId="3715CF04" w14:textId="372E0654" w:rsidR="00E85F31" w:rsidRDefault="00740DAA" w:rsidP="00170D2F">
      <w:pPr>
        <w:spacing w:line="360" w:lineRule="auto"/>
        <w:jc w:val="both"/>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5CA3F10D" wp14:editId="026E1C45">
            <wp:extent cx="5715000" cy="3429000"/>
            <wp:effectExtent l="0" t="0" r="0" b="0"/>
            <wp:docPr id="555545278" name="Picture 3">
              <a:extLst xmlns:a="http://schemas.openxmlformats.org/drawingml/2006/main">
                <a:ext uri="{FF2B5EF4-FFF2-40B4-BE49-F238E27FC236}">
                  <a16:creationId xmlns:a16="http://schemas.microsoft.com/office/drawing/2014/main" id="{EFFE3F33-D37E-4B7D-B915-9B5D38ADC8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0" cy="3429000"/>
                    </a:xfrm>
                    <a:prstGeom prst="rect">
                      <a:avLst/>
                    </a:prstGeom>
                    <a:noFill/>
                    <a:ln>
                      <a:noFill/>
                    </a:ln>
                  </pic:spPr>
                </pic:pic>
              </a:graphicData>
            </a:graphic>
          </wp:inline>
        </w:drawing>
      </w:r>
    </w:p>
    <w:p w14:paraId="60129368" w14:textId="61C39266" w:rsidR="00AB15EB" w:rsidRPr="00BF1FD2" w:rsidRDefault="00E37349" w:rsidP="00170D2F">
      <w:pPr>
        <w:spacing w:line="360" w:lineRule="auto"/>
        <w:jc w:val="both"/>
        <w:rPr>
          <w:rFonts w:ascii="Times New Roman" w:hAnsi="Times New Roman" w:cs="Times New Roman"/>
          <w:sz w:val="20"/>
          <w:lang w:val="en-GB"/>
        </w:rPr>
      </w:pPr>
      <w:r w:rsidRPr="00BF1FD2">
        <w:rPr>
          <w:rFonts w:ascii="Times New Roman" w:hAnsi="Times New Roman" w:cs="Times New Roman"/>
          <w:b/>
          <w:bCs/>
          <w:sz w:val="20"/>
        </w:rPr>
        <w:t xml:space="preserve">Figure </w:t>
      </w:r>
      <w:r>
        <w:rPr>
          <w:rFonts w:ascii="Times New Roman" w:hAnsi="Times New Roman" w:cs="Times New Roman"/>
          <w:b/>
          <w:bCs/>
          <w:sz w:val="20"/>
        </w:rPr>
        <w:t>S</w:t>
      </w:r>
      <w:r w:rsidR="00AC4DDC">
        <w:rPr>
          <w:rFonts w:ascii="Times New Roman" w:hAnsi="Times New Roman" w:cs="Times New Roman"/>
          <w:b/>
          <w:bCs/>
          <w:sz w:val="20"/>
        </w:rPr>
        <w:t>4</w:t>
      </w:r>
      <w:r>
        <w:rPr>
          <w:rFonts w:ascii="Times New Roman" w:hAnsi="Times New Roman" w:cs="Times New Roman"/>
          <w:b/>
          <w:bCs/>
          <w:sz w:val="20"/>
        </w:rPr>
        <w:t>.</w:t>
      </w:r>
      <w:r w:rsidRPr="00BF1FD2">
        <w:rPr>
          <w:rFonts w:ascii="Times New Roman" w:hAnsi="Times New Roman" w:cs="Times New Roman"/>
          <w:sz w:val="20"/>
        </w:rPr>
        <w:t xml:space="preserve"> </w:t>
      </w:r>
      <w:r w:rsidR="00AB15EB" w:rsidRPr="00BF1FD2">
        <w:rPr>
          <w:rFonts w:ascii="Times New Roman" w:hAnsi="Times New Roman" w:cs="Times New Roman"/>
          <w:sz w:val="20"/>
        </w:rPr>
        <w:t>Effect sizes (model estimates, mean</w:t>
      </w:r>
      <w:r w:rsidR="00AB15EB">
        <w:rPr>
          <w:rFonts w:ascii="Times New Roman" w:hAnsi="Times New Roman" w:cs="Times New Roman"/>
          <w:sz w:val="20"/>
        </w:rPr>
        <w:t>,</w:t>
      </w:r>
      <w:r w:rsidR="00AB15EB" w:rsidRPr="00BF1FD2">
        <w:rPr>
          <w:rFonts w:ascii="Times New Roman" w:hAnsi="Times New Roman" w:cs="Times New Roman"/>
          <w:sz w:val="20"/>
        </w:rPr>
        <w:t xml:space="preserve"> and 95% CI) for root</w:t>
      </w:r>
      <w:r w:rsidR="00AB15EB">
        <w:rPr>
          <w:rFonts w:ascii="Times New Roman" w:hAnsi="Times New Roman" w:cs="Times New Roman"/>
          <w:sz w:val="20"/>
        </w:rPr>
        <w:t xml:space="preserve"> tissue density responses to AMF inoculation. Panels show results for </w:t>
      </w:r>
      <w:r w:rsidR="00AB15EB" w:rsidRPr="00BF1FD2">
        <w:rPr>
          <w:rFonts w:ascii="Times New Roman" w:hAnsi="Times New Roman" w:cs="Times New Roman"/>
          <w:sz w:val="20"/>
        </w:rPr>
        <w:t xml:space="preserve">(A) all studies, (B) </w:t>
      </w:r>
      <w:r w:rsidR="00AB15EB">
        <w:rPr>
          <w:rFonts w:ascii="Times New Roman" w:hAnsi="Times New Roman" w:cs="Times New Roman"/>
          <w:sz w:val="20"/>
        </w:rPr>
        <w:t>host plant families</w:t>
      </w:r>
      <w:r w:rsidR="00AB15EB" w:rsidRPr="00BF1FD2">
        <w:rPr>
          <w:rFonts w:ascii="Times New Roman" w:hAnsi="Times New Roman" w:cs="Times New Roman"/>
          <w:sz w:val="20"/>
        </w:rPr>
        <w:t xml:space="preserve">, (C) </w:t>
      </w:r>
      <w:r w:rsidR="00AB15EB">
        <w:rPr>
          <w:rFonts w:ascii="Times New Roman" w:hAnsi="Times New Roman" w:cs="Times New Roman"/>
          <w:sz w:val="20"/>
        </w:rPr>
        <w:t>monocot vs. dicot plants</w:t>
      </w:r>
      <w:r w:rsidR="00AB15EB" w:rsidRPr="00BF1FD2">
        <w:rPr>
          <w:rFonts w:ascii="Times New Roman" w:hAnsi="Times New Roman" w:cs="Times New Roman"/>
          <w:sz w:val="20"/>
        </w:rPr>
        <w:t xml:space="preserve">, (D) </w:t>
      </w:r>
      <w:r w:rsidR="00AB15EB">
        <w:rPr>
          <w:rFonts w:ascii="Times New Roman" w:hAnsi="Times New Roman" w:cs="Times New Roman"/>
          <w:sz w:val="20"/>
        </w:rPr>
        <w:t>AMF guilds</w:t>
      </w:r>
      <w:r w:rsidR="00AB15EB" w:rsidRPr="00BF1FD2">
        <w:rPr>
          <w:rFonts w:ascii="Times New Roman" w:hAnsi="Times New Roman" w:cs="Times New Roman"/>
          <w:sz w:val="20"/>
        </w:rPr>
        <w:t xml:space="preserve">, (E) </w:t>
      </w:r>
      <w:r w:rsidR="00AB15EB">
        <w:rPr>
          <w:rFonts w:ascii="Times New Roman" w:hAnsi="Times New Roman" w:cs="Times New Roman"/>
          <w:sz w:val="20"/>
        </w:rPr>
        <w:t>AMF inoculum type (single species vs. mixed inoculum),</w:t>
      </w:r>
      <w:r w:rsidR="00AB15EB" w:rsidRPr="00BF1FD2">
        <w:rPr>
          <w:rFonts w:ascii="Times New Roman" w:hAnsi="Times New Roman" w:cs="Times New Roman"/>
          <w:sz w:val="20"/>
        </w:rPr>
        <w:t xml:space="preserve"> and (F) </w:t>
      </w:r>
      <w:r w:rsidR="00AB15EB">
        <w:rPr>
          <w:rFonts w:ascii="Times New Roman" w:hAnsi="Times New Roman" w:cs="Times New Roman"/>
          <w:sz w:val="20"/>
        </w:rPr>
        <w:t>stress conditions</w:t>
      </w:r>
      <w:r w:rsidR="00AB15EB" w:rsidRPr="00BF1FD2">
        <w:rPr>
          <w:rFonts w:ascii="Times New Roman" w:hAnsi="Times New Roman" w:cs="Times New Roman"/>
          <w:sz w:val="20"/>
        </w:rPr>
        <w:t>. The dotted line shows effect size=0. When the confidence interval does not include zero, the effect size is statistically significant. Values in parentheses are the number of observations included in the analysis.</w:t>
      </w:r>
    </w:p>
    <w:p w14:paraId="5C1949F6" w14:textId="43ADEB73" w:rsidR="00F472A8" w:rsidRDefault="00F472A8" w:rsidP="00170D2F">
      <w:pPr>
        <w:spacing w:line="360" w:lineRule="auto"/>
        <w:jc w:val="both"/>
        <w:rPr>
          <w:rFonts w:ascii="Times New Roman" w:hAnsi="Times New Roman" w:cs="Times New Roman"/>
          <w:sz w:val="20"/>
        </w:rPr>
      </w:pPr>
    </w:p>
    <w:p w14:paraId="548438E5" w14:textId="77777777" w:rsidR="00F472A8" w:rsidRPr="00FD66E9" w:rsidRDefault="00F472A8" w:rsidP="00170D2F">
      <w:pPr>
        <w:spacing w:line="360" w:lineRule="auto"/>
        <w:jc w:val="both"/>
        <w:rPr>
          <w:rFonts w:ascii="Times New Roman" w:hAnsi="Times New Roman" w:cs="Times New Roman"/>
          <w:sz w:val="20"/>
        </w:rPr>
      </w:pPr>
    </w:p>
    <w:p w14:paraId="019D3DFD" w14:textId="5A13A8B5" w:rsidR="00C97FFB" w:rsidRDefault="00C97FFB" w:rsidP="00170D2F">
      <w:pPr>
        <w:spacing w:line="360" w:lineRule="auto"/>
        <w:jc w:val="both"/>
        <w:rPr>
          <w:rFonts w:ascii="Times New Roman" w:hAnsi="Times New Roman" w:cs="Times New Roman"/>
          <w:sz w:val="20"/>
        </w:rPr>
      </w:pPr>
    </w:p>
    <w:p w14:paraId="16E2C4B0" w14:textId="1C663C26" w:rsidR="006B26CF" w:rsidRPr="00FD66E9" w:rsidRDefault="006B26CF" w:rsidP="00170D2F">
      <w:pPr>
        <w:spacing w:line="360" w:lineRule="auto"/>
        <w:jc w:val="both"/>
        <w:rPr>
          <w:rFonts w:ascii="Times New Roman" w:hAnsi="Times New Roman" w:cs="Times New Roman"/>
          <w:sz w:val="20"/>
        </w:rPr>
      </w:pPr>
    </w:p>
    <w:p w14:paraId="175629A3" w14:textId="794E24E4" w:rsidR="004F1008" w:rsidRPr="00FD66E9" w:rsidRDefault="004F1008" w:rsidP="00170D2F">
      <w:pPr>
        <w:spacing w:line="360" w:lineRule="auto"/>
        <w:jc w:val="both"/>
        <w:rPr>
          <w:rFonts w:ascii="Times New Roman" w:hAnsi="Times New Roman" w:cs="Times New Roman"/>
          <w:sz w:val="20"/>
        </w:rPr>
      </w:pPr>
    </w:p>
    <w:p w14:paraId="7CD7FA13" w14:textId="1B25B0C3" w:rsidR="00047BA6" w:rsidRPr="00FD66E9" w:rsidRDefault="00047BA6" w:rsidP="00170D2F">
      <w:pPr>
        <w:spacing w:line="360" w:lineRule="auto"/>
        <w:jc w:val="both"/>
        <w:rPr>
          <w:rFonts w:ascii="Times New Roman" w:hAnsi="Times New Roman" w:cs="Times New Roman"/>
          <w:sz w:val="20"/>
        </w:rPr>
      </w:pPr>
    </w:p>
    <w:p w14:paraId="45254E7B" w14:textId="77777777" w:rsidR="00047BA6" w:rsidRPr="00FD66E9" w:rsidRDefault="00047BA6" w:rsidP="00170D2F">
      <w:pPr>
        <w:spacing w:line="360" w:lineRule="auto"/>
        <w:jc w:val="both"/>
        <w:rPr>
          <w:rFonts w:ascii="Times New Roman" w:hAnsi="Times New Roman" w:cs="Times New Roman"/>
          <w:sz w:val="20"/>
        </w:rPr>
      </w:pPr>
    </w:p>
    <w:p w14:paraId="7FFF6387" w14:textId="77777777" w:rsidR="00047BA6" w:rsidRPr="00FD66E9" w:rsidRDefault="00047BA6" w:rsidP="00170D2F">
      <w:pPr>
        <w:spacing w:line="360" w:lineRule="auto"/>
        <w:jc w:val="both"/>
        <w:rPr>
          <w:rFonts w:ascii="Times New Roman" w:hAnsi="Times New Roman" w:cs="Times New Roman"/>
          <w:sz w:val="20"/>
        </w:rPr>
      </w:pPr>
    </w:p>
    <w:p w14:paraId="550A1B61" w14:textId="29011049" w:rsidR="00047BA6" w:rsidRPr="00FD66E9" w:rsidRDefault="00571BF6" w:rsidP="00170D2F">
      <w:pPr>
        <w:spacing w:line="360" w:lineRule="auto"/>
        <w:jc w:val="both"/>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0B1AE1E5" wp14:editId="3AC8B50D">
            <wp:extent cx="5715000" cy="3429000"/>
            <wp:effectExtent l="0" t="0" r="0" b="0"/>
            <wp:docPr id="171754243" name="Picture 7">
              <a:extLst xmlns:a="http://schemas.openxmlformats.org/drawingml/2006/main">
                <a:ext uri="{FF2B5EF4-FFF2-40B4-BE49-F238E27FC236}">
                  <a16:creationId xmlns:a16="http://schemas.microsoft.com/office/drawing/2014/main" id="{B6EBC1E3-CE7E-4DC8-B4F3-77F8A64F2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0" cy="3429000"/>
                    </a:xfrm>
                    <a:prstGeom prst="rect">
                      <a:avLst/>
                    </a:prstGeom>
                    <a:noFill/>
                    <a:ln>
                      <a:noFill/>
                    </a:ln>
                  </pic:spPr>
                </pic:pic>
              </a:graphicData>
            </a:graphic>
          </wp:inline>
        </w:drawing>
      </w:r>
    </w:p>
    <w:p w14:paraId="75452EBB" w14:textId="62192330" w:rsidR="00E21ECF" w:rsidRPr="00BF1FD2" w:rsidRDefault="00000B51" w:rsidP="00170D2F">
      <w:pPr>
        <w:spacing w:line="360" w:lineRule="auto"/>
        <w:jc w:val="both"/>
        <w:rPr>
          <w:rFonts w:ascii="Times New Roman" w:hAnsi="Times New Roman" w:cs="Times New Roman"/>
          <w:sz w:val="20"/>
          <w:lang w:val="en-GB"/>
        </w:rPr>
      </w:pPr>
      <w:r w:rsidRPr="00FD66E9">
        <w:rPr>
          <w:rFonts w:ascii="Times New Roman" w:hAnsi="Times New Roman" w:cs="Times New Roman"/>
          <w:b/>
          <w:bCs/>
          <w:sz w:val="20"/>
        </w:rPr>
        <w:t>Fig</w:t>
      </w:r>
      <w:r w:rsidR="005F5D4A">
        <w:rPr>
          <w:rFonts w:ascii="Times New Roman" w:hAnsi="Times New Roman" w:cs="Times New Roman"/>
          <w:b/>
          <w:bCs/>
          <w:sz w:val="20"/>
        </w:rPr>
        <w:t xml:space="preserve">ure </w:t>
      </w:r>
      <w:r w:rsidRPr="00FD66E9">
        <w:rPr>
          <w:rFonts w:ascii="Times New Roman" w:hAnsi="Times New Roman" w:cs="Times New Roman"/>
          <w:b/>
          <w:bCs/>
          <w:sz w:val="20"/>
        </w:rPr>
        <w:t>S</w:t>
      </w:r>
      <w:r w:rsidR="00AC4DDC">
        <w:rPr>
          <w:rFonts w:ascii="Times New Roman" w:hAnsi="Times New Roman" w:cs="Times New Roman"/>
          <w:b/>
          <w:bCs/>
          <w:sz w:val="20"/>
        </w:rPr>
        <w:t>5</w:t>
      </w:r>
      <w:r w:rsidRPr="00FD66E9">
        <w:rPr>
          <w:rFonts w:ascii="Times New Roman" w:hAnsi="Times New Roman" w:cs="Times New Roman"/>
          <w:b/>
          <w:bCs/>
          <w:sz w:val="20"/>
        </w:rPr>
        <w:t>.</w:t>
      </w:r>
      <w:r w:rsidRPr="00FD66E9">
        <w:rPr>
          <w:rFonts w:ascii="Times New Roman" w:hAnsi="Times New Roman" w:cs="Times New Roman"/>
          <w:sz w:val="20"/>
        </w:rPr>
        <w:t xml:space="preserve"> </w:t>
      </w:r>
      <w:r w:rsidR="00E21ECF" w:rsidRPr="00BF1FD2">
        <w:rPr>
          <w:rFonts w:ascii="Times New Roman" w:hAnsi="Times New Roman" w:cs="Times New Roman"/>
          <w:sz w:val="20"/>
        </w:rPr>
        <w:t>Effect sizes (model estimates, mean</w:t>
      </w:r>
      <w:r w:rsidR="00E21ECF">
        <w:rPr>
          <w:rFonts w:ascii="Times New Roman" w:hAnsi="Times New Roman" w:cs="Times New Roman"/>
          <w:sz w:val="20"/>
        </w:rPr>
        <w:t>,</w:t>
      </w:r>
      <w:r w:rsidR="00E21ECF" w:rsidRPr="00BF1FD2">
        <w:rPr>
          <w:rFonts w:ascii="Times New Roman" w:hAnsi="Times New Roman" w:cs="Times New Roman"/>
          <w:sz w:val="20"/>
        </w:rPr>
        <w:t xml:space="preserve"> and 95% CI) for </w:t>
      </w:r>
      <w:r w:rsidR="00E21ECF">
        <w:rPr>
          <w:rFonts w:ascii="Times New Roman" w:hAnsi="Times New Roman" w:cs="Times New Roman"/>
          <w:sz w:val="20"/>
        </w:rPr>
        <w:t xml:space="preserve">specific root area responses to AMF inoculation. Panels show results for </w:t>
      </w:r>
      <w:r w:rsidR="00E21ECF" w:rsidRPr="00BF1FD2">
        <w:rPr>
          <w:rFonts w:ascii="Times New Roman" w:hAnsi="Times New Roman" w:cs="Times New Roman"/>
          <w:sz w:val="20"/>
        </w:rPr>
        <w:t xml:space="preserve">(A) all studies, (B) </w:t>
      </w:r>
      <w:r w:rsidR="00E21ECF">
        <w:rPr>
          <w:rFonts w:ascii="Times New Roman" w:hAnsi="Times New Roman" w:cs="Times New Roman"/>
          <w:sz w:val="20"/>
        </w:rPr>
        <w:t>host plant families</w:t>
      </w:r>
      <w:r w:rsidR="00E21ECF" w:rsidRPr="00BF1FD2">
        <w:rPr>
          <w:rFonts w:ascii="Times New Roman" w:hAnsi="Times New Roman" w:cs="Times New Roman"/>
          <w:sz w:val="20"/>
        </w:rPr>
        <w:t xml:space="preserve">, (C) </w:t>
      </w:r>
      <w:r w:rsidR="00E21ECF">
        <w:rPr>
          <w:rFonts w:ascii="Times New Roman" w:hAnsi="Times New Roman" w:cs="Times New Roman"/>
          <w:sz w:val="20"/>
        </w:rPr>
        <w:t>monocot vs. dicot plants</w:t>
      </w:r>
      <w:r w:rsidR="00E21ECF" w:rsidRPr="00BF1FD2">
        <w:rPr>
          <w:rFonts w:ascii="Times New Roman" w:hAnsi="Times New Roman" w:cs="Times New Roman"/>
          <w:sz w:val="20"/>
        </w:rPr>
        <w:t xml:space="preserve">, (D) </w:t>
      </w:r>
      <w:r w:rsidR="00E21ECF">
        <w:rPr>
          <w:rFonts w:ascii="Times New Roman" w:hAnsi="Times New Roman" w:cs="Times New Roman"/>
          <w:sz w:val="20"/>
        </w:rPr>
        <w:t>AMF guilds</w:t>
      </w:r>
      <w:r w:rsidR="00E21ECF" w:rsidRPr="00BF1FD2">
        <w:rPr>
          <w:rFonts w:ascii="Times New Roman" w:hAnsi="Times New Roman" w:cs="Times New Roman"/>
          <w:sz w:val="20"/>
        </w:rPr>
        <w:t xml:space="preserve">, (E) </w:t>
      </w:r>
      <w:r w:rsidR="00E21ECF">
        <w:rPr>
          <w:rFonts w:ascii="Times New Roman" w:hAnsi="Times New Roman" w:cs="Times New Roman"/>
          <w:sz w:val="20"/>
        </w:rPr>
        <w:t>AMF inoculum type (single species vs. mixed inoculum),</w:t>
      </w:r>
      <w:r w:rsidR="00E21ECF" w:rsidRPr="00BF1FD2">
        <w:rPr>
          <w:rFonts w:ascii="Times New Roman" w:hAnsi="Times New Roman" w:cs="Times New Roman"/>
          <w:sz w:val="20"/>
        </w:rPr>
        <w:t xml:space="preserve"> and (F) </w:t>
      </w:r>
      <w:r w:rsidR="00E21ECF">
        <w:rPr>
          <w:rFonts w:ascii="Times New Roman" w:hAnsi="Times New Roman" w:cs="Times New Roman"/>
          <w:sz w:val="20"/>
        </w:rPr>
        <w:t>stress conditions</w:t>
      </w:r>
      <w:r w:rsidR="00E21ECF" w:rsidRPr="00BF1FD2">
        <w:rPr>
          <w:rFonts w:ascii="Times New Roman" w:hAnsi="Times New Roman" w:cs="Times New Roman"/>
          <w:sz w:val="20"/>
        </w:rPr>
        <w:t>. The dotted line shows effect size=0. When the confidence interval does not include zero, the effect size is statistically significant. Values in parentheses are the number of observations included in the analysis.</w:t>
      </w:r>
    </w:p>
    <w:p w14:paraId="4E8DC03C" w14:textId="7A1EBE88" w:rsidR="00000B51" w:rsidRPr="00FD66E9" w:rsidRDefault="00000B51" w:rsidP="00170D2F">
      <w:pPr>
        <w:spacing w:line="360" w:lineRule="auto"/>
        <w:jc w:val="both"/>
        <w:rPr>
          <w:rFonts w:ascii="Times New Roman" w:hAnsi="Times New Roman" w:cs="Times New Roman"/>
          <w:sz w:val="20"/>
        </w:rPr>
      </w:pPr>
    </w:p>
    <w:p w14:paraId="482FDD76" w14:textId="77777777" w:rsidR="00047BA6" w:rsidRPr="00FD66E9" w:rsidRDefault="00047BA6" w:rsidP="00170D2F">
      <w:pPr>
        <w:spacing w:line="360" w:lineRule="auto"/>
        <w:jc w:val="both"/>
        <w:rPr>
          <w:rFonts w:ascii="Times New Roman" w:hAnsi="Times New Roman" w:cs="Times New Roman"/>
          <w:sz w:val="20"/>
        </w:rPr>
      </w:pPr>
    </w:p>
    <w:p w14:paraId="552EB041" w14:textId="77777777" w:rsidR="00047BA6" w:rsidRPr="00FD66E9" w:rsidRDefault="00047BA6" w:rsidP="00170D2F">
      <w:pPr>
        <w:spacing w:line="360" w:lineRule="auto"/>
        <w:jc w:val="both"/>
        <w:rPr>
          <w:rFonts w:ascii="Times New Roman" w:hAnsi="Times New Roman" w:cs="Times New Roman"/>
          <w:sz w:val="20"/>
        </w:rPr>
      </w:pPr>
    </w:p>
    <w:p w14:paraId="2FE7D9A2" w14:textId="10A3F2F9" w:rsidR="000A16D1" w:rsidRPr="00FD66E9" w:rsidRDefault="000A16D1" w:rsidP="00170D2F">
      <w:pPr>
        <w:spacing w:line="360" w:lineRule="auto"/>
        <w:jc w:val="both"/>
        <w:rPr>
          <w:rFonts w:ascii="Times New Roman" w:hAnsi="Times New Roman" w:cs="Times New Roman"/>
          <w:sz w:val="20"/>
        </w:rPr>
      </w:pPr>
    </w:p>
    <w:p w14:paraId="30B9C01A" w14:textId="77777777" w:rsidR="00047BA6" w:rsidRPr="00FD66E9" w:rsidRDefault="00047BA6" w:rsidP="00170D2F">
      <w:pPr>
        <w:spacing w:line="360" w:lineRule="auto"/>
        <w:jc w:val="both"/>
        <w:rPr>
          <w:rFonts w:ascii="Times New Roman" w:hAnsi="Times New Roman" w:cs="Times New Roman"/>
          <w:sz w:val="20"/>
        </w:rPr>
      </w:pPr>
    </w:p>
    <w:p w14:paraId="39FD7AC0" w14:textId="77777777" w:rsidR="00047BA6" w:rsidRPr="00FD66E9" w:rsidRDefault="00047BA6" w:rsidP="00170D2F">
      <w:pPr>
        <w:spacing w:line="360" w:lineRule="auto"/>
        <w:jc w:val="both"/>
        <w:rPr>
          <w:rFonts w:ascii="Times New Roman" w:hAnsi="Times New Roman" w:cs="Times New Roman"/>
          <w:sz w:val="20"/>
        </w:rPr>
      </w:pPr>
    </w:p>
    <w:p w14:paraId="5D451F70" w14:textId="77777777" w:rsidR="00047BA6" w:rsidRPr="00FD66E9" w:rsidRDefault="00047BA6" w:rsidP="00170D2F">
      <w:pPr>
        <w:spacing w:line="360" w:lineRule="auto"/>
        <w:jc w:val="both"/>
        <w:rPr>
          <w:rFonts w:ascii="Times New Roman" w:hAnsi="Times New Roman" w:cs="Times New Roman"/>
          <w:sz w:val="20"/>
        </w:rPr>
      </w:pPr>
    </w:p>
    <w:p w14:paraId="1CF2E411" w14:textId="77777777" w:rsidR="00047BA6" w:rsidRPr="00FD66E9" w:rsidRDefault="00047BA6" w:rsidP="00170D2F">
      <w:pPr>
        <w:spacing w:line="360" w:lineRule="auto"/>
        <w:jc w:val="both"/>
        <w:rPr>
          <w:rFonts w:ascii="Times New Roman" w:hAnsi="Times New Roman" w:cs="Times New Roman"/>
          <w:sz w:val="20"/>
        </w:rPr>
      </w:pPr>
    </w:p>
    <w:p w14:paraId="1F6A9043" w14:textId="73E0CAFD" w:rsidR="000A16D1" w:rsidRPr="00FD66E9" w:rsidRDefault="000A16D1" w:rsidP="00170D2F">
      <w:pPr>
        <w:spacing w:line="360" w:lineRule="auto"/>
        <w:jc w:val="both"/>
        <w:rPr>
          <w:rFonts w:ascii="Times New Roman" w:hAnsi="Times New Roman" w:cs="Times New Roman"/>
          <w:sz w:val="20"/>
        </w:rPr>
      </w:pPr>
    </w:p>
    <w:p w14:paraId="1514B4E3" w14:textId="6DE19EBD" w:rsidR="00047BA6" w:rsidRPr="00FD66E9" w:rsidRDefault="00047BA6" w:rsidP="00170D2F">
      <w:pPr>
        <w:spacing w:line="360" w:lineRule="auto"/>
        <w:jc w:val="both"/>
        <w:rPr>
          <w:rFonts w:ascii="Times New Roman" w:hAnsi="Times New Roman" w:cs="Times New Roman"/>
          <w:sz w:val="20"/>
        </w:rPr>
      </w:pPr>
    </w:p>
    <w:p w14:paraId="4CD3F024" w14:textId="77777777" w:rsidR="00047BA6" w:rsidRPr="00FD66E9" w:rsidRDefault="00047BA6" w:rsidP="00170D2F">
      <w:pPr>
        <w:spacing w:line="360" w:lineRule="auto"/>
        <w:jc w:val="both"/>
        <w:rPr>
          <w:rFonts w:ascii="Times New Roman" w:hAnsi="Times New Roman" w:cs="Times New Roman"/>
          <w:sz w:val="20"/>
        </w:rPr>
      </w:pPr>
    </w:p>
    <w:p w14:paraId="3E5614CC" w14:textId="77777777" w:rsidR="00047BA6" w:rsidRPr="00FD66E9" w:rsidRDefault="00047BA6" w:rsidP="00170D2F">
      <w:pPr>
        <w:spacing w:line="360" w:lineRule="auto"/>
        <w:jc w:val="both"/>
        <w:rPr>
          <w:rFonts w:ascii="Times New Roman" w:hAnsi="Times New Roman" w:cs="Times New Roman"/>
          <w:sz w:val="20"/>
        </w:rPr>
      </w:pPr>
    </w:p>
    <w:p w14:paraId="4C68D169" w14:textId="62A62DFE" w:rsidR="00975F41" w:rsidRPr="00FD66E9" w:rsidRDefault="00B305E7" w:rsidP="00170D2F">
      <w:pPr>
        <w:spacing w:line="360" w:lineRule="auto"/>
        <w:jc w:val="both"/>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59347534" wp14:editId="7222F6A9">
            <wp:extent cx="5715000" cy="5715000"/>
            <wp:effectExtent l="0" t="0" r="0" b="0"/>
            <wp:docPr id="671789888" name="Picture 13">
              <a:extLst xmlns:a="http://schemas.openxmlformats.org/drawingml/2006/main">
                <a:ext uri="{FF2B5EF4-FFF2-40B4-BE49-F238E27FC236}">
                  <a16:creationId xmlns:a16="http://schemas.microsoft.com/office/drawing/2014/main" id="{2432CED7-8F87-4280-8475-B6FDE09209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14:paraId="77E2D53A" w14:textId="3B2B6D1B" w:rsidR="009E353C" w:rsidRPr="00FD66E9" w:rsidRDefault="009E353C" w:rsidP="00170D2F">
      <w:pPr>
        <w:spacing w:line="360" w:lineRule="auto"/>
        <w:jc w:val="both"/>
        <w:rPr>
          <w:rFonts w:ascii="Times New Roman" w:hAnsi="Times New Roman" w:cs="Times New Roman"/>
          <w:sz w:val="20"/>
        </w:rPr>
      </w:pPr>
      <w:r w:rsidRPr="00FD66E9">
        <w:rPr>
          <w:rFonts w:ascii="Times New Roman" w:hAnsi="Times New Roman" w:cs="Times New Roman"/>
          <w:b/>
          <w:bCs/>
          <w:sz w:val="20"/>
        </w:rPr>
        <w:t>Fig</w:t>
      </w:r>
      <w:r w:rsidR="005F5D4A">
        <w:rPr>
          <w:rFonts w:ascii="Times New Roman" w:hAnsi="Times New Roman" w:cs="Times New Roman"/>
          <w:b/>
          <w:bCs/>
          <w:sz w:val="20"/>
        </w:rPr>
        <w:t>ure</w:t>
      </w:r>
      <w:r w:rsidRPr="00FD66E9">
        <w:rPr>
          <w:rFonts w:ascii="Times New Roman" w:hAnsi="Times New Roman" w:cs="Times New Roman"/>
          <w:b/>
          <w:bCs/>
          <w:sz w:val="20"/>
        </w:rPr>
        <w:t xml:space="preserve"> S</w:t>
      </w:r>
      <w:r w:rsidR="00CA7C50">
        <w:rPr>
          <w:rFonts w:ascii="Times New Roman" w:hAnsi="Times New Roman" w:cs="Times New Roman"/>
          <w:b/>
          <w:bCs/>
          <w:sz w:val="20"/>
        </w:rPr>
        <w:t>6</w:t>
      </w:r>
      <w:r w:rsidRPr="00FD66E9">
        <w:rPr>
          <w:rFonts w:ascii="Times New Roman" w:hAnsi="Times New Roman" w:cs="Times New Roman"/>
          <w:sz w:val="20"/>
        </w:rPr>
        <w:t xml:space="preserve">. </w:t>
      </w:r>
      <w:r w:rsidR="007C0CAB" w:rsidRPr="007C0CAB">
        <w:rPr>
          <w:rFonts w:ascii="Times New Roman" w:hAnsi="Times New Roman" w:cs="Times New Roman"/>
          <w:sz w:val="20"/>
        </w:rPr>
        <w:t>Funnel plots assessing publication bias for root trait responses to AMF inoculation. Panels show results for: (A) root surface area (RSA), (B) total root length (RL), (C) average root diameter (RD), (D) root dry weight (RDW), (E) root fresh weight (RFW), (F) root branching, (G) root tissue density (RTD), (H) specific root area (SRA), and (I) specific root length (SRL). The x-axis represents effect size (lnRR) and the y-axis represents standard error, with precision increasing toward the top. </w:t>
      </w:r>
    </w:p>
    <w:p w14:paraId="0AAE6D5A" w14:textId="77777777" w:rsidR="00667F3E" w:rsidRPr="00FD66E9" w:rsidRDefault="00667F3E" w:rsidP="00170D2F">
      <w:pPr>
        <w:spacing w:line="360" w:lineRule="auto"/>
        <w:jc w:val="both"/>
        <w:rPr>
          <w:rFonts w:ascii="Times New Roman" w:hAnsi="Times New Roman" w:cs="Times New Roman"/>
          <w:sz w:val="20"/>
        </w:rPr>
      </w:pPr>
    </w:p>
    <w:p w14:paraId="7791679F" w14:textId="77777777" w:rsidR="00667F3E" w:rsidRPr="00FD66E9" w:rsidRDefault="00667F3E" w:rsidP="00170D2F">
      <w:pPr>
        <w:spacing w:line="360" w:lineRule="auto"/>
        <w:jc w:val="both"/>
        <w:rPr>
          <w:rFonts w:ascii="Times New Roman" w:hAnsi="Times New Roman" w:cs="Times New Roman"/>
          <w:sz w:val="20"/>
        </w:rPr>
      </w:pPr>
    </w:p>
    <w:p w14:paraId="6478D53A" w14:textId="77777777" w:rsidR="00667F3E" w:rsidRPr="00FD66E9" w:rsidRDefault="00667F3E" w:rsidP="00170D2F">
      <w:pPr>
        <w:spacing w:line="360" w:lineRule="auto"/>
        <w:jc w:val="both"/>
        <w:rPr>
          <w:rFonts w:ascii="Times New Roman" w:hAnsi="Times New Roman" w:cs="Times New Roman"/>
          <w:sz w:val="20"/>
        </w:rPr>
      </w:pPr>
    </w:p>
    <w:p w14:paraId="02C119A6" w14:textId="18755671" w:rsidR="009B5DF9" w:rsidRPr="00FD66E9" w:rsidRDefault="000220D1" w:rsidP="00170D2F">
      <w:pPr>
        <w:spacing w:line="360" w:lineRule="auto"/>
        <w:jc w:val="both"/>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5D629BE3" wp14:editId="79EFE62A">
            <wp:extent cx="5758815" cy="5290185"/>
            <wp:effectExtent l="0" t="0" r="0" b="5715"/>
            <wp:docPr id="40054992" name="Picture 10">
              <a:extLst xmlns:a="http://schemas.openxmlformats.org/drawingml/2006/main">
                <a:ext uri="{FF2B5EF4-FFF2-40B4-BE49-F238E27FC236}">
                  <a16:creationId xmlns:a16="http://schemas.microsoft.com/office/drawing/2014/main" id="{D8F18177-65EE-4625-8C6C-DCE4292799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8815" cy="5290185"/>
                    </a:xfrm>
                    <a:prstGeom prst="rect">
                      <a:avLst/>
                    </a:prstGeom>
                    <a:noFill/>
                    <a:ln>
                      <a:noFill/>
                    </a:ln>
                  </pic:spPr>
                </pic:pic>
              </a:graphicData>
            </a:graphic>
          </wp:inline>
        </w:drawing>
      </w:r>
    </w:p>
    <w:p w14:paraId="63365C48" w14:textId="5CE0D191" w:rsidR="00B75344" w:rsidRDefault="009B5DF9" w:rsidP="00170D2F">
      <w:pPr>
        <w:pStyle w:val="Caption"/>
        <w:spacing w:line="360" w:lineRule="auto"/>
        <w:jc w:val="both"/>
        <w:rPr>
          <w:rFonts w:ascii="Times New Roman" w:hAnsi="Times New Roman" w:cs="Times New Roman"/>
          <w:i w:val="0"/>
          <w:iCs w:val="0"/>
          <w:color w:val="auto"/>
          <w:sz w:val="20"/>
          <w:szCs w:val="20"/>
        </w:rPr>
      </w:pPr>
      <w:r w:rsidRPr="00FD66E9">
        <w:rPr>
          <w:rFonts w:ascii="Times New Roman" w:hAnsi="Times New Roman" w:cs="Times New Roman"/>
          <w:b/>
          <w:bCs/>
          <w:i w:val="0"/>
          <w:iCs w:val="0"/>
          <w:color w:val="auto"/>
          <w:sz w:val="20"/>
          <w:szCs w:val="20"/>
        </w:rPr>
        <w:t>Fig</w:t>
      </w:r>
      <w:r w:rsidR="005F5D4A">
        <w:rPr>
          <w:rFonts w:ascii="Times New Roman" w:hAnsi="Times New Roman" w:cs="Times New Roman"/>
          <w:b/>
          <w:bCs/>
          <w:i w:val="0"/>
          <w:iCs w:val="0"/>
          <w:color w:val="auto"/>
          <w:sz w:val="20"/>
          <w:szCs w:val="20"/>
        </w:rPr>
        <w:t>ure</w:t>
      </w:r>
      <w:r w:rsidRPr="00FD66E9">
        <w:rPr>
          <w:rFonts w:ascii="Times New Roman" w:hAnsi="Times New Roman" w:cs="Times New Roman"/>
          <w:b/>
          <w:bCs/>
          <w:i w:val="0"/>
          <w:iCs w:val="0"/>
          <w:color w:val="auto"/>
          <w:sz w:val="20"/>
          <w:szCs w:val="20"/>
        </w:rPr>
        <w:t xml:space="preserve"> S</w:t>
      </w:r>
      <w:r w:rsidR="00CA7C50">
        <w:rPr>
          <w:rFonts w:ascii="Times New Roman" w:hAnsi="Times New Roman" w:cs="Times New Roman"/>
          <w:b/>
          <w:bCs/>
          <w:i w:val="0"/>
          <w:iCs w:val="0"/>
          <w:color w:val="auto"/>
          <w:sz w:val="20"/>
          <w:szCs w:val="20"/>
        </w:rPr>
        <w:t>7</w:t>
      </w:r>
      <w:r w:rsidRPr="00FD66E9">
        <w:rPr>
          <w:rFonts w:ascii="Times New Roman" w:hAnsi="Times New Roman" w:cs="Times New Roman"/>
          <w:b/>
          <w:bCs/>
          <w:i w:val="0"/>
          <w:iCs w:val="0"/>
          <w:color w:val="auto"/>
          <w:sz w:val="20"/>
          <w:szCs w:val="20"/>
        </w:rPr>
        <w:t>.</w:t>
      </w:r>
      <w:r w:rsidRPr="00FD66E9">
        <w:rPr>
          <w:rFonts w:ascii="Times New Roman" w:hAnsi="Times New Roman" w:cs="Times New Roman"/>
          <w:i w:val="0"/>
          <w:iCs w:val="0"/>
          <w:color w:val="auto"/>
          <w:sz w:val="20"/>
          <w:szCs w:val="20"/>
        </w:rPr>
        <w:t xml:space="preserve"> </w:t>
      </w:r>
      <w:r w:rsidR="004526D5" w:rsidRPr="004526D5">
        <w:rPr>
          <w:rFonts w:ascii="Times New Roman" w:hAnsi="Times New Roman" w:cs="Times New Roman"/>
          <w:i w:val="0"/>
          <w:iCs w:val="0"/>
          <w:color w:val="auto"/>
          <w:sz w:val="20"/>
          <w:szCs w:val="20"/>
        </w:rPr>
        <w:t xml:space="preserve">Meta-regression of experimental duration on root trait responses to AMF inoculation. Panels show results for: (A) root surface area (RSA), (B) total root length (RL), (C) average root diameter (RD), (D) root dry weight (RDW), (E) root fresh weight (RFW), (F) root branching, (G) root tissue density (RTD), (H) specific root area (SRA), and (I) specific root length (SRL). The x-axis represents log-transformed experimental duration (days). The solid line shows the meta-regression slope, and the shaded area represents the 95% confidence interval. The dashed horizontal line indicates an effect size of zero. </w:t>
      </w:r>
    </w:p>
    <w:p w14:paraId="74B3D648" w14:textId="77777777" w:rsidR="00D93FDE" w:rsidRDefault="00D93FDE" w:rsidP="00170D2F">
      <w:pPr>
        <w:spacing w:line="360" w:lineRule="auto"/>
      </w:pPr>
    </w:p>
    <w:p w14:paraId="776E89DC" w14:textId="77777777" w:rsidR="00D93FDE" w:rsidRDefault="00D93FDE" w:rsidP="00170D2F">
      <w:pPr>
        <w:spacing w:line="360" w:lineRule="auto"/>
      </w:pPr>
    </w:p>
    <w:p w14:paraId="490BA691" w14:textId="77777777" w:rsidR="00D93FDE" w:rsidRDefault="00D93FDE" w:rsidP="00170D2F">
      <w:pPr>
        <w:spacing w:line="360" w:lineRule="auto"/>
      </w:pPr>
    </w:p>
    <w:p w14:paraId="0122A117" w14:textId="77777777" w:rsidR="00D93FDE" w:rsidRDefault="00D93FDE" w:rsidP="00170D2F">
      <w:pPr>
        <w:spacing w:line="360" w:lineRule="auto"/>
      </w:pPr>
    </w:p>
    <w:p w14:paraId="6A4D8EC6" w14:textId="77777777" w:rsidR="00D93FDE" w:rsidRDefault="00D93FDE" w:rsidP="00170D2F">
      <w:pPr>
        <w:spacing w:line="360" w:lineRule="auto"/>
      </w:pPr>
    </w:p>
    <w:p w14:paraId="40E98301" w14:textId="6ED0A021" w:rsidR="00D93FDE" w:rsidRDefault="00D93FDE" w:rsidP="00170D2F">
      <w:pPr>
        <w:spacing w:line="360" w:lineRule="auto"/>
      </w:pPr>
      <w:r>
        <w:rPr>
          <w:noProof/>
        </w:rPr>
        <w:lastRenderedPageBreak/>
        <w:drawing>
          <wp:inline distT="0" distB="0" distL="0" distR="0" wp14:anchorId="058BE52F" wp14:editId="59E6FE67">
            <wp:extent cx="5764530" cy="4802505"/>
            <wp:effectExtent l="0" t="0" r="7620" b="0"/>
            <wp:docPr id="1728779048" name="Picture 1">
              <a:extLst xmlns:a="http://schemas.openxmlformats.org/drawingml/2006/main">
                <a:ext uri="{FF2B5EF4-FFF2-40B4-BE49-F238E27FC236}">
                  <a16:creationId xmlns:a16="http://schemas.microsoft.com/office/drawing/2014/main" id="{A2509DEA-9491-44DF-84A9-0878A4CF85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4530" cy="4802505"/>
                    </a:xfrm>
                    <a:prstGeom prst="rect">
                      <a:avLst/>
                    </a:prstGeom>
                    <a:noFill/>
                    <a:ln>
                      <a:noFill/>
                    </a:ln>
                  </pic:spPr>
                </pic:pic>
              </a:graphicData>
            </a:graphic>
          </wp:inline>
        </w:drawing>
      </w:r>
    </w:p>
    <w:p w14:paraId="4E835B07" w14:textId="1051ED89" w:rsidR="00D93FDE" w:rsidRPr="00832EE5" w:rsidRDefault="00832EE5" w:rsidP="000E56B7">
      <w:pPr>
        <w:spacing w:line="360" w:lineRule="auto"/>
        <w:jc w:val="both"/>
      </w:pPr>
      <w:r>
        <w:rPr>
          <w:rFonts w:ascii="Times New Roman" w:hAnsi="Times New Roman" w:cs="Times New Roman"/>
          <w:b/>
          <w:bCs/>
          <w:sz w:val="20"/>
        </w:rPr>
        <w:t>F</w:t>
      </w:r>
      <w:r w:rsidR="00D93FDE" w:rsidRPr="00FD66E9">
        <w:rPr>
          <w:rFonts w:ascii="Times New Roman" w:hAnsi="Times New Roman" w:cs="Times New Roman"/>
          <w:b/>
          <w:bCs/>
          <w:sz w:val="20"/>
        </w:rPr>
        <w:t>ig</w:t>
      </w:r>
      <w:r w:rsidR="00D93FDE">
        <w:rPr>
          <w:rFonts w:ascii="Times New Roman" w:hAnsi="Times New Roman" w:cs="Times New Roman"/>
          <w:b/>
          <w:bCs/>
          <w:sz w:val="20"/>
        </w:rPr>
        <w:t>ure</w:t>
      </w:r>
      <w:r w:rsidR="00D93FDE" w:rsidRPr="00FD66E9">
        <w:rPr>
          <w:rFonts w:ascii="Times New Roman" w:hAnsi="Times New Roman" w:cs="Times New Roman"/>
          <w:b/>
          <w:bCs/>
          <w:sz w:val="20"/>
        </w:rPr>
        <w:t xml:space="preserve"> S</w:t>
      </w:r>
      <w:r w:rsidR="00D93FDE">
        <w:rPr>
          <w:rFonts w:ascii="Times New Roman" w:hAnsi="Times New Roman" w:cs="Times New Roman"/>
          <w:b/>
          <w:bCs/>
          <w:sz w:val="20"/>
        </w:rPr>
        <w:t xml:space="preserve">8. </w:t>
      </w:r>
      <w:r w:rsidRPr="00832EE5">
        <w:rPr>
          <w:rFonts w:ascii="Times New Roman" w:hAnsi="Times New Roman" w:cs="Times New Roman"/>
          <w:sz w:val="20"/>
        </w:rPr>
        <w:t>Correlation</w:t>
      </w:r>
      <w:r w:rsidR="00BB20A2" w:rsidRPr="00832EE5">
        <w:rPr>
          <w:rFonts w:ascii="Times New Roman" w:hAnsi="Times New Roman" w:cs="Times New Roman"/>
          <w:sz w:val="20"/>
        </w:rPr>
        <w:t xml:space="preserve"> matrix of root traits in AMF treatment root samples</w:t>
      </w:r>
      <w:r>
        <w:rPr>
          <w:rFonts w:ascii="Times New Roman" w:hAnsi="Times New Roman" w:cs="Times New Roman"/>
          <w:sz w:val="20"/>
        </w:rPr>
        <w:t xml:space="preserve">. </w:t>
      </w:r>
      <w:r w:rsidR="000D5DB5" w:rsidRPr="000D5DB5">
        <w:rPr>
          <w:rFonts w:ascii="Times New Roman" w:hAnsi="Times New Roman" w:cs="Times New Roman"/>
          <w:sz w:val="20"/>
        </w:rPr>
        <w:t>root length (RL), root diameter (RD), specific root length (SRL), specific root area (SRA), root surface area (RSA), root fresh weight (RFW), root dry weight (RDW), root tissue density (RTD), and branching intensity in AM root samples.</w:t>
      </w:r>
      <w:r w:rsidR="00FD069B">
        <w:rPr>
          <w:rFonts w:ascii="Times New Roman" w:hAnsi="Times New Roman" w:cs="Times New Roman"/>
          <w:sz w:val="20"/>
        </w:rPr>
        <w:t xml:space="preserve"> </w:t>
      </w:r>
      <w:r w:rsidR="000E56B7" w:rsidRPr="000E56B7">
        <w:rPr>
          <w:rFonts w:ascii="Times New Roman" w:hAnsi="Times New Roman" w:cs="Times New Roman"/>
          <w:sz w:val="20"/>
        </w:rPr>
        <w:t>Colors represent the magnitude and direction of Spearman’s rank correlations. Blank cells indicate missing values due to insufficient paired observations after data filtering.</w:t>
      </w:r>
    </w:p>
    <w:p w14:paraId="0324C7B6" w14:textId="77777777" w:rsidR="00D93FDE" w:rsidRDefault="00D93FDE" w:rsidP="00170D2F">
      <w:pPr>
        <w:spacing w:line="360" w:lineRule="auto"/>
      </w:pPr>
    </w:p>
    <w:p w14:paraId="7C8A6DFF" w14:textId="77777777" w:rsidR="00D93FDE" w:rsidRPr="00D93FDE" w:rsidRDefault="00D93FDE" w:rsidP="00170D2F">
      <w:pPr>
        <w:spacing w:line="360" w:lineRule="auto"/>
      </w:pPr>
    </w:p>
    <w:p w14:paraId="5C86D594" w14:textId="77777777" w:rsidR="004A2A7F" w:rsidRDefault="004A2A7F" w:rsidP="00170D2F">
      <w:pPr>
        <w:spacing w:line="360" w:lineRule="auto"/>
      </w:pPr>
    </w:p>
    <w:p w14:paraId="3ED44681" w14:textId="77777777" w:rsidR="004A2A7F" w:rsidRPr="004A2A7F" w:rsidRDefault="004A2A7F" w:rsidP="00170D2F">
      <w:pPr>
        <w:spacing w:line="360" w:lineRule="auto"/>
      </w:pPr>
    </w:p>
    <w:p w14:paraId="7D83052B" w14:textId="77777777" w:rsidR="009B5DF9" w:rsidRDefault="009B5DF9" w:rsidP="00170D2F">
      <w:pPr>
        <w:spacing w:line="360" w:lineRule="auto"/>
        <w:jc w:val="both"/>
        <w:rPr>
          <w:rFonts w:ascii="Times New Roman" w:hAnsi="Times New Roman" w:cs="Times New Roman"/>
          <w:sz w:val="20"/>
        </w:rPr>
      </w:pPr>
    </w:p>
    <w:p w14:paraId="39B6653F" w14:textId="77777777" w:rsidR="00170D2F" w:rsidRPr="00FD66E9" w:rsidRDefault="00170D2F" w:rsidP="00170D2F">
      <w:pPr>
        <w:spacing w:line="360" w:lineRule="auto"/>
        <w:jc w:val="both"/>
        <w:rPr>
          <w:rFonts w:ascii="Times New Roman" w:hAnsi="Times New Roman" w:cs="Times New Roman"/>
          <w:sz w:val="20"/>
        </w:rPr>
      </w:pPr>
    </w:p>
    <w:p w14:paraId="3C444949" w14:textId="16850C99" w:rsidR="003255F0" w:rsidRPr="00FD66E9" w:rsidRDefault="003255F0" w:rsidP="00170D2F">
      <w:pPr>
        <w:spacing w:line="360" w:lineRule="auto"/>
        <w:jc w:val="both"/>
        <w:rPr>
          <w:rFonts w:ascii="Times New Roman" w:hAnsi="Times New Roman" w:cs="Times New Roman"/>
          <w:sz w:val="20"/>
        </w:rPr>
      </w:pPr>
    </w:p>
    <w:p w14:paraId="6DE535F0" w14:textId="14D950D4" w:rsidR="00E01DAB" w:rsidRDefault="00E01DAB" w:rsidP="00170D2F">
      <w:pPr>
        <w:spacing w:line="360" w:lineRule="auto"/>
        <w:jc w:val="both"/>
        <w:rPr>
          <w:rFonts w:ascii="Times New Roman" w:hAnsi="Times New Roman" w:cs="Times New Roman"/>
          <w:b/>
          <w:bCs/>
          <w:sz w:val="20"/>
        </w:rPr>
      </w:pPr>
    </w:p>
    <w:p w14:paraId="3A1E6EBF" w14:textId="6B4783DE" w:rsidR="00A11787" w:rsidRPr="00FD66E9" w:rsidRDefault="00A11787" w:rsidP="00170D2F">
      <w:pPr>
        <w:spacing w:line="360" w:lineRule="auto"/>
        <w:rPr>
          <w:rFonts w:ascii="Times New Roman" w:hAnsi="Times New Roman" w:cs="Times New Roman"/>
          <w:b/>
          <w:bCs/>
          <w:sz w:val="20"/>
        </w:rPr>
      </w:pPr>
      <w:r w:rsidRPr="00FD66E9">
        <w:rPr>
          <w:rFonts w:ascii="Times New Roman" w:hAnsi="Times New Roman" w:cs="Times New Roman"/>
          <w:b/>
          <w:bCs/>
          <w:sz w:val="20"/>
        </w:rPr>
        <w:lastRenderedPageBreak/>
        <w:t>Table S</w:t>
      </w:r>
      <w:r w:rsidR="00C40F09">
        <w:rPr>
          <w:rFonts w:ascii="Times New Roman" w:hAnsi="Times New Roman" w:cs="Times New Roman"/>
          <w:b/>
          <w:bCs/>
          <w:sz w:val="20"/>
        </w:rPr>
        <w:t>1</w:t>
      </w:r>
      <w:r w:rsidRPr="00FD66E9">
        <w:rPr>
          <w:rFonts w:ascii="Times New Roman" w:hAnsi="Times New Roman" w:cs="Times New Roman"/>
          <w:b/>
          <w:bCs/>
          <w:sz w:val="20"/>
        </w:rPr>
        <w:t>. Articles included in the meta-analysis</w:t>
      </w:r>
    </w:p>
    <w:tbl>
      <w:tblPr>
        <w:tblStyle w:val="TableGrid"/>
        <w:tblW w:w="5000"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5528"/>
        <w:gridCol w:w="1276"/>
        <w:gridCol w:w="1276"/>
      </w:tblGrid>
      <w:tr w:rsidR="00B82AC7" w:rsidRPr="00FD66E9" w14:paraId="6D687073" w14:textId="77777777" w:rsidTr="006F484F">
        <w:trPr>
          <w:trHeight w:val="321"/>
        </w:trPr>
        <w:tc>
          <w:tcPr>
            <w:tcW w:w="547" w:type="pct"/>
            <w:tcBorders>
              <w:top w:val="single" w:sz="4" w:space="0" w:color="auto"/>
              <w:bottom w:val="single" w:sz="4" w:space="0" w:color="auto"/>
            </w:tcBorders>
          </w:tcPr>
          <w:p w14:paraId="3101AB48" w14:textId="4EB285E1" w:rsidR="00B82AC7" w:rsidRPr="00FD66E9" w:rsidRDefault="00B82AC7" w:rsidP="00170D2F">
            <w:pPr>
              <w:spacing w:line="360" w:lineRule="auto"/>
              <w:jc w:val="center"/>
              <w:rPr>
                <w:rFonts w:ascii="Times New Roman" w:hAnsi="Times New Roman" w:cs="Times New Roman"/>
                <w:b/>
                <w:bCs/>
                <w:sz w:val="20"/>
              </w:rPr>
            </w:pPr>
            <w:r w:rsidRPr="00FD66E9">
              <w:rPr>
                <w:rFonts w:ascii="Times New Roman" w:hAnsi="Times New Roman" w:cs="Times New Roman"/>
                <w:b/>
                <w:bCs/>
                <w:sz w:val="20"/>
              </w:rPr>
              <w:t>Articles</w:t>
            </w:r>
          </w:p>
        </w:tc>
        <w:tc>
          <w:tcPr>
            <w:tcW w:w="3046" w:type="pct"/>
            <w:tcBorders>
              <w:top w:val="single" w:sz="4" w:space="0" w:color="auto"/>
              <w:bottom w:val="single" w:sz="4" w:space="0" w:color="auto"/>
            </w:tcBorders>
            <w:noWrap/>
            <w:hideMark/>
          </w:tcPr>
          <w:p w14:paraId="44DB129C" w14:textId="071AE2DB" w:rsidR="00B82AC7" w:rsidRPr="00FD66E9" w:rsidRDefault="00B82AC7" w:rsidP="00170D2F">
            <w:pPr>
              <w:spacing w:line="360" w:lineRule="auto"/>
              <w:jc w:val="center"/>
              <w:rPr>
                <w:rFonts w:ascii="Times New Roman" w:hAnsi="Times New Roman" w:cs="Times New Roman"/>
                <w:b/>
                <w:bCs/>
                <w:sz w:val="20"/>
              </w:rPr>
            </w:pPr>
            <w:r w:rsidRPr="00FD66E9">
              <w:rPr>
                <w:rFonts w:ascii="Times New Roman" w:hAnsi="Times New Roman" w:cs="Times New Roman"/>
                <w:b/>
                <w:bCs/>
                <w:sz w:val="20"/>
              </w:rPr>
              <w:t>Title of the paper</w:t>
            </w:r>
          </w:p>
        </w:tc>
        <w:tc>
          <w:tcPr>
            <w:tcW w:w="703" w:type="pct"/>
            <w:tcBorders>
              <w:top w:val="single" w:sz="4" w:space="0" w:color="auto"/>
              <w:bottom w:val="single" w:sz="4" w:space="0" w:color="auto"/>
            </w:tcBorders>
            <w:noWrap/>
            <w:hideMark/>
          </w:tcPr>
          <w:p w14:paraId="2365CB8E" w14:textId="77777777" w:rsidR="00B82AC7" w:rsidRPr="00FD66E9" w:rsidRDefault="00B82AC7" w:rsidP="00170D2F">
            <w:pPr>
              <w:spacing w:line="360" w:lineRule="auto"/>
              <w:jc w:val="center"/>
              <w:rPr>
                <w:rFonts w:ascii="Times New Roman" w:hAnsi="Times New Roman" w:cs="Times New Roman"/>
                <w:b/>
                <w:bCs/>
                <w:sz w:val="20"/>
              </w:rPr>
            </w:pPr>
            <w:r w:rsidRPr="00FD66E9">
              <w:rPr>
                <w:rFonts w:ascii="Times New Roman" w:hAnsi="Times New Roman" w:cs="Times New Roman"/>
                <w:b/>
                <w:bCs/>
                <w:sz w:val="20"/>
              </w:rPr>
              <w:t>Authors</w:t>
            </w:r>
          </w:p>
        </w:tc>
        <w:tc>
          <w:tcPr>
            <w:tcW w:w="703" w:type="pct"/>
            <w:tcBorders>
              <w:top w:val="single" w:sz="4" w:space="0" w:color="auto"/>
              <w:bottom w:val="single" w:sz="4" w:space="0" w:color="auto"/>
            </w:tcBorders>
            <w:noWrap/>
            <w:hideMark/>
          </w:tcPr>
          <w:p w14:paraId="133EDB1C" w14:textId="5F3A85DB" w:rsidR="00B82AC7" w:rsidRPr="00FD66E9" w:rsidRDefault="00B82AC7" w:rsidP="00170D2F">
            <w:pPr>
              <w:spacing w:line="360" w:lineRule="auto"/>
              <w:jc w:val="center"/>
              <w:rPr>
                <w:rFonts w:ascii="Times New Roman" w:hAnsi="Times New Roman" w:cs="Times New Roman"/>
                <w:b/>
                <w:bCs/>
                <w:sz w:val="20"/>
              </w:rPr>
            </w:pPr>
            <w:r w:rsidRPr="00FD66E9">
              <w:rPr>
                <w:rFonts w:ascii="Times New Roman" w:hAnsi="Times New Roman" w:cs="Times New Roman"/>
                <w:b/>
                <w:bCs/>
                <w:sz w:val="20"/>
              </w:rPr>
              <w:t>Publish</w:t>
            </w:r>
            <w:r>
              <w:rPr>
                <w:rFonts w:ascii="Times New Roman" w:hAnsi="Times New Roman" w:cs="Times New Roman"/>
                <w:b/>
                <w:bCs/>
                <w:sz w:val="20"/>
              </w:rPr>
              <w:t>ed</w:t>
            </w:r>
            <w:r w:rsidRPr="00FD66E9">
              <w:rPr>
                <w:rFonts w:ascii="Times New Roman" w:hAnsi="Times New Roman" w:cs="Times New Roman"/>
                <w:b/>
                <w:bCs/>
                <w:sz w:val="20"/>
              </w:rPr>
              <w:t xml:space="preserve"> year</w:t>
            </w:r>
          </w:p>
        </w:tc>
      </w:tr>
      <w:tr w:rsidR="00B82AC7" w:rsidRPr="00FD66E9" w14:paraId="7BC7E3CA" w14:textId="77777777" w:rsidTr="006F484F">
        <w:trPr>
          <w:trHeight w:val="321"/>
        </w:trPr>
        <w:tc>
          <w:tcPr>
            <w:tcW w:w="547" w:type="pct"/>
            <w:tcBorders>
              <w:top w:val="single" w:sz="4" w:space="0" w:color="auto"/>
            </w:tcBorders>
          </w:tcPr>
          <w:p w14:paraId="62E9911F"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tcBorders>
              <w:top w:val="single" w:sz="4" w:space="0" w:color="auto"/>
            </w:tcBorders>
            <w:noWrap/>
            <w:hideMark/>
          </w:tcPr>
          <w:p w14:paraId="0169877D" w14:textId="77777777" w:rsidR="00B82AC7" w:rsidRPr="00FD66E9" w:rsidRDefault="00B82AC7" w:rsidP="00170D2F">
            <w:pPr>
              <w:spacing w:line="360" w:lineRule="auto"/>
              <w:jc w:val="both"/>
              <w:rPr>
                <w:rFonts w:ascii="Times New Roman" w:hAnsi="Times New Roman" w:cs="Times New Roman"/>
                <w:sz w:val="20"/>
              </w:rPr>
            </w:pPr>
            <w:hyperlink r:id="rId13" w:history="1">
              <w:r w:rsidRPr="00FD66E9">
                <w:rPr>
                  <w:rStyle w:val="Hyperlink"/>
                  <w:rFonts w:ascii="Times New Roman" w:hAnsi="Times New Roman" w:cs="Times New Roman"/>
                  <w:color w:val="auto"/>
                  <w:sz w:val="20"/>
                  <w:u w:val="none"/>
                </w:rPr>
                <w:t>Alarcón, A. L., Gómez-Bellot, M. J., Bernabe, A. J., Calvo, G., &amp; Fernández Martín, F. (2020). Changes in root architecture and productivity of melon (Cucumis melo L. cv. Hispano Nunhems) promoted by Glomus iranicum var. Tenuihypharum. The Journal of Horticultural Science and Biotechnology, 95(3), 364–373. https://doi.org/10.1080/14620316.2019.1681906</w:t>
              </w:r>
            </w:hyperlink>
          </w:p>
        </w:tc>
        <w:tc>
          <w:tcPr>
            <w:tcW w:w="703" w:type="pct"/>
            <w:tcBorders>
              <w:top w:val="single" w:sz="4" w:space="0" w:color="auto"/>
            </w:tcBorders>
            <w:noWrap/>
            <w:hideMark/>
          </w:tcPr>
          <w:p w14:paraId="487F673B"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(Alarcón et al., 2020)</w:t>
            </w:r>
          </w:p>
        </w:tc>
        <w:tc>
          <w:tcPr>
            <w:tcW w:w="703" w:type="pct"/>
            <w:tcBorders>
              <w:top w:val="single" w:sz="4" w:space="0" w:color="auto"/>
            </w:tcBorders>
            <w:noWrap/>
            <w:hideMark/>
          </w:tcPr>
          <w:p w14:paraId="5AA80B57"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2020</w:t>
            </w:r>
          </w:p>
        </w:tc>
      </w:tr>
      <w:tr w:rsidR="00B82AC7" w:rsidRPr="00FD66E9" w14:paraId="326104DC" w14:textId="77777777" w:rsidTr="006F484F">
        <w:trPr>
          <w:trHeight w:val="321"/>
        </w:trPr>
        <w:tc>
          <w:tcPr>
            <w:tcW w:w="547" w:type="pct"/>
          </w:tcPr>
          <w:p w14:paraId="01366904"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05F4F46B" w14:textId="77777777" w:rsidR="00B82AC7" w:rsidRPr="00FD66E9" w:rsidRDefault="00B82AC7" w:rsidP="00170D2F">
            <w:pPr>
              <w:spacing w:line="360" w:lineRule="auto"/>
              <w:jc w:val="both"/>
              <w:rPr>
                <w:rFonts w:ascii="Times New Roman" w:hAnsi="Times New Roman" w:cs="Times New Roman"/>
                <w:sz w:val="20"/>
              </w:rPr>
            </w:pPr>
            <w:hyperlink r:id="rId14" w:history="1">
              <w:r w:rsidRPr="00FD66E9">
                <w:rPr>
                  <w:rStyle w:val="Hyperlink"/>
                  <w:rFonts w:ascii="Times New Roman" w:hAnsi="Times New Roman" w:cs="Times New Roman"/>
                  <w:color w:val="auto"/>
                  <w:sz w:val="20"/>
                  <w:u w:val="none"/>
                </w:rPr>
                <w:t>Basyal, B., &amp; Emery, S. M. (2021). An arbuscular mycorrhizal fungus alters switchgrass growth, root architecture, and cell wall chemistry across a soil moisture gradient. Mycorrhiza, 31(2), 251–258. https://doi.org/10.1007/s00572-020-00992-10</w:t>
              </w:r>
            </w:hyperlink>
          </w:p>
        </w:tc>
        <w:tc>
          <w:tcPr>
            <w:tcW w:w="703" w:type="pct"/>
            <w:noWrap/>
            <w:hideMark/>
          </w:tcPr>
          <w:p w14:paraId="21515B7B"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(Basyal &amp; Emery, 2021)</w:t>
            </w:r>
          </w:p>
        </w:tc>
        <w:tc>
          <w:tcPr>
            <w:tcW w:w="703" w:type="pct"/>
            <w:noWrap/>
            <w:hideMark/>
          </w:tcPr>
          <w:p w14:paraId="492F3069"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2021</w:t>
            </w:r>
          </w:p>
        </w:tc>
      </w:tr>
      <w:tr w:rsidR="00B82AC7" w:rsidRPr="00FD66E9" w14:paraId="10E08394" w14:textId="77777777" w:rsidTr="006F484F">
        <w:trPr>
          <w:trHeight w:val="321"/>
        </w:trPr>
        <w:tc>
          <w:tcPr>
            <w:tcW w:w="547" w:type="pct"/>
          </w:tcPr>
          <w:p w14:paraId="5EFC91F7"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7251175F" w14:textId="77777777" w:rsidR="00B82AC7" w:rsidRPr="00FD66E9" w:rsidRDefault="00B82AC7" w:rsidP="00170D2F">
            <w:pPr>
              <w:spacing w:line="360" w:lineRule="auto"/>
              <w:jc w:val="both"/>
              <w:rPr>
                <w:rFonts w:ascii="Times New Roman" w:hAnsi="Times New Roman" w:cs="Times New Roman"/>
                <w:sz w:val="20"/>
              </w:rPr>
            </w:pPr>
            <w:hyperlink r:id="rId15" w:history="1">
              <w:r w:rsidRPr="00FD66E9">
                <w:rPr>
                  <w:rStyle w:val="Hyperlink"/>
                  <w:rFonts w:ascii="Times New Roman" w:hAnsi="Times New Roman" w:cs="Times New Roman"/>
                  <w:color w:val="auto"/>
                  <w:sz w:val="20"/>
                  <w:u w:val="none"/>
                </w:rPr>
                <w:t>Berta, G., Sampo, S., Gamalero, E., Massa, N., &amp; Lemanceau, P. (2005). Suppression of Rhizoctonia root-rot of tomato by Glomus mossae BEG12 and Pseudomonas fluorescens A6RI is associated with their effect on the pathogen growth and on the root morphogenesis. European Journal of Plant Pathology, 111(3), 279–288. https://doi.org/10.1007/s10658-004-4585-7</w:t>
              </w:r>
            </w:hyperlink>
          </w:p>
        </w:tc>
        <w:tc>
          <w:tcPr>
            <w:tcW w:w="703" w:type="pct"/>
            <w:noWrap/>
            <w:hideMark/>
          </w:tcPr>
          <w:p w14:paraId="2BFA867B"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(Berta et al., 2005)</w:t>
            </w:r>
          </w:p>
        </w:tc>
        <w:tc>
          <w:tcPr>
            <w:tcW w:w="703" w:type="pct"/>
            <w:noWrap/>
            <w:hideMark/>
          </w:tcPr>
          <w:p w14:paraId="4505F6F9"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2005</w:t>
            </w:r>
          </w:p>
        </w:tc>
      </w:tr>
      <w:tr w:rsidR="00B82AC7" w:rsidRPr="00FD66E9" w14:paraId="7FCF7C41" w14:textId="77777777" w:rsidTr="006F484F">
        <w:trPr>
          <w:trHeight w:val="321"/>
        </w:trPr>
        <w:tc>
          <w:tcPr>
            <w:tcW w:w="547" w:type="pct"/>
          </w:tcPr>
          <w:p w14:paraId="35C4B127"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641F9D6F" w14:textId="77777777" w:rsidR="00B82AC7" w:rsidRPr="00FD66E9" w:rsidRDefault="00B82AC7" w:rsidP="00170D2F">
            <w:pPr>
              <w:spacing w:line="360" w:lineRule="auto"/>
              <w:jc w:val="both"/>
              <w:rPr>
                <w:rFonts w:ascii="Times New Roman" w:hAnsi="Times New Roman" w:cs="Times New Roman"/>
                <w:sz w:val="20"/>
              </w:rPr>
            </w:pPr>
            <w:hyperlink r:id="rId16" w:history="1">
              <w:r w:rsidRPr="00FD66E9">
                <w:rPr>
                  <w:rStyle w:val="Hyperlink"/>
                  <w:rFonts w:ascii="Times New Roman" w:hAnsi="Times New Roman" w:cs="Times New Roman"/>
                  <w:color w:val="auto"/>
                  <w:sz w:val="20"/>
                  <w:u w:val="none"/>
                </w:rPr>
                <w:t>Campanelli, A., Ruta, C., Tagarelli, A., Morone-Fortunato, I., &amp; De Mastro, G. (2014). Effectiveness of mycorrhizal fungi on globe artichoke (Cynara cardunculus L. var. Scolymus) micropropagation. Journal of Plant Interactions, 9(1), 100–106. https://doi.org/10.1080/17429145.2013.770929</w:t>
              </w:r>
            </w:hyperlink>
          </w:p>
        </w:tc>
        <w:tc>
          <w:tcPr>
            <w:tcW w:w="703" w:type="pct"/>
            <w:noWrap/>
            <w:hideMark/>
          </w:tcPr>
          <w:p w14:paraId="2BE78850"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(Campanelli et al., 2014)</w:t>
            </w:r>
          </w:p>
        </w:tc>
        <w:tc>
          <w:tcPr>
            <w:tcW w:w="703" w:type="pct"/>
            <w:noWrap/>
            <w:hideMark/>
          </w:tcPr>
          <w:p w14:paraId="6C65287F"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2014</w:t>
            </w:r>
          </w:p>
        </w:tc>
      </w:tr>
      <w:tr w:rsidR="00B82AC7" w:rsidRPr="00FD66E9" w14:paraId="0F859632" w14:textId="77777777" w:rsidTr="006F484F">
        <w:trPr>
          <w:trHeight w:val="321"/>
        </w:trPr>
        <w:tc>
          <w:tcPr>
            <w:tcW w:w="547" w:type="pct"/>
          </w:tcPr>
          <w:p w14:paraId="15F570C8"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5F92216E" w14:textId="77777777" w:rsidR="00B82AC7" w:rsidRPr="00FD66E9" w:rsidRDefault="00B82AC7" w:rsidP="00170D2F">
            <w:pPr>
              <w:spacing w:line="360" w:lineRule="auto"/>
              <w:jc w:val="both"/>
              <w:rPr>
                <w:rFonts w:ascii="Times New Roman" w:hAnsi="Times New Roman" w:cs="Times New Roman"/>
                <w:sz w:val="20"/>
              </w:rPr>
            </w:pPr>
            <w:hyperlink r:id="rId17" w:history="1">
              <w:r w:rsidRPr="00FD66E9">
                <w:rPr>
                  <w:rStyle w:val="Hyperlink"/>
                  <w:rFonts w:ascii="Times New Roman" w:hAnsi="Times New Roman" w:cs="Times New Roman"/>
                  <w:color w:val="auto"/>
                  <w:sz w:val="20"/>
                  <w:u w:val="none"/>
                </w:rPr>
                <w:t>Cao, Y., Ghani, M.I., Ahmad, N., Bibi, N., Ghafoor, A., Liu, J., Gou, J., Zou, X., 2024. Garlic stalk waste and arbuscular mycorrhizae mitigate challenges in continuously monocropping eggplant obstacles by modulating physiochemical properties and fungal community structure. BMC Plant Biology 24, 1065. https://doi.org/10.1186/s12870-024-05710-4</w:t>
              </w:r>
            </w:hyperlink>
          </w:p>
        </w:tc>
        <w:tc>
          <w:tcPr>
            <w:tcW w:w="703" w:type="pct"/>
            <w:noWrap/>
            <w:hideMark/>
          </w:tcPr>
          <w:p w14:paraId="041958B9"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(Cao et al., 2024)</w:t>
            </w:r>
          </w:p>
        </w:tc>
        <w:tc>
          <w:tcPr>
            <w:tcW w:w="703" w:type="pct"/>
            <w:noWrap/>
            <w:hideMark/>
          </w:tcPr>
          <w:p w14:paraId="5B6D69ED"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2024</w:t>
            </w:r>
          </w:p>
        </w:tc>
      </w:tr>
      <w:tr w:rsidR="00B82AC7" w:rsidRPr="00FD66E9" w14:paraId="65E79825" w14:textId="77777777" w:rsidTr="006F484F">
        <w:trPr>
          <w:trHeight w:val="321"/>
        </w:trPr>
        <w:tc>
          <w:tcPr>
            <w:tcW w:w="547" w:type="pct"/>
          </w:tcPr>
          <w:p w14:paraId="22827CBA"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2D13D937" w14:textId="77777777" w:rsidR="00B82AC7" w:rsidRPr="00FD66E9" w:rsidRDefault="00B82AC7" w:rsidP="00170D2F">
            <w:pPr>
              <w:spacing w:line="360" w:lineRule="auto"/>
              <w:jc w:val="both"/>
              <w:rPr>
                <w:rFonts w:ascii="Times New Roman" w:hAnsi="Times New Roman" w:cs="Times New Roman"/>
                <w:sz w:val="20"/>
              </w:rPr>
            </w:pPr>
            <w:hyperlink r:id="rId18" w:history="1">
              <w:r w:rsidRPr="00FD66E9">
                <w:rPr>
                  <w:rStyle w:val="Hyperlink"/>
                  <w:rFonts w:ascii="Times New Roman" w:hAnsi="Times New Roman" w:cs="Times New Roman"/>
                  <w:color w:val="auto"/>
                  <w:sz w:val="20"/>
                  <w:u w:val="none"/>
                </w:rPr>
                <w:t>Chen, J., Wang, L., Liang, X., Li, B., He, Y., &amp; Zhan, F. (2023). An arbuscular mycorrhizal fungus differentially regulates root traits and cadmium uptake in two maize varieties. Ecotoxicology and Environmental Safety, 264, 115458. https://doi.org/10.1016/j.ecoenv.2023.115458</w:t>
              </w:r>
            </w:hyperlink>
          </w:p>
        </w:tc>
        <w:tc>
          <w:tcPr>
            <w:tcW w:w="703" w:type="pct"/>
            <w:noWrap/>
            <w:hideMark/>
          </w:tcPr>
          <w:p w14:paraId="6D80CE65"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(Chen et al., 2023)</w:t>
            </w:r>
          </w:p>
        </w:tc>
        <w:tc>
          <w:tcPr>
            <w:tcW w:w="703" w:type="pct"/>
            <w:noWrap/>
            <w:hideMark/>
          </w:tcPr>
          <w:p w14:paraId="017AFA79"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2023</w:t>
            </w:r>
          </w:p>
        </w:tc>
      </w:tr>
      <w:tr w:rsidR="00B82AC7" w:rsidRPr="00FD66E9" w14:paraId="191154FD" w14:textId="77777777" w:rsidTr="006F484F">
        <w:trPr>
          <w:trHeight w:val="321"/>
        </w:trPr>
        <w:tc>
          <w:tcPr>
            <w:tcW w:w="547" w:type="pct"/>
          </w:tcPr>
          <w:p w14:paraId="0BC32D82"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16089FCC" w14:textId="77777777" w:rsidR="00B82AC7" w:rsidRPr="00FD66E9" w:rsidRDefault="00B82AC7" w:rsidP="00170D2F">
            <w:pPr>
              <w:spacing w:line="360" w:lineRule="auto"/>
              <w:jc w:val="both"/>
              <w:rPr>
                <w:rFonts w:ascii="Times New Roman" w:hAnsi="Times New Roman" w:cs="Times New Roman"/>
                <w:sz w:val="20"/>
              </w:rPr>
            </w:pPr>
            <w:hyperlink r:id="rId19" w:history="1">
              <w:r w:rsidRPr="00FD66E9">
                <w:rPr>
                  <w:rStyle w:val="Hyperlink"/>
                  <w:rFonts w:ascii="Times New Roman" w:hAnsi="Times New Roman" w:cs="Times New Roman"/>
                  <w:color w:val="auto"/>
                  <w:sz w:val="20"/>
                  <w:u w:val="none"/>
                </w:rPr>
                <w:t>Cosme, M., &amp; Wurst, S. (2013).</w:t>
              </w:r>
              <w:r w:rsidRPr="00FD66E9">
                <w:rPr>
                  <w:rStyle w:val="Hyperlink"/>
                  <w:rFonts w:ascii="Times New Roman" w:hAnsi="Times New Roman" w:cs="Times New Roman"/>
                  <w:color w:val="auto"/>
                  <w:sz w:val="20"/>
                  <w:u w:val="none"/>
                </w:rPr>
                <w:br/>
                <w:t xml:space="preserve"> Interactions between arbuscular mycorrhizal fungi, rhizobacteria, soil phosphorus and plant cytokinin deficiency change the root morphology, yield and quality of tobacco. Soil Biology and </w:t>
              </w:r>
              <w:r w:rsidRPr="00FD66E9">
                <w:rPr>
                  <w:rStyle w:val="Hyperlink"/>
                  <w:rFonts w:ascii="Times New Roman" w:hAnsi="Times New Roman" w:cs="Times New Roman"/>
                  <w:color w:val="auto"/>
                  <w:sz w:val="20"/>
                  <w:u w:val="none"/>
                </w:rPr>
                <w:lastRenderedPageBreak/>
                <w:t>Biochemistry, 57, 436–443. https://doi.org/10.1016/j.soilbio.2012.09.024</w:t>
              </w:r>
            </w:hyperlink>
          </w:p>
        </w:tc>
        <w:tc>
          <w:tcPr>
            <w:tcW w:w="703" w:type="pct"/>
            <w:noWrap/>
            <w:hideMark/>
          </w:tcPr>
          <w:p w14:paraId="63E71B9E"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lastRenderedPageBreak/>
              <w:t>(Cosme &amp; Wurst, 2013)</w:t>
            </w:r>
          </w:p>
        </w:tc>
        <w:tc>
          <w:tcPr>
            <w:tcW w:w="703" w:type="pct"/>
            <w:noWrap/>
            <w:hideMark/>
          </w:tcPr>
          <w:p w14:paraId="341B5ED1"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2013</w:t>
            </w:r>
          </w:p>
        </w:tc>
      </w:tr>
      <w:tr w:rsidR="00B82AC7" w:rsidRPr="00FD66E9" w14:paraId="4AD5D496" w14:textId="77777777" w:rsidTr="006F484F">
        <w:trPr>
          <w:trHeight w:val="321"/>
        </w:trPr>
        <w:tc>
          <w:tcPr>
            <w:tcW w:w="547" w:type="pct"/>
          </w:tcPr>
          <w:p w14:paraId="78714D86"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28DB3D11" w14:textId="77777777" w:rsidR="00B82AC7" w:rsidRPr="00FD66E9" w:rsidRDefault="00B82AC7" w:rsidP="00170D2F">
            <w:pPr>
              <w:spacing w:line="360" w:lineRule="auto"/>
              <w:jc w:val="both"/>
              <w:rPr>
                <w:rFonts w:ascii="Times New Roman" w:hAnsi="Times New Roman" w:cs="Times New Roman"/>
                <w:sz w:val="20"/>
              </w:rPr>
            </w:pPr>
            <w:hyperlink r:id="rId20" w:history="1">
              <w:r w:rsidRPr="00FD66E9">
                <w:rPr>
                  <w:rStyle w:val="Hyperlink"/>
                  <w:rFonts w:ascii="Times New Roman" w:hAnsi="Times New Roman" w:cs="Times New Roman"/>
                  <w:color w:val="auto"/>
                  <w:sz w:val="20"/>
                  <w:u w:val="none"/>
                </w:rPr>
                <w:t>Duan, D., Feng, X., Wu, N., Tian, Z., Dong, X., Liu, H., Nan, Z., Chen, T., 2023. Drought Eliminates the Difference in Root Trait Plasticity and Mycorrhizal Responsiveness of Two Semiarid Grassland Species with Contrasting Root System. International Journal of Molecular Sciences 24, 10262. https://doi.org/10.3390/ijms241210262</w:t>
              </w:r>
            </w:hyperlink>
          </w:p>
        </w:tc>
        <w:tc>
          <w:tcPr>
            <w:tcW w:w="703" w:type="pct"/>
            <w:noWrap/>
            <w:hideMark/>
          </w:tcPr>
          <w:p w14:paraId="7DC26D25"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(Duan et al., 2023)</w:t>
            </w:r>
          </w:p>
        </w:tc>
        <w:tc>
          <w:tcPr>
            <w:tcW w:w="703" w:type="pct"/>
            <w:noWrap/>
            <w:hideMark/>
          </w:tcPr>
          <w:p w14:paraId="26E21895"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2023</w:t>
            </w:r>
          </w:p>
        </w:tc>
      </w:tr>
      <w:tr w:rsidR="00B82AC7" w:rsidRPr="00FD66E9" w14:paraId="6427594D" w14:textId="77777777" w:rsidTr="006F484F">
        <w:trPr>
          <w:trHeight w:val="321"/>
        </w:trPr>
        <w:tc>
          <w:tcPr>
            <w:tcW w:w="547" w:type="pct"/>
          </w:tcPr>
          <w:p w14:paraId="51A5C5A4"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7EC63DF5" w14:textId="77777777" w:rsidR="00B82AC7" w:rsidRPr="00FD66E9" w:rsidRDefault="00B82AC7" w:rsidP="00170D2F">
            <w:pPr>
              <w:spacing w:line="360" w:lineRule="auto"/>
              <w:jc w:val="both"/>
              <w:rPr>
                <w:rFonts w:ascii="Times New Roman" w:hAnsi="Times New Roman" w:cs="Times New Roman"/>
                <w:sz w:val="20"/>
              </w:rPr>
            </w:pPr>
            <w:hyperlink r:id="rId21" w:history="1">
              <w:r w:rsidRPr="00FD66E9">
                <w:rPr>
                  <w:rStyle w:val="Hyperlink"/>
                  <w:rFonts w:ascii="Times New Roman" w:hAnsi="Times New Roman" w:cs="Times New Roman"/>
                  <w:color w:val="auto"/>
                  <w:sz w:val="20"/>
                  <w:u w:val="none"/>
                </w:rPr>
                <w:t xml:space="preserve">Echeverria, M., Scambato, A. A., Sannazzaro, A. I., </w:t>
              </w:r>
              <w:r w:rsidRPr="00FD66E9">
                <w:rPr>
                  <w:rStyle w:val="Hyperlink"/>
                  <w:rFonts w:ascii="Times New Roman" w:hAnsi="Times New Roman" w:cs="Times New Roman"/>
                  <w:color w:val="auto"/>
                  <w:sz w:val="20"/>
                  <w:u w:val="none"/>
                </w:rPr>
                <w:br/>
                <w:t>Maiale, S., Ruiz, O. A., &amp; Menéndez, A. B. (2008). Phenotypic plasticity with respect to salt stress response by Lotus glaber: The role of its AM fungal and rhizobial symbionts. Mycorrhiza, 18(6), 317–329. https://doi.org/10.1007/s00572-008-0184-3</w:t>
              </w:r>
            </w:hyperlink>
          </w:p>
        </w:tc>
        <w:tc>
          <w:tcPr>
            <w:tcW w:w="703" w:type="pct"/>
            <w:noWrap/>
            <w:hideMark/>
          </w:tcPr>
          <w:p w14:paraId="1643CA68"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(Echeverria et al., 2008)</w:t>
            </w:r>
          </w:p>
        </w:tc>
        <w:tc>
          <w:tcPr>
            <w:tcW w:w="703" w:type="pct"/>
            <w:noWrap/>
            <w:hideMark/>
          </w:tcPr>
          <w:p w14:paraId="41B8A88F"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2008</w:t>
            </w:r>
          </w:p>
        </w:tc>
      </w:tr>
      <w:tr w:rsidR="00B82AC7" w:rsidRPr="00FD66E9" w14:paraId="64605C21" w14:textId="77777777" w:rsidTr="006F484F">
        <w:trPr>
          <w:trHeight w:val="321"/>
        </w:trPr>
        <w:tc>
          <w:tcPr>
            <w:tcW w:w="547" w:type="pct"/>
          </w:tcPr>
          <w:p w14:paraId="740DDE79"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2D3EDC97" w14:textId="77777777" w:rsidR="00B82AC7" w:rsidRPr="00FD66E9" w:rsidRDefault="00B82AC7" w:rsidP="00170D2F">
            <w:pPr>
              <w:spacing w:line="360" w:lineRule="auto"/>
              <w:jc w:val="both"/>
              <w:rPr>
                <w:rFonts w:ascii="Times New Roman" w:hAnsi="Times New Roman" w:cs="Times New Roman"/>
                <w:sz w:val="20"/>
              </w:rPr>
            </w:pPr>
            <w:hyperlink r:id="rId22" w:history="1">
              <w:r w:rsidRPr="00FD66E9">
                <w:rPr>
                  <w:rStyle w:val="Hyperlink"/>
                  <w:rFonts w:ascii="Times New Roman" w:hAnsi="Times New Roman" w:cs="Times New Roman"/>
                  <w:color w:val="auto"/>
                  <w:sz w:val="20"/>
                  <w:u w:val="none"/>
                </w:rPr>
                <w:t>Eltigani, A., Müller, A., Ngwene, B., &amp; George, E. (2022). Physiological and Morphological Responses of Okra (Abelmoschus esculentus L.) to Rhizoglomus irregulare Inoculation under Ample Water and Drought Stress Conditions Are Cultivar Dependent. Plants, 11(1), Article 1. https://doi.org/10.3390/plants11010089</w:t>
              </w:r>
            </w:hyperlink>
          </w:p>
        </w:tc>
        <w:tc>
          <w:tcPr>
            <w:tcW w:w="703" w:type="pct"/>
            <w:noWrap/>
            <w:hideMark/>
          </w:tcPr>
          <w:p w14:paraId="5FA1644C"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(Eltigani et al., 2022)</w:t>
            </w:r>
          </w:p>
        </w:tc>
        <w:tc>
          <w:tcPr>
            <w:tcW w:w="703" w:type="pct"/>
            <w:noWrap/>
            <w:hideMark/>
          </w:tcPr>
          <w:p w14:paraId="4D919079"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2022</w:t>
            </w:r>
          </w:p>
        </w:tc>
      </w:tr>
      <w:tr w:rsidR="00B82AC7" w:rsidRPr="00FD66E9" w14:paraId="79E8EA77" w14:textId="77777777" w:rsidTr="006F484F">
        <w:trPr>
          <w:trHeight w:val="321"/>
        </w:trPr>
        <w:tc>
          <w:tcPr>
            <w:tcW w:w="547" w:type="pct"/>
          </w:tcPr>
          <w:p w14:paraId="67595BB3"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2E8FD836" w14:textId="77777777" w:rsidR="00B82AC7" w:rsidRPr="00FD66E9" w:rsidRDefault="00B82AC7" w:rsidP="00170D2F">
            <w:pPr>
              <w:spacing w:line="360" w:lineRule="auto"/>
              <w:jc w:val="both"/>
              <w:rPr>
                <w:rFonts w:ascii="Times New Roman" w:hAnsi="Times New Roman" w:cs="Times New Roman"/>
                <w:sz w:val="20"/>
              </w:rPr>
            </w:pPr>
            <w:hyperlink r:id="rId23" w:history="1">
              <w:r w:rsidRPr="00FD66E9">
                <w:rPr>
                  <w:rStyle w:val="Hyperlink"/>
                  <w:rFonts w:ascii="Times New Roman" w:hAnsi="Times New Roman" w:cs="Times New Roman"/>
                  <w:color w:val="auto"/>
                  <w:sz w:val="20"/>
                  <w:u w:val="none"/>
                </w:rPr>
                <w:t>Fan, L., Dalpé, Y., Fang, C., Dubé, C., &amp; Khanizadeh, S. (2011).</w:t>
              </w:r>
              <w:r w:rsidRPr="00FD66E9">
                <w:rPr>
                  <w:rStyle w:val="Hyperlink"/>
                  <w:rFonts w:ascii="Times New Roman" w:hAnsi="Times New Roman" w:cs="Times New Roman"/>
                  <w:color w:val="auto"/>
                  <w:sz w:val="20"/>
                  <w:u w:val="none"/>
                </w:rPr>
                <w:br/>
                <w:t xml:space="preserve"> Influence of arbuscular mycorrhizae on biomass and root morphology of selected strawberry cultivars under salt stress. Botany, 89(6), 397–403. https://doi.org/10.1139/b11-028</w:t>
              </w:r>
            </w:hyperlink>
          </w:p>
        </w:tc>
        <w:tc>
          <w:tcPr>
            <w:tcW w:w="703" w:type="pct"/>
            <w:noWrap/>
            <w:hideMark/>
          </w:tcPr>
          <w:p w14:paraId="5F6662C9"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(Fan et al., 2011)</w:t>
            </w:r>
          </w:p>
        </w:tc>
        <w:tc>
          <w:tcPr>
            <w:tcW w:w="703" w:type="pct"/>
            <w:noWrap/>
            <w:hideMark/>
          </w:tcPr>
          <w:p w14:paraId="75E8AAAF"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2011</w:t>
            </w:r>
          </w:p>
        </w:tc>
      </w:tr>
      <w:tr w:rsidR="00B82AC7" w:rsidRPr="00FD66E9" w14:paraId="18818AF2" w14:textId="77777777" w:rsidTr="006F484F">
        <w:trPr>
          <w:trHeight w:val="321"/>
        </w:trPr>
        <w:tc>
          <w:tcPr>
            <w:tcW w:w="547" w:type="pct"/>
          </w:tcPr>
          <w:p w14:paraId="0ED7D70D"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4A939A74" w14:textId="77777777" w:rsidR="00B82AC7" w:rsidRPr="00FD66E9" w:rsidRDefault="00B82AC7" w:rsidP="00170D2F">
            <w:pPr>
              <w:spacing w:line="360" w:lineRule="auto"/>
              <w:jc w:val="both"/>
              <w:rPr>
                <w:rFonts w:ascii="Times New Roman" w:hAnsi="Times New Roman" w:cs="Times New Roman"/>
                <w:sz w:val="20"/>
              </w:rPr>
            </w:pPr>
            <w:hyperlink r:id="rId24" w:history="1">
              <w:r w:rsidRPr="00FD66E9">
                <w:rPr>
                  <w:rStyle w:val="Hyperlink"/>
                  <w:rFonts w:ascii="Times New Roman" w:hAnsi="Times New Roman" w:cs="Times New Roman"/>
                  <w:color w:val="auto"/>
                  <w:sz w:val="20"/>
                  <w:u w:val="none"/>
                </w:rPr>
                <w:t xml:space="preserve">Feng, J., Lv, W., Xu, J., Huang, Z., </w:t>
              </w:r>
              <w:r w:rsidRPr="00FD66E9">
                <w:rPr>
                  <w:rStyle w:val="Hyperlink"/>
                  <w:rFonts w:ascii="Times New Roman" w:hAnsi="Times New Roman" w:cs="Times New Roman"/>
                  <w:color w:val="auto"/>
                  <w:sz w:val="20"/>
                  <w:u w:val="none"/>
                </w:rPr>
                <w:br/>
                <w:t>Rui, W., Lei, X., Ju, X., &amp; Li, Z. (2022). Overlapping Root Architecture and Gene Expression of Nitrogen Transporters for Nitrogen Acquisition of Tomato Plants Colonized with Isolates of Funneliformis mosseae in Hydroponic Production. Plants, 11(9), Article 9. https://doi.org/10.3390/plants11091176</w:t>
              </w:r>
            </w:hyperlink>
          </w:p>
        </w:tc>
        <w:tc>
          <w:tcPr>
            <w:tcW w:w="703" w:type="pct"/>
            <w:noWrap/>
            <w:hideMark/>
          </w:tcPr>
          <w:p w14:paraId="1B991F99"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(Feng et al., 2022)</w:t>
            </w:r>
          </w:p>
        </w:tc>
        <w:tc>
          <w:tcPr>
            <w:tcW w:w="703" w:type="pct"/>
            <w:noWrap/>
            <w:hideMark/>
          </w:tcPr>
          <w:p w14:paraId="5C5DE0AF"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2022</w:t>
            </w:r>
          </w:p>
        </w:tc>
      </w:tr>
      <w:tr w:rsidR="00B82AC7" w:rsidRPr="00FD66E9" w14:paraId="476FB6C2" w14:textId="77777777" w:rsidTr="006F484F">
        <w:trPr>
          <w:trHeight w:val="321"/>
        </w:trPr>
        <w:tc>
          <w:tcPr>
            <w:tcW w:w="547" w:type="pct"/>
          </w:tcPr>
          <w:p w14:paraId="518A462B"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16214EC6" w14:textId="77777777" w:rsidR="00B82AC7" w:rsidRPr="00FD66E9" w:rsidRDefault="00B82AC7" w:rsidP="00170D2F">
            <w:pPr>
              <w:spacing w:line="360" w:lineRule="auto"/>
              <w:jc w:val="both"/>
              <w:rPr>
                <w:rFonts w:ascii="Times New Roman" w:hAnsi="Times New Roman" w:cs="Times New Roman"/>
                <w:sz w:val="20"/>
              </w:rPr>
            </w:pPr>
            <w:hyperlink r:id="rId25" w:history="1">
              <w:r w:rsidRPr="00FD66E9">
                <w:rPr>
                  <w:rStyle w:val="Hyperlink"/>
                  <w:rFonts w:ascii="Times New Roman" w:hAnsi="Times New Roman" w:cs="Times New Roman"/>
                  <w:color w:val="auto"/>
                  <w:sz w:val="20"/>
                  <w:u w:val="none"/>
                </w:rPr>
                <w:t>Ferreira, P.A.A., Marchezan, C., Scopel, G., Schwab, N.T., da Silva, E.P., Soares, C.R.F.S., Brunetto, G., Stürmer, S.L., 2024. Field Application of Mycorrhizal Inoculant Influences Growth, Nutrition, and Physiological Parameters of Corn Plants and Affects Soil Microbiological Attributes. Agronomy 14, 3006. https://doi.org/10.3390/agronomy14123006</w:t>
              </w:r>
            </w:hyperlink>
          </w:p>
        </w:tc>
        <w:tc>
          <w:tcPr>
            <w:tcW w:w="703" w:type="pct"/>
            <w:noWrap/>
            <w:hideMark/>
          </w:tcPr>
          <w:p w14:paraId="16D7AC58"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(Ferreira et al., 2024)</w:t>
            </w:r>
          </w:p>
        </w:tc>
        <w:tc>
          <w:tcPr>
            <w:tcW w:w="703" w:type="pct"/>
            <w:noWrap/>
            <w:hideMark/>
          </w:tcPr>
          <w:p w14:paraId="6AFB5819"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2024</w:t>
            </w:r>
          </w:p>
        </w:tc>
      </w:tr>
      <w:tr w:rsidR="00B82AC7" w:rsidRPr="00FD66E9" w14:paraId="2C346B3E" w14:textId="77777777" w:rsidTr="006F484F">
        <w:trPr>
          <w:trHeight w:val="321"/>
        </w:trPr>
        <w:tc>
          <w:tcPr>
            <w:tcW w:w="547" w:type="pct"/>
          </w:tcPr>
          <w:p w14:paraId="3BDFA4D3"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0F6674F5" w14:textId="77777777" w:rsidR="00B82AC7" w:rsidRPr="00FD66E9" w:rsidRDefault="00B82AC7" w:rsidP="00170D2F">
            <w:pPr>
              <w:spacing w:line="360" w:lineRule="auto"/>
              <w:jc w:val="both"/>
              <w:rPr>
                <w:rFonts w:ascii="Times New Roman" w:hAnsi="Times New Roman" w:cs="Times New Roman"/>
                <w:sz w:val="20"/>
              </w:rPr>
            </w:pPr>
            <w:hyperlink r:id="rId26" w:history="1">
              <w:r w:rsidRPr="00FD66E9">
                <w:rPr>
                  <w:rStyle w:val="Hyperlink"/>
                  <w:rFonts w:ascii="Times New Roman" w:hAnsi="Times New Roman" w:cs="Times New Roman"/>
                  <w:color w:val="auto"/>
                  <w:sz w:val="20"/>
                  <w:u w:val="none"/>
                </w:rPr>
                <w:t>Forbes, P., Ellison, C., &amp; Hooker, J. (1996).</w:t>
              </w:r>
              <w:r w:rsidRPr="00FD66E9">
                <w:rPr>
                  <w:rStyle w:val="Hyperlink"/>
                  <w:rFonts w:ascii="Times New Roman" w:hAnsi="Times New Roman" w:cs="Times New Roman"/>
                  <w:color w:val="auto"/>
                  <w:sz w:val="20"/>
                  <w:u w:val="none"/>
                </w:rPr>
                <w:br/>
                <w:t xml:space="preserve"> The impact of arbuscular mycorrhizal fungi and temperature on root system development. Agronomie, 16(10), 617–620. https://doi.org/10.1051/agro:19961004</w:t>
              </w:r>
            </w:hyperlink>
          </w:p>
        </w:tc>
        <w:tc>
          <w:tcPr>
            <w:tcW w:w="703" w:type="pct"/>
            <w:noWrap/>
            <w:hideMark/>
          </w:tcPr>
          <w:p w14:paraId="68A1A69B"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(Forbes et al., 1996)</w:t>
            </w:r>
          </w:p>
        </w:tc>
        <w:tc>
          <w:tcPr>
            <w:tcW w:w="703" w:type="pct"/>
            <w:noWrap/>
            <w:hideMark/>
          </w:tcPr>
          <w:p w14:paraId="1C816CB7"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1996</w:t>
            </w:r>
          </w:p>
        </w:tc>
      </w:tr>
      <w:tr w:rsidR="00B82AC7" w:rsidRPr="00FD66E9" w14:paraId="12A99D80" w14:textId="77777777" w:rsidTr="006F484F">
        <w:trPr>
          <w:trHeight w:val="321"/>
        </w:trPr>
        <w:tc>
          <w:tcPr>
            <w:tcW w:w="547" w:type="pct"/>
          </w:tcPr>
          <w:p w14:paraId="24FE8A65"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hideMark/>
          </w:tcPr>
          <w:p w14:paraId="77BC02EE" w14:textId="77777777" w:rsidR="00B82AC7" w:rsidRPr="00FD66E9" w:rsidRDefault="00B82AC7" w:rsidP="00170D2F">
            <w:pPr>
              <w:spacing w:line="360" w:lineRule="auto"/>
              <w:jc w:val="both"/>
              <w:rPr>
                <w:rFonts w:ascii="Times New Roman" w:hAnsi="Times New Roman" w:cs="Times New Roman"/>
                <w:sz w:val="20"/>
              </w:rPr>
            </w:pPr>
            <w:hyperlink r:id="rId27" w:history="1">
              <w:r w:rsidRPr="00FD66E9">
                <w:rPr>
                  <w:rStyle w:val="Hyperlink"/>
                  <w:rFonts w:ascii="Times New Roman" w:hAnsi="Times New Roman" w:cs="Times New Roman"/>
                  <w:color w:val="auto"/>
                  <w:sz w:val="20"/>
                  <w:u w:val="none"/>
                </w:rPr>
                <w:t>Funakoshi, Y., Daimon, H., &amp; Matsumura, A. (2018).</w:t>
              </w:r>
              <w:r w:rsidRPr="00FD66E9">
                <w:rPr>
                  <w:rStyle w:val="Hyperlink"/>
                  <w:rFonts w:ascii="Times New Roman" w:hAnsi="Times New Roman" w:cs="Times New Roman"/>
                  <w:color w:val="auto"/>
                  <w:sz w:val="20"/>
                  <w:u w:val="none"/>
                </w:rPr>
                <w:br/>
                <w:t xml:space="preserve"> Morphological and physiological studies on densely branched lateral roots triggered by localized phosphate in Sesbania cannabina. Journal of Plant Nutrition and Soil Science, 181(3), 336–344. https://doi.org/10.1002/jpln.201700228</w:t>
              </w:r>
            </w:hyperlink>
          </w:p>
        </w:tc>
        <w:tc>
          <w:tcPr>
            <w:tcW w:w="703" w:type="pct"/>
            <w:noWrap/>
            <w:hideMark/>
          </w:tcPr>
          <w:p w14:paraId="02C958D4"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(Funakoshi et al., 2018)</w:t>
            </w:r>
          </w:p>
        </w:tc>
        <w:tc>
          <w:tcPr>
            <w:tcW w:w="703" w:type="pct"/>
            <w:noWrap/>
            <w:hideMark/>
          </w:tcPr>
          <w:p w14:paraId="016173F1"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2018</w:t>
            </w:r>
          </w:p>
        </w:tc>
      </w:tr>
      <w:tr w:rsidR="00B82AC7" w:rsidRPr="00FD66E9" w14:paraId="61598A7B" w14:textId="77777777" w:rsidTr="006F484F">
        <w:trPr>
          <w:trHeight w:val="321"/>
        </w:trPr>
        <w:tc>
          <w:tcPr>
            <w:tcW w:w="547" w:type="pct"/>
          </w:tcPr>
          <w:p w14:paraId="0790FBE4"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hideMark/>
          </w:tcPr>
          <w:p w14:paraId="37F98633" w14:textId="77777777" w:rsidR="00B82AC7" w:rsidRPr="00FD66E9" w:rsidRDefault="00B82AC7" w:rsidP="00170D2F">
            <w:pPr>
              <w:spacing w:line="360" w:lineRule="auto"/>
              <w:jc w:val="both"/>
              <w:rPr>
                <w:rFonts w:ascii="Times New Roman" w:hAnsi="Times New Roman" w:cs="Times New Roman"/>
                <w:sz w:val="20"/>
              </w:rPr>
            </w:pPr>
            <w:hyperlink r:id="rId28" w:history="1">
              <w:r w:rsidRPr="00FD66E9">
                <w:rPr>
                  <w:rStyle w:val="Hyperlink"/>
                  <w:rFonts w:ascii="Times New Roman" w:hAnsi="Times New Roman" w:cs="Times New Roman"/>
                  <w:color w:val="auto"/>
                  <w:sz w:val="20"/>
                  <w:u w:val="none"/>
                </w:rPr>
                <w:t xml:space="preserve">Gamalero, E., Trotta, A., Massa, N., </w:t>
              </w:r>
              <w:r w:rsidRPr="00FD66E9">
                <w:rPr>
                  <w:rStyle w:val="Hyperlink"/>
                  <w:rFonts w:ascii="Times New Roman" w:hAnsi="Times New Roman" w:cs="Times New Roman"/>
                  <w:color w:val="auto"/>
                  <w:sz w:val="20"/>
                  <w:u w:val="none"/>
                </w:rPr>
                <w:br/>
                <w:t>Copetta, A., Martinotti, M. G., &amp; Berta, G. (2004). Impact of two fluorescent pseudomonads and an arbuscular mycorrhizal fungus on tomato plant growth, root architecture and P acquisition. Mycorrhiza, 14(3), 185–192. https://doi.org/10.1007/s00572-003-0256-3</w:t>
              </w:r>
            </w:hyperlink>
          </w:p>
        </w:tc>
        <w:tc>
          <w:tcPr>
            <w:tcW w:w="703" w:type="pct"/>
            <w:noWrap/>
            <w:hideMark/>
          </w:tcPr>
          <w:p w14:paraId="7A9E1232"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(Gamalero et al., 2004)</w:t>
            </w:r>
          </w:p>
        </w:tc>
        <w:tc>
          <w:tcPr>
            <w:tcW w:w="703" w:type="pct"/>
            <w:noWrap/>
            <w:hideMark/>
          </w:tcPr>
          <w:p w14:paraId="1D2CF902"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2004</w:t>
            </w:r>
          </w:p>
        </w:tc>
      </w:tr>
      <w:tr w:rsidR="00B82AC7" w:rsidRPr="00FD66E9" w14:paraId="5E09DF93" w14:textId="77777777" w:rsidTr="006F484F">
        <w:trPr>
          <w:trHeight w:val="321"/>
        </w:trPr>
        <w:tc>
          <w:tcPr>
            <w:tcW w:w="547" w:type="pct"/>
          </w:tcPr>
          <w:p w14:paraId="48417E58"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1C826FA7" w14:textId="77777777" w:rsidR="00B82AC7" w:rsidRPr="00FD66E9" w:rsidRDefault="00B82AC7" w:rsidP="00170D2F">
            <w:pPr>
              <w:spacing w:line="360" w:lineRule="auto"/>
              <w:jc w:val="both"/>
              <w:rPr>
                <w:rFonts w:ascii="Times New Roman" w:hAnsi="Times New Roman" w:cs="Times New Roman"/>
                <w:sz w:val="20"/>
              </w:rPr>
            </w:pPr>
            <w:hyperlink r:id="rId29" w:history="1">
              <w:r w:rsidRPr="00FD66E9">
                <w:rPr>
                  <w:rStyle w:val="Hyperlink"/>
                  <w:rFonts w:ascii="Times New Roman" w:hAnsi="Times New Roman" w:cs="Times New Roman"/>
                  <w:color w:val="auto"/>
                  <w:sz w:val="20"/>
                  <w:u w:val="none"/>
                </w:rPr>
                <w:t>Gamalero, E., Berta, G., Massa, N., Glick, B. r.,</w:t>
              </w:r>
              <w:r w:rsidRPr="00FD66E9">
                <w:rPr>
                  <w:rStyle w:val="Hyperlink"/>
                  <w:rFonts w:ascii="Times New Roman" w:hAnsi="Times New Roman" w:cs="Times New Roman"/>
                  <w:color w:val="auto"/>
                  <w:sz w:val="20"/>
                  <w:u w:val="none"/>
                </w:rPr>
                <w:br/>
                <w:t xml:space="preserve"> &amp; Lingua, G. (2010). Interactions between Pseudomonas putida UW4 and Gigaspora rosea BEG9 and their consequences for the growth of cucumber under salt-stress conditions. Journal of Applied Microbiology, 108(1), 236–245. https://doi.org/10.1111/j.1365-2672.2009.04414.x</w:t>
              </w:r>
            </w:hyperlink>
          </w:p>
        </w:tc>
        <w:tc>
          <w:tcPr>
            <w:tcW w:w="703" w:type="pct"/>
            <w:noWrap/>
            <w:hideMark/>
          </w:tcPr>
          <w:p w14:paraId="53021F33"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(Gamalero et al., 2010)</w:t>
            </w:r>
          </w:p>
        </w:tc>
        <w:tc>
          <w:tcPr>
            <w:tcW w:w="703" w:type="pct"/>
            <w:noWrap/>
            <w:hideMark/>
          </w:tcPr>
          <w:p w14:paraId="1373D6F3"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2010</w:t>
            </w:r>
          </w:p>
        </w:tc>
      </w:tr>
      <w:tr w:rsidR="00B82AC7" w:rsidRPr="00FD66E9" w14:paraId="746B76E8" w14:textId="77777777" w:rsidTr="006F484F">
        <w:trPr>
          <w:trHeight w:val="321"/>
        </w:trPr>
        <w:tc>
          <w:tcPr>
            <w:tcW w:w="547" w:type="pct"/>
          </w:tcPr>
          <w:p w14:paraId="7E3E60A6"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24D5ACD6" w14:textId="77777777" w:rsidR="00B82AC7" w:rsidRPr="00FD66E9" w:rsidRDefault="00B82AC7" w:rsidP="00170D2F">
            <w:pPr>
              <w:spacing w:line="360" w:lineRule="auto"/>
              <w:jc w:val="both"/>
              <w:rPr>
                <w:rFonts w:ascii="Times New Roman" w:hAnsi="Times New Roman" w:cs="Times New Roman"/>
                <w:sz w:val="20"/>
              </w:rPr>
            </w:pPr>
            <w:hyperlink r:id="rId30" w:history="1">
              <w:r w:rsidRPr="00FD66E9">
                <w:rPr>
                  <w:rStyle w:val="Hyperlink"/>
                  <w:rFonts w:ascii="Times New Roman" w:hAnsi="Times New Roman" w:cs="Times New Roman"/>
                  <w:color w:val="auto"/>
                  <w:sz w:val="20"/>
                  <w:u w:val="none"/>
                </w:rPr>
                <w:t>Ghosh, P. K., Rahman, Md. M., Saha, A. K., Ashrafuzzaman, Md., Tofazzal Islam, M., &amp; Siddiqui, Md. N. (2024). Mechanistic Insight into the Physiological and Biochemical Traits Improvement by Mycorrhiza Biofertilization in Soybean Under Phosphorus-Starved Conditions. Journal of Plant Growth Regulation. https://doi.org/10.1007/s00344-024-11319-6</w:t>
              </w:r>
            </w:hyperlink>
          </w:p>
        </w:tc>
        <w:tc>
          <w:tcPr>
            <w:tcW w:w="703" w:type="pct"/>
            <w:noWrap/>
            <w:hideMark/>
          </w:tcPr>
          <w:p w14:paraId="345448B6"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(Ghosh et al., 2024)</w:t>
            </w:r>
          </w:p>
        </w:tc>
        <w:tc>
          <w:tcPr>
            <w:tcW w:w="703" w:type="pct"/>
            <w:noWrap/>
            <w:hideMark/>
          </w:tcPr>
          <w:p w14:paraId="20764616"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2024</w:t>
            </w:r>
          </w:p>
        </w:tc>
      </w:tr>
      <w:tr w:rsidR="00B82AC7" w:rsidRPr="00FD66E9" w14:paraId="0B195B51" w14:textId="77777777" w:rsidTr="006F484F">
        <w:trPr>
          <w:trHeight w:val="321"/>
        </w:trPr>
        <w:tc>
          <w:tcPr>
            <w:tcW w:w="547" w:type="pct"/>
          </w:tcPr>
          <w:p w14:paraId="7F707CE5"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592F3651" w14:textId="77777777" w:rsidR="00B82AC7" w:rsidRPr="00FD66E9" w:rsidRDefault="00B82AC7" w:rsidP="00170D2F">
            <w:pPr>
              <w:spacing w:line="360" w:lineRule="auto"/>
              <w:jc w:val="both"/>
              <w:rPr>
                <w:rFonts w:ascii="Times New Roman" w:hAnsi="Times New Roman" w:cs="Times New Roman"/>
                <w:sz w:val="20"/>
              </w:rPr>
            </w:pPr>
            <w:hyperlink r:id="rId31" w:history="1">
              <w:r w:rsidRPr="00FD66E9">
                <w:rPr>
                  <w:rStyle w:val="Hyperlink"/>
                  <w:rFonts w:ascii="Times New Roman" w:hAnsi="Times New Roman" w:cs="Times New Roman"/>
                  <w:color w:val="auto"/>
                  <w:sz w:val="20"/>
                  <w:u w:val="none"/>
                </w:rPr>
                <w:t xml:space="preserve">Gutjahr, C., Casieri, L., &amp; Paszkowski, U. (2009). </w:t>
              </w:r>
              <w:r w:rsidRPr="00FD66E9">
                <w:rPr>
                  <w:rStyle w:val="Hyperlink"/>
                  <w:rFonts w:ascii="Times New Roman" w:hAnsi="Times New Roman" w:cs="Times New Roman"/>
                  <w:color w:val="auto"/>
                  <w:sz w:val="20"/>
                  <w:u w:val="none"/>
                </w:rPr>
                <w:br/>
                <w:t>Glomus intraradices induces changes in root system architecture of rice independently of common symbiosis signaling. New Phytologist, 182(4), 829–837. https://doi.org/10.1111/j.1469-8137.2009.02839.x</w:t>
              </w:r>
            </w:hyperlink>
          </w:p>
        </w:tc>
        <w:tc>
          <w:tcPr>
            <w:tcW w:w="703" w:type="pct"/>
            <w:noWrap/>
            <w:hideMark/>
          </w:tcPr>
          <w:p w14:paraId="0343987F"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(Gutjahr et al., 2009)</w:t>
            </w:r>
          </w:p>
        </w:tc>
        <w:tc>
          <w:tcPr>
            <w:tcW w:w="703" w:type="pct"/>
            <w:noWrap/>
            <w:hideMark/>
          </w:tcPr>
          <w:p w14:paraId="533DF629"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2009</w:t>
            </w:r>
          </w:p>
        </w:tc>
      </w:tr>
      <w:tr w:rsidR="00B82AC7" w:rsidRPr="00FD66E9" w14:paraId="1B042E1D" w14:textId="77777777" w:rsidTr="006F484F">
        <w:trPr>
          <w:trHeight w:val="321"/>
        </w:trPr>
        <w:tc>
          <w:tcPr>
            <w:tcW w:w="547" w:type="pct"/>
          </w:tcPr>
          <w:p w14:paraId="421B0C61"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76B1C4DB" w14:textId="77777777" w:rsidR="00B82AC7" w:rsidRPr="00FD66E9" w:rsidRDefault="00B82AC7" w:rsidP="00170D2F">
            <w:pPr>
              <w:spacing w:line="360" w:lineRule="auto"/>
              <w:jc w:val="both"/>
              <w:rPr>
                <w:rFonts w:ascii="Times New Roman" w:hAnsi="Times New Roman" w:cs="Times New Roman"/>
                <w:sz w:val="20"/>
              </w:rPr>
            </w:pPr>
            <w:hyperlink r:id="rId32" w:history="1">
              <w:r w:rsidRPr="00FD66E9">
                <w:rPr>
                  <w:rStyle w:val="Hyperlink"/>
                  <w:rFonts w:ascii="Times New Roman" w:hAnsi="Times New Roman" w:cs="Times New Roman"/>
                  <w:color w:val="auto"/>
                  <w:sz w:val="20"/>
                  <w:u w:val="none"/>
                </w:rPr>
                <w:t xml:space="preserve">Han, J., Zhang, Y., Xi, H., Zeng, J., </w:t>
              </w:r>
              <w:r w:rsidRPr="00FD66E9">
                <w:rPr>
                  <w:rStyle w:val="Hyperlink"/>
                  <w:rFonts w:ascii="Times New Roman" w:hAnsi="Times New Roman" w:cs="Times New Roman"/>
                  <w:color w:val="auto"/>
                  <w:sz w:val="20"/>
                  <w:u w:val="none"/>
                </w:rPr>
                <w:br/>
                <w:t>Peng, Z., Ali, G., &amp; Liu, Y. (2023). Maize, wheat, and soybean root traits depend upon soil phosphorus fertility and mycorrhizal status. Mycorrhiza, 33(5), 359–368. https://doi.org/10.1007/s00572-023-01126-6</w:t>
              </w:r>
            </w:hyperlink>
          </w:p>
        </w:tc>
        <w:tc>
          <w:tcPr>
            <w:tcW w:w="703" w:type="pct"/>
            <w:noWrap/>
            <w:hideMark/>
          </w:tcPr>
          <w:p w14:paraId="1CD9F3DB"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(Han et al., 2023)</w:t>
            </w:r>
          </w:p>
        </w:tc>
        <w:tc>
          <w:tcPr>
            <w:tcW w:w="703" w:type="pct"/>
            <w:noWrap/>
            <w:hideMark/>
          </w:tcPr>
          <w:p w14:paraId="706CDA6B"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2023</w:t>
            </w:r>
          </w:p>
        </w:tc>
      </w:tr>
      <w:tr w:rsidR="00B82AC7" w:rsidRPr="00FD66E9" w14:paraId="15B91185" w14:textId="77777777" w:rsidTr="006F484F">
        <w:trPr>
          <w:trHeight w:val="321"/>
        </w:trPr>
        <w:tc>
          <w:tcPr>
            <w:tcW w:w="547" w:type="pct"/>
          </w:tcPr>
          <w:p w14:paraId="123B24C3"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18612673" w14:textId="77777777" w:rsidR="00B82AC7" w:rsidRPr="00FD66E9" w:rsidRDefault="00B82AC7" w:rsidP="00170D2F">
            <w:pPr>
              <w:spacing w:line="360" w:lineRule="auto"/>
              <w:jc w:val="both"/>
              <w:rPr>
                <w:rFonts w:ascii="Times New Roman" w:hAnsi="Times New Roman" w:cs="Times New Roman"/>
                <w:sz w:val="20"/>
              </w:rPr>
            </w:pPr>
            <w:hyperlink r:id="rId33" w:history="1">
              <w:r w:rsidRPr="00FD66E9">
                <w:rPr>
                  <w:rStyle w:val="Hyperlink"/>
                  <w:rFonts w:ascii="Times New Roman" w:hAnsi="Times New Roman" w:cs="Times New Roman"/>
                  <w:color w:val="auto"/>
                  <w:sz w:val="20"/>
                  <w:u w:val="none"/>
                </w:rPr>
                <w:t>He, Y.M., Fan, X.M., Zhang, G.Q., Li, B., Li, T.G., Zu, Y.Q., Zhan, F.D., 2020. Effects of arbuscular mycorrhizal fungi and dark septate endophytes on maize performance and root traits under a high cadmium stress. South African Journal of Botany, Current and Future Directions in Endophyte Research 134, 415–423. https://doi.org/10.1016/j.sajb.2019.09.018</w:t>
              </w:r>
            </w:hyperlink>
          </w:p>
        </w:tc>
        <w:tc>
          <w:tcPr>
            <w:tcW w:w="703" w:type="pct"/>
            <w:noWrap/>
            <w:hideMark/>
          </w:tcPr>
          <w:p w14:paraId="620CDBAC"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(He et al., 2020)</w:t>
            </w:r>
          </w:p>
        </w:tc>
        <w:tc>
          <w:tcPr>
            <w:tcW w:w="703" w:type="pct"/>
            <w:noWrap/>
            <w:hideMark/>
          </w:tcPr>
          <w:p w14:paraId="225443C8"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2020</w:t>
            </w:r>
          </w:p>
        </w:tc>
      </w:tr>
      <w:tr w:rsidR="00B82AC7" w:rsidRPr="00FD66E9" w14:paraId="56056B68" w14:textId="77777777" w:rsidTr="006F484F">
        <w:trPr>
          <w:trHeight w:val="321"/>
        </w:trPr>
        <w:tc>
          <w:tcPr>
            <w:tcW w:w="547" w:type="pct"/>
          </w:tcPr>
          <w:p w14:paraId="1C38AEE3"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30958794" w14:textId="77777777" w:rsidR="00B82AC7" w:rsidRPr="00FD66E9" w:rsidRDefault="00B82AC7" w:rsidP="00170D2F">
            <w:pPr>
              <w:spacing w:line="360" w:lineRule="auto"/>
              <w:jc w:val="both"/>
              <w:rPr>
                <w:rFonts w:ascii="Times New Roman" w:hAnsi="Times New Roman" w:cs="Times New Roman"/>
                <w:sz w:val="20"/>
              </w:rPr>
            </w:pPr>
            <w:hyperlink r:id="rId34" w:history="1">
              <w:r w:rsidRPr="00FD66E9">
                <w:rPr>
                  <w:rStyle w:val="Hyperlink"/>
                  <w:rFonts w:ascii="Times New Roman" w:hAnsi="Times New Roman" w:cs="Times New Roman"/>
                  <w:color w:val="auto"/>
                  <w:sz w:val="20"/>
                  <w:u w:val="none"/>
                </w:rPr>
                <w:t>Herdler, S., Kreuzer, K., Scheu, S., &amp; Bonkowski, M. (2008). Interactions between arbuscular mycorrhizal fungi (Glomus intraradices, Glomeromycota) and amoebae (Acanthamoeba castellanii, Protozoa) in the rhizosphere of rice (Oryza sativa). Soil Biology and Biochemistry, 40(3), 660–668. https://doi.org/10.1016/j.soilbio.2007.09.026</w:t>
              </w:r>
            </w:hyperlink>
          </w:p>
        </w:tc>
        <w:tc>
          <w:tcPr>
            <w:tcW w:w="703" w:type="pct"/>
            <w:noWrap/>
            <w:hideMark/>
          </w:tcPr>
          <w:p w14:paraId="737F0244"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(Herdler et al., 2008)</w:t>
            </w:r>
          </w:p>
        </w:tc>
        <w:tc>
          <w:tcPr>
            <w:tcW w:w="703" w:type="pct"/>
            <w:noWrap/>
            <w:hideMark/>
          </w:tcPr>
          <w:p w14:paraId="6A86F22C"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2008</w:t>
            </w:r>
          </w:p>
        </w:tc>
      </w:tr>
      <w:tr w:rsidR="00B82AC7" w:rsidRPr="00FD66E9" w14:paraId="3F4147F6" w14:textId="77777777" w:rsidTr="006F484F">
        <w:trPr>
          <w:trHeight w:val="321"/>
        </w:trPr>
        <w:tc>
          <w:tcPr>
            <w:tcW w:w="547" w:type="pct"/>
          </w:tcPr>
          <w:p w14:paraId="25EE9C71"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0F7775CE" w14:textId="77777777" w:rsidR="00B82AC7" w:rsidRPr="00FD66E9" w:rsidRDefault="00B82AC7" w:rsidP="00170D2F">
            <w:pPr>
              <w:spacing w:line="360" w:lineRule="auto"/>
              <w:jc w:val="both"/>
              <w:rPr>
                <w:rFonts w:ascii="Times New Roman" w:hAnsi="Times New Roman" w:cs="Times New Roman"/>
                <w:sz w:val="20"/>
              </w:rPr>
            </w:pPr>
            <w:hyperlink r:id="rId35" w:history="1">
              <w:r w:rsidRPr="00FD66E9">
                <w:rPr>
                  <w:rStyle w:val="Hyperlink"/>
                  <w:rFonts w:ascii="Times New Roman" w:hAnsi="Times New Roman" w:cs="Times New Roman"/>
                  <w:color w:val="auto"/>
                  <w:sz w:val="20"/>
                  <w:u w:val="none"/>
                </w:rPr>
                <w:t>Huangfu, C., Wang, B., Hu, W., 2023. Mycorrhizal colonization had little effect on growth of Carex thunbergii but inhibited its nitrogen uptake under deficit water supply. Annals of Botany 132, 217–227. https://doi.org/10.1093/aob/mcad095</w:t>
              </w:r>
            </w:hyperlink>
          </w:p>
        </w:tc>
        <w:tc>
          <w:tcPr>
            <w:tcW w:w="703" w:type="pct"/>
            <w:noWrap/>
            <w:hideMark/>
          </w:tcPr>
          <w:p w14:paraId="74EF08E5"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(Huangfu et al., 2023)</w:t>
            </w:r>
          </w:p>
        </w:tc>
        <w:tc>
          <w:tcPr>
            <w:tcW w:w="703" w:type="pct"/>
            <w:noWrap/>
            <w:hideMark/>
          </w:tcPr>
          <w:p w14:paraId="113527B7"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2023</w:t>
            </w:r>
          </w:p>
        </w:tc>
      </w:tr>
      <w:tr w:rsidR="00B82AC7" w:rsidRPr="00FD66E9" w14:paraId="3765D190" w14:textId="77777777" w:rsidTr="006F484F">
        <w:trPr>
          <w:trHeight w:val="321"/>
        </w:trPr>
        <w:tc>
          <w:tcPr>
            <w:tcW w:w="547" w:type="pct"/>
          </w:tcPr>
          <w:p w14:paraId="5F31A40D"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2F39BC9D" w14:textId="77777777" w:rsidR="00B82AC7" w:rsidRPr="00FD66E9" w:rsidRDefault="00B82AC7" w:rsidP="00170D2F">
            <w:pPr>
              <w:spacing w:line="360" w:lineRule="auto"/>
              <w:jc w:val="both"/>
              <w:rPr>
                <w:rFonts w:ascii="Times New Roman" w:hAnsi="Times New Roman" w:cs="Times New Roman"/>
                <w:sz w:val="20"/>
              </w:rPr>
            </w:pPr>
            <w:hyperlink r:id="rId36" w:history="1">
              <w:r w:rsidRPr="00FD66E9">
                <w:rPr>
                  <w:rStyle w:val="Hyperlink"/>
                  <w:rFonts w:ascii="Times New Roman" w:hAnsi="Times New Roman" w:cs="Times New Roman"/>
                  <w:color w:val="auto"/>
                  <w:sz w:val="20"/>
                  <w:u w:val="none"/>
                </w:rPr>
                <w:t>Jabborova, D., Annapurna, K., Choudhary, R., Bhowmik, S. N., Desouky, S. E., Selim, S., Azab, I. H. E., Hamada, M. M. A., Nahhas, N. E., &amp; Elkelish, A. (2021). Interactive Impact of Biochar and Arbuscular Mycorrhizal on Root Morphology, Physiological Properties of Fenugreek (Trigonella foenum-graecum L.) and Soil Enzymatic Activities. Agronomy, 11(11), Article 11. https://doi.org/10.3390/agronomy11112341</w:t>
              </w:r>
            </w:hyperlink>
          </w:p>
        </w:tc>
        <w:tc>
          <w:tcPr>
            <w:tcW w:w="703" w:type="pct"/>
            <w:noWrap/>
            <w:hideMark/>
          </w:tcPr>
          <w:p w14:paraId="55059246"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(Jabborova et al., 2021)</w:t>
            </w:r>
          </w:p>
        </w:tc>
        <w:tc>
          <w:tcPr>
            <w:tcW w:w="703" w:type="pct"/>
            <w:noWrap/>
            <w:hideMark/>
          </w:tcPr>
          <w:p w14:paraId="51C96CF5"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2021</w:t>
            </w:r>
          </w:p>
        </w:tc>
      </w:tr>
      <w:tr w:rsidR="00B82AC7" w:rsidRPr="00FD66E9" w14:paraId="4D03B014" w14:textId="77777777" w:rsidTr="006F484F">
        <w:trPr>
          <w:trHeight w:val="321"/>
        </w:trPr>
        <w:tc>
          <w:tcPr>
            <w:tcW w:w="547" w:type="pct"/>
          </w:tcPr>
          <w:p w14:paraId="2510201C"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2D79E995" w14:textId="77777777" w:rsidR="00B82AC7" w:rsidRPr="00FD66E9" w:rsidRDefault="00B82AC7" w:rsidP="00170D2F">
            <w:pPr>
              <w:spacing w:line="360" w:lineRule="auto"/>
              <w:jc w:val="both"/>
              <w:rPr>
                <w:rFonts w:ascii="Times New Roman" w:hAnsi="Times New Roman" w:cs="Times New Roman"/>
                <w:sz w:val="20"/>
              </w:rPr>
            </w:pPr>
            <w:hyperlink r:id="rId37" w:history="1">
              <w:r w:rsidRPr="00FD66E9">
                <w:rPr>
                  <w:rStyle w:val="Hyperlink"/>
                  <w:rFonts w:ascii="Times New Roman" w:hAnsi="Times New Roman" w:cs="Times New Roman"/>
                  <w:color w:val="auto"/>
                  <w:sz w:val="20"/>
                  <w:u w:val="none"/>
                </w:rPr>
                <w:t>Jackson, L. E., Miller, D., &amp; Smith, S. E. (2002).</w:t>
              </w:r>
              <w:r w:rsidRPr="00FD66E9">
                <w:rPr>
                  <w:rStyle w:val="Hyperlink"/>
                  <w:rFonts w:ascii="Times New Roman" w:hAnsi="Times New Roman" w:cs="Times New Roman"/>
                  <w:color w:val="auto"/>
                  <w:sz w:val="20"/>
                  <w:u w:val="none"/>
                </w:rPr>
                <w:br/>
                <w:t xml:space="preserve"> Arbuscular mycorrhizal colonization and growth of wild and cultivated lettuce in response to nitrogen and phosphorus. Scientia Horticulturae, 94(3), 205–218. https://doi.org/10.1016/S0304-4238(01)00341-7</w:t>
              </w:r>
            </w:hyperlink>
          </w:p>
        </w:tc>
        <w:tc>
          <w:tcPr>
            <w:tcW w:w="703" w:type="pct"/>
            <w:noWrap/>
            <w:hideMark/>
          </w:tcPr>
          <w:p w14:paraId="3902B898"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(Jackson et al., 2002)</w:t>
            </w:r>
          </w:p>
        </w:tc>
        <w:tc>
          <w:tcPr>
            <w:tcW w:w="703" w:type="pct"/>
            <w:noWrap/>
            <w:hideMark/>
          </w:tcPr>
          <w:p w14:paraId="3870734A"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2002</w:t>
            </w:r>
          </w:p>
        </w:tc>
      </w:tr>
      <w:tr w:rsidR="00B82AC7" w:rsidRPr="00FD66E9" w14:paraId="64B83ED1" w14:textId="77777777" w:rsidTr="006F484F">
        <w:trPr>
          <w:trHeight w:val="321"/>
        </w:trPr>
        <w:tc>
          <w:tcPr>
            <w:tcW w:w="547" w:type="pct"/>
          </w:tcPr>
          <w:p w14:paraId="3FBC240C"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4C5C3148" w14:textId="77777777" w:rsidR="00B82AC7" w:rsidRPr="00FD66E9" w:rsidRDefault="00B82AC7" w:rsidP="00170D2F">
            <w:pPr>
              <w:spacing w:line="360" w:lineRule="auto"/>
              <w:jc w:val="both"/>
              <w:rPr>
                <w:rFonts w:ascii="Times New Roman" w:hAnsi="Times New Roman" w:cs="Times New Roman"/>
                <w:sz w:val="20"/>
              </w:rPr>
            </w:pPr>
            <w:hyperlink r:id="rId38" w:history="1">
              <w:r w:rsidRPr="00FD66E9">
                <w:rPr>
                  <w:rStyle w:val="Hyperlink"/>
                  <w:rFonts w:ascii="Times New Roman" w:hAnsi="Times New Roman" w:cs="Times New Roman"/>
                  <w:color w:val="auto"/>
                  <w:sz w:val="20"/>
                  <w:u w:val="none"/>
                </w:rPr>
                <w:t xml:space="preserve">Koyama, T., Murakami, S., </w:t>
              </w:r>
              <w:r w:rsidRPr="00FD66E9">
                <w:rPr>
                  <w:rStyle w:val="Hyperlink"/>
                  <w:rFonts w:ascii="Times New Roman" w:hAnsi="Times New Roman" w:cs="Times New Roman"/>
                  <w:color w:val="auto"/>
                  <w:sz w:val="20"/>
                  <w:u w:val="none"/>
                </w:rPr>
                <w:br/>
                <w:t>Karasawa, T., Ejiri, M., &amp; Shiono, K. (2021). Complete root specimen of plants grown in soil-filled root box: Sampling, measuring, and staining method. Plant Methods, 17(1), 97. https://doi.org/10.1186/s13007-021-00798-3</w:t>
              </w:r>
            </w:hyperlink>
          </w:p>
        </w:tc>
        <w:tc>
          <w:tcPr>
            <w:tcW w:w="703" w:type="pct"/>
            <w:noWrap/>
            <w:hideMark/>
          </w:tcPr>
          <w:p w14:paraId="07DB6589"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(Koyama et al., 2021)</w:t>
            </w:r>
          </w:p>
        </w:tc>
        <w:tc>
          <w:tcPr>
            <w:tcW w:w="703" w:type="pct"/>
            <w:noWrap/>
            <w:hideMark/>
          </w:tcPr>
          <w:p w14:paraId="06D2EC19"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2021</w:t>
            </w:r>
          </w:p>
        </w:tc>
      </w:tr>
      <w:tr w:rsidR="00B82AC7" w:rsidRPr="00FD66E9" w14:paraId="30F0CA17" w14:textId="77777777" w:rsidTr="006F484F">
        <w:trPr>
          <w:trHeight w:val="321"/>
        </w:trPr>
        <w:tc>
          <w:tcPr>
            <w:tcW w:w="547" w:type="pct"/>
          </w:tcPr>
          <w:p w14:paraId="010DE8C6"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6631706C" w14:textId="77777777" w:rsidR="00B82AC7" w:rsidRPr="00FD66E9" w:rsidRDefault="00B82AC7" w:rsidP="00170D2F">
            <w:pPr>
              <w:spacing w:line="360" w:lineRule="auto"/>
              <w:jc w:val="both"/>
              <w:rPr>
                <w:rFonts w:ascii="Times New Roman" w:hAnsi="Times New Roman" w:cs="Times New Roman"/>
                <w:sz w:val="20"/>
              </w:rPr>
            </w:pPr>
            <w:hyperlink r:id="rId39" w:history="1">
              <w:r w:rsidRPr="00FD66E9">
                <w:rPr>
                  <w:rStyle w:val="Hyperlink"/>
                  <w:rFonts w:ascii="Times New Roman" w:hAnsi="Times New Roman" w:cs="Times New Roman"/>
                  <w:color w:val="auto"/>
                  <w:sz w:val="20"/>
                  <w:u w:val="none"/>
                </w:rPr>
                <w:t>Lehmann, A., Leifheit, E. F., Feng, L., Bergmann, J., Wulf, A., &amp; Rillig, M. C. (2022). Microplastic fiber and drought effects on plants and soil are only slightly modified by arbuscular mycorrhizal fungi. Soil Ecology Letters, 4(1), 32–44. https://doi.org/10.1007/s42832-020-0060-7</w:t>
              </w:r>
            </w:hyperlink>
          </w:p>
        </w:tc>
        <w:tc>
          <w:tcPr>
            <w:tcW w:w="703" w:type="pct"/>
            <w:noWrap/>
            <w:hideMark/>
          </w:tcPr>
          <w:p w14:paraId="11B2D866"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(Lehmann et al., 2022)</w:t>
            </w:r>
          </w:p>
        </w:tc>
        <w:tc>
          <w:tcPr>
            <w:tcW w:w="703" w:type="pct"/>
            <w:noWrap/>
            <w:hideMark/>
          </w:tcPr>
          <w:p w14:paraId="15246985"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2022</w:t>
            </w:r>
          </w:p>
        </w:tc>
      </w:tr>
      <w:tr w:rsidR="00B82AC7" w:rsidRPr="00FD66E9" w14:paraId="18CE92D3" w14:textId="77777777" w:rsidTr="006F484F">
        <w:trPr>
          <w:trHeight w:val="321"/>
        </w:trPr>
        <w:tc>
          <w:tcPr>
            <w:tcW w:w="547" w:type="pct"/>
          </w:tcPr>
          <w:p w14:paraId="781B64A2"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4233B473" w14:textId="77777777" w:rsidR="00B82AC7" w:rsidRPr="00FD66E9" w:rsidRDefault="00B82AC7" w:rsidP="00170D2F">
            <w:pPr>
              <w:spacing w:line="360" w:lineRule="auto"/>
              <w:jc w:val="both"/>
              <w:rPr>
                <w:rFonts w:ascii="Times New Roman" w:hAnsi="Times New Roman" w:cs="Times New Roman"/>
                <w:sz w:val="20"/>
              </w:rPr>
            </w:pPr>
            <w:hyperlink r:id="rId40" w:history="1">
              <w:r w:rsidRPr="00FD66E9">
                <w:rPr>
                  <w:rStyle w:val="Hyperlink"/>
                  <w:rFonts w:ascii="Times New Roman" w:hAnsi="Times New Roman" w:cs="Times New Roman"/>
                  <w:color w:val="auto"/>
                  <w:sz w:val="20"/>
                  <w:u w:val="none"/>
                </w:rPr>
                <w:t xml:space="preserve">Lewandowski, T. J., Dunfield, K. E., &amp; Antunes, P. M. (2013). </w:t>
              </w:r>
              <w:r w:rsidRPr="00FD66E9">
                <w:rPr>
                  <w:rStyle w:val="Hyperlink"/>
                  <w:rFonts w:ascii="Times New Roman" w:hAnsi="Times New Roman" w:cs="Times New Roman"/>
                  <w:color w:val="auto"/>
                  <w:sz w:val="20"/>
                  <w:u w:val="none"/>
                </w:rPr>
                <w:br/>
                <w:t>Isolate Identity Determines Plant Tolerance to Pathogen Attack in Assembled Mycorrhizal Communities. PLOS ONE, 8(4), e61329. https://doi.org/10.1371/journal.pone.0061329</w:t>
              </w:r>
            </w:hyperlink>
          </w:p>
        </w:tc>
        <w:tc>
          <w:tcPr>
            <w:tcW w:w="703" w:type="pct"/>
            <w:noWrap/>
            <w:hideMark/>
          </w:tcPr>
          <w:p w14:paraId="549E7E7C"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(Lewandowski et al., 2013)</w:t>
            </w:r>
          </w:p>
        </w:tc>
        <w:tc>
          <w:tcPr>
            <w:tcW w:w="703" w:type="pct"/>
            <w:noWrap/>
            <w:hideMark/>
          </w:tcPr>
          <w:p w14:paraId="5F674BAA"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2013</w:t>
            </w:r>
          </w:p>
        </w:tc>
      </w:tr>
      <w:tr w:rsidR="00B82AC7" w:rsidRPr="00FD66E9" w14:paraId="5E75B13D" w14:textId="77777777" w:rsidTr="006F484F">
        <w:trPr>
          <w:trHeight w:val="321"/>
        </w:trPr>
        <w:tc>
          <w:tcPr>
            <w:tcW w:w="547" w:type="pct"/>
          </w:tcPr>
          <w:p w14:paraId="7C9CC70E"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7A3AD9AC" w14:textId="77777777" w:rsidR="00B82AC7" w:rsidRPr="00FD66E9" w:rsidRDefault="00B82AC7" w:rsidP="00170D2F">
            <w:pPr>
              <w:spacing w:line="360" w:lineRule="auto"/>
              <w:jc w:val="both"/>
              <w:rPr>
                <w:rFonts w:ascii="Times New Roman" w:hAnsi="Times New Roman" w:cs="Times New Roman"/>
                <w:sz w:val="20"/>
              </w:rPr>
            </w:pPr>
            <w:hyperlink r:id="rId41" w:history="1">
              <w:r w:rsidRPr="00FD66E9">
                <w:rPr>
                  <w:rStyle w:val="Hyperlink"/>
                  <w:rFonts w:ascii="Times New Roman" w:hAnsi="Times New Roman" w:cs="Times New Roman"/>
                  <w:color w:val="auto"/>
                  <w:sz w:val="20"/>
                  <w:u w:val="none"/>
                </w:rPr>
                <w:t xml:space="preserve">Li, Q., Umer, M., Guo, Y., Shen, K., Xia, T., Xu, X., Han, X., Ren, W., Sun, Y., Wu, B., Liu, X., &amp; He, Y. (2022). Karst Soil Patch Heterogeneity with Gravels Promotes Plant Root Development and Nutrient Utilization Associated with Arbuscular Mycorrhizal </w:t>
              </w:r>
              <w:r w:rsidRPr="00FD66E9">
                <w:rPr>
                  <w:rStyle w:val="Hyperlink"/>
                  <w:rFonts w:ascii="Times New Roman" w:hAnsi="Times New Roman" w:cs="Times New Roman"/>
                  <w:color w:val="auto"/>
                  <w:sz w:val="20"/>
                  <w:u w:val="none"/>
                </w:rPr>
                <w:lastRenderedPageBreak/>
                <w:t>Fungi. Agronomy, 12(5), Article 5. https://doi.org/10.3390/agronomy12051067</w:t>
              </w:r>
            </w:hyperlink>
          </w:p>
        </w:tc>
        <w:tc>
          <w:tcPr>
            <w:tcW w:w="703" w:type="pct"/>
            <w:noWrap/>
            <w:hideMark/>
          </w:tcPr>
          <w:p w14:paraId="3EBD9132"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lastRenderedPageBreak/>
              <w:t>(Li et al., 2022)</w:t>
            </w:r>
          </w:p>
        </w:tc>
        <w:tc>
          <w:tcPr>
            <w:tcW w:w="703" w:type="pct"/>
            <w:noWrap/>
            <w:hideMark/>
          </w:tcPr>
          <w:p w14:paraId="097812CB"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2022</w:t>
            </w:r>
          </w:p>
        </w:tc>
      </w:tr>
      <w:tr w:rsidR="00B82AC7" w:rsidRPr="00FD66E9" w14:paraId="790B71C3" w14:textId="77777777" w:rsidTr="006F484F">
        <w:trPr>
          <w:trHeight w:val="321"/>
        </w:trPr>
        <w:tc>
          <w:tcPr>
            <w:tcW w:w="547" w:type="pct"/>
          </w:tcPr>
          <w:p w14:paraId="4475F33D"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hideMark/>
          </w:tcPr>
          <w:p w14:paraId="541AC1EE" w14:textId="77777777" w:rsidR="00B82AC7" w:rsidRPr="00FD66E9" w:rsidRDefault="00B82AC7" w:rsidP="00170D2F">
            <w:pPr>
              <w:spacing w:line="360" w:lineRule="auto"/>
              <w:jc w:val="both"/>
              <w:rPr>
                <w:rFonts w:ascii="Times New Roman" w:hAnsi="Times New Roman" w:cs="Times New Roman"/>
                <w:sz w:val="20"/>
              </w:rPr>
            </w:pPr>
            <w:hyperlink r:id="rId42" w:history="1">
              <w:r w:rsidRPr="00FD66E9">
                <w:rPr>
                  <w:rStyle w:val="Hyperlink"/>
                  <w:rFonts w:ascii="Times New Roman" w:hAnsi="Times New Roman" w:cs="Times New Roman"/>
                  <w:color w:val="auto"/>
                  <w:sz w:val="20"/>
                  <w:u w:val="none"/>
                </w:rPr>
                <w:t xml:space="preserve">Liang, S.-M., Jiang, D.-J., </w:t>
              </w:r>
              <w:r w:rsidRPr="00FD66E9">
                <w:rPr>
                  <w:rStyle w:val="Hyperlink"/>
                  <w:rFonts w:ascii="Times New Roman" w:hAnsi="Times New Roman" w:cs="Times New Roman"/>
                  <w:color w:val="auto"/>
                  <w:sz w:val="20"/>
                  <w:u w:val="none"/>
                </w:rPr>
                <w:br/>
                <w:t>Xie, M.-M., Zou, Y.-N., Wu, Q.-S., &amp; Kuča, K. (2021). Physiological responses of mycorrhizal symbiosis to drought stress in white clover. Notulae Botanicae Horti Agrobotanici Cluj-Napoca, 49(1), 12209–12209. https://doi.org/10.15835/nbha49112209</w:t>
              </w:r>
            </w:hyperlink>
          </w:p>
        </w:tc>
        <w:tc>
          <w:tcPr>
            <w:tcW w:w="703" w:type="pct"/>
            <w:noWrap/>
            <w:hideMark/>
          </w:tcPr>
          <w:p w14:paraId="218E9769"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(Liang et al., 2021)</w:t>
            </w:r>
          </w:p>
        </w:tc>
        <w:tc>
          <w:tcPr>
            <w:tcW w:w="703" w:type="pct"/>
            <w:noWrap/>
            <w:hideMark/>
          </w:tcPr>
          <w:p w14:paraId="765369B6"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2021</w:t>
            </w:r>
          </w:p>
        </w:tc>
      </w:tr>
      <w:tr w:rsidR="00B82AC7" w:rsidRPr="00FD66E9" w14:paraId="6FC22984" w14:textId="77777777" w:rsidTr="006F484F">
        <w:trPr>
          <w:trHeight w:val="321"/>
        </w:trPr>
        <w:tc>
          <w:tcPr>
            <w:tcW w:w="547" w:type="pct"/>
          </w:tcPr>
          <w:p w14:paraId="757ED1A6"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05DFCCCE" w14:textId="77777777" w:rsidR="00B82AC7" w:rsidRPr="00FD66E9" w:rsidRDefault="00B82AC7" w:rsidP="00170D2F">
            <w:pPr>
              <w:spacing w:line="360" w:lineRule="auto"/>
              <w:jc w:val="both"/>
              <w:rPr>
                <w:rFonts w:ascii="Times New Roman" w:hAnsi="Times New Roman" w:cs="Times New Roman"/>
                <w:sz w:val="20"/>
              </w:rPr>
            </w:pPr>
            <w:hyperlink r:id="rId43" w:history="1">
              <w:r w:rsidRPr="00FD66E9">
                <w:rPr>
                  <w:rStyle w:val="Hyperlink"/>
                  <w:rFonts w:ascii="Times New Roman" w:hAnsi="Times New Roman" w:cs="Times New Roman"/>
                  <w:color w:val="auto"/>
                  <w:sz w:val="20"/>
                  <w:u w:val="none"/>
                </w:rPr>
                <w:t xml:space="preserve">Liang, L., Liu, B., Huang, D., </w:t>
              </w:r>
              <w:r w:rsidRPr="00FD66E9">
                <w:rPr>
                  <w:rStyle w:val="Hyperlink"/>
                  <w:rFonts w:ascii="Times New Roman" w:hAnsi="Times New Roman" w:cs="Times New Roman"/>
                  <w:color w:val="auto"/>
                  <w:sz w:val="20"/>
                  <w:u w:val="none"/>
                </w:rPr>
                <w:br/>
                <w:t>Kuang, Q., An, T., Liu, S., Liu, R., Xu, B., Zhang, S., Deng, X., Macrae, A., &amp; Chen, Y. (2022). Arbuscular Mycorrhizal Fungi Alleviate Low Phosphorus Stress in Maize Genotypes with Contrasting Root Systems. Plants, 11(22), Article 22. https://doi.org/10.3390/plants11223105</w:t>
              </w:r>
            </w:hyperlink>
          </w:p>
        </w:tc>
        <w:tc>
          <w:tcPr>
            <w:tcW w:w="703" w:type="pct"/>
            <w:noWrap/>
            <w:hideMark/>
          </w:tcPr>
          <w:p w14:paraId="75C09F66"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(Liang et al., 2022)</w:t>
            </w:r>
          </w:p>
        </w:tc>
        <w:tc>
          <w:tcPr>
            <w:tcW w:w="703" w:type="pct"/>
            <w:noWrap/>
            <w:hideMark/>
          </w:tcPr>
          <w:p w14:paraId="79AFFE78"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2022</w:t>
            </w:r>
          </w:p>
        </w:tc>
      </w:tr>
      <w:tr w:rsidR="00B82AC7" w:rsidRPr="00FD66E9" w14:paraId="69AD3FC0" w14:textId="77777777" w:rsidTr="006F484F">
        <w:trPr>
          <w:trHeight w:val="321"/>
        </w:trPr>
        <w:tc>
          <w:tcPr>
            <w:tcW w:w="547" w:type="pct"/>
          </w:tcPr>
          <w:p w14:paraId="2FFD6B35"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0206AD6C" w14:textId="77777777" w:rsidR="00B82AC7" w:rsidRPr="00FD66E9" w:rsidRDefault="00B82AC7" w:rsidP="00170D2F">
            <w:pPr>
              <w:spacing w:line="360" w:lineRule="auto"/>
              <w:jc w:val="both"/>
              <w:rPr>
                <w:rFonts w:ascii="Times New Roman" w:hAnsi="Times New Roman" w:cs="Times New Roman"/>
                <w:sz w:val="20"/>
              </w:rPr>
            </w:pPr>
            <w:hyperlink r:id="rId44" w:history="1">
              <w:r w:rsidRPr="00FD66E9">
                <w:rPr>
                  <w:rStyle w:val="Hyperlink"/>
                  <w:rFonts w:ascii="Times New Roman" w:hAnsi="Times New Roman" w:cs="Times New Roman"/>
                  <w:color w:val="auto"/>
                  <w:sz w:val="20"/>
                  <w:u w:val="none"/>
                </w:rPr>
                <w:t>Ma, X., Li, X., &amp; Ludewig, U. (2021). Arbuscular mycorrhizal colonization outcompetes root hairs in maize under low phosphorus availability. Annals of Botany, 127(1), 155–166. https://doi.org/10.1093/aob/mcaa160</w:t>
              </w:r>
            </w:hyperlink>
          </w:p>
        </w:tc>
        <w:tc>
          <w:tcPr>
            <w:tcW w:w="703" w:type="pct"/>
            <w:noWrap/>
            <w:hideMark/>
          </w:tcPr>
          <w:p w14:paraId="5537ACA6"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(Ma et al., 2021)</w:t>
            </w:r>
          </w:p>
        </w:tc>
        <w:tc>
          <w:tcPr>
            <w:tcW w:w="703" w:type="pct"/>
            <w:noWrap/>
            <w:hideMark/>
          </w:tcPr>
          <w:p w14:paraId="53E740C9"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2021</w:t>
            </w:r>
          </w:p>
        </w:tc>
      </w:tr>
      <w:tr w:rsidR="00B82AC7" w:rsidRPr="00FD66E9" w14:paraId="6EC33411" w14:textId="77777777" w:rsidTr="006F484F">
        <w:trPr>
          <w:trHeight w:val="321"/>
        </w:trPr>
        <w:tc>
          <w:tcPr>
            <w:tcW w:w="547" w:type="pct"/>
          </w:tcPr>
          <w:p w14:paraId="1FF78ECF"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0B42AB8E" w14:textId="77777777" w:rsidR="00B82AC7" w:rsidRPr="00FD66E9" w:rsidRDefault="00B82AC7" w:rsidP="00170D2F">
            <w:pPr>
              <w:spacing w:line="360" w:lineRule="auto"/>
              <w:jc w:val="both"/>
              <w:rPr>
                <w:rFonts w:ascii="Times New Roman" w:hAnsi="Times New Roman" w:cs="Times New Roman"/>
                <w:sz w:val="20"/>
              </w:rPr>
            </w:pPr>
            <w:hyperlink r:id="rId45" w:history="1">
              <w:r w:rsidRPr="00FD66E9">
                <w:rPr>
                  <w:rStyle w:val="Hyperlink"/>
                  <w:rFonts w:ascii="Times New Roman" w:hAnsi="Times New Roman" w:cs="Times New Roman"/>
                  <w:color w:val="auto"/>
                  <w:sz w:val="20"/>
                  <w:u w:val="none"/>
                </w:rPr>
                <w:t>Meng, L.-L., Srivastava, A. K., Kuča, K., &amp; Wu, Q.-S. (2022). Earthworm (Pheretima guillelmi)-mycorrhizal fungi (Funneliformis mosseae) association mediates rhizosphere responses in white clover. Applied Soil Ecology, 172, 104371. https://doi.org/10.1016/j.apsoil.2021.104372</w:t>
              </w:r>
            </w:hyperlink>
          </w:p>
        </w:tc>
        <w:tc>
          <w:tcPr>
            <w:tcW w:w="703" w:type="pct"/>
            <w:noWrap/>
            <w:hideMark/>
          </w:tcPr>
          <w:p w14:paraId="17BC0A8E"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(Meng et al., 2022)</w:t>
            </w:r>
          </w:p>
        </w:tc>
        <w:tc>
          <w:tcPr>
            <w:tcW w:w="703" w:type="pct"/>
            <w:noWrap/>
            <w:hideMark/>
          </w:tcPr>
          <w:p w14:paraId="23EDA442"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2022</w:t>
            </w:r>
          </w:p>
        </w:tc>
      </w:tr>
      <w:tr w:rsidR="00B82AC7" w:rsidRPr="00FD66E9" w14:paraId="4208BDD7" w14:textId="77777777" w:rsidTr="006F484F">
        <w:trPr>
          <w:trHeight w:val="321"/>
        </w:trPr>
        <w:tc>
          <w:tcPr>
            <w:tcW w:w="547" w:type="pct"/>
          </w:tcPr>
          <w:p w14:paraId="19E4891C"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1D53E075" w14:textId="77777777" w:rsidR="00B82AC7" w:rsidRPr="00FD66E9" w:rsidRDefault="00B82AC7" w:rsidP="00170D2F">
            <w:pPr>
              <w:spacing w:line="360" w:lineRule="auto"/>
              <w:jc w:val="both"/>
              <w:rPr>
                <w:rFonts w:ascii="Times New Roman" w:hAnsi="Times New Roman" w:cs="Times New Roman"/>
                <w:sz w:val="20"/>
              </w:rPr>
            </w:pPr>
            <w:hyperlink r:id="rId46" w:history="1">
              <w:r w:rsidRPr="00FD66E9">
                <w:rPr>
                  <w:rStyle w:val="Hyperlink"/>
                  <w:rFonts w:ascii="Times New Roman" w:hAnsi="Times New Roman" w:cs="Times New Roman"/>
                  <w:color w:val="auto"/>
                  <w:sz w:val="20"/>
                  <w:u w:val="none"/>
                </w:rPr>
                <w:t>Mortier, E., Mounier, A.,</w:t>
              </w:r>
              <w:r w:rsidRPr="00FD66E9">
                <w:rPr>
                  <w:rStyle w:val="Hyperlink"/>
                  <w:rFonts w:ascii="Times New Roman" w:hAnsi="Times New Roman" w:cs="Times New Roman"/>
                  <w:color w:val="auto"/>
                  <w:sz w:val="20"/>
                  <w:u w:val="none"/>
                </w:rPr>
                <w:br/>
                <w:t xml:space="preserve"> Kreplak, J., Martin-Laurent, F., Recorbet, G., &amp; Lamotte, O. (2023). Evidence that a common arbuscular mycorrhizal network alleviates phosphate shortage in interconnected walnut sapling and maize plants. Frontiers in Plant Science, 14. https://doi.org/10.3389/fpls.2023.1206047</w:t>
              </w:r>
            </w:hyperlink>
          </w:p>
        </w:tc>
        <w:tc>
          <w:tcPr>
            <w:tcW w:w="703" w:type="pct"/>
            <w:noWrap/>
            <w:hideMark/>
          </w:tcPr>
          <w:p w14:paraId="35D69C0E"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(Mortier et al., 2023)</w:t>
            </w:r>
          </w:p>
        </w:tc>
        <w:tc>
          <w:tcPr>
            <w:tcW w:w="703" w:type="pct"/>
            <w:noWrap/>
            <w:hideMark/>
          </w:tcPr>
          <w:p w14:paraId="052D9DBB"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2023</w:t>
            </w:r>
          </w:p>
        </w:tc>
      </w:tr>
      <w:tr w:rsidR="00B82AC7" w:rsidRPr="00FD66E9" w14:paraId="7A3FFAC9" w14:textId="77777777" w:rsidTr="006F484F">
        <w:trPr>
          <w:trHeight w:val="321"/>
        </w:trPr>
        <w:tc>
          <w:tcPr>
            <w:tcW w:w="547" w:type="pct"/>
          </w:tcPr>
          <w:p w14:paraId="1A817BCB"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78CC7AFB" w14:textId="77777777" w:rsidR="00B82AC7" w:rsidRPr="00FD66E9" w:rsidRDefault="00B82AC7" w:rsidP="00170D2F">
            <w:pPr>
              <w:spacing w:line="360" w:lineRule="auto"/>
              <w:jc w:val="both"/>
              <w:rPr>
                <w:rFonts w:ascii="Times New Roman" w:hAnsi="Times New Roman" w:cs="Times New Roman"/>
                <w:sz w:val="20"/>
              </w:rPr>
            </w:pPr>
            <w:hyperlink r:id="rId47" w:history="1">
              <w:r w:rsidRPr="00FD66E9">
                <w:rPr>
                  <w:rStyle w:val="Hyperlink"/>
                  <w:rFonts w:ascii="Times New Roman" w:hAnsi="Times New Roman" w:cs="Times New Roman"/>
                  <w:color w:val="auto"/>
                  <w:sz w:val="20"/>
                  <w:u w:val="none"/>
                </w:rPr>
                <w:t>Mulyadi, &amp; Jiang, L. (2023). The Combined Application of Biochar and Arbuscular Mycorrhizal Fungi (AMF) Enhanced the Physical and Chemical Properties of Soil and Rice Productivity in Indonesia. Sustainability, 15(12), Article 12. https://doi.org/10.3390/su15129784</w:t>
              </w:r>
            </w:hyperlink>
          </w:p>
        </w:tc>
        <w:tc>
          <w:tcPr>
            <w:tcW w:w="703" w:type="pct"/>
            <w:noWrap/>
            <w:hideMark/>
          </w:tcPr>
          <w:p w14:paraId="5796F348"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(Mulyadi &amp; Jiang, 2023)</w:t>
            </w:r>
          </w:p>
        </w:tc>
        <w:tc>
          <w:tcPr>
            <w:tcW w:w="703" w:type="pct"/>
            <w:noWrap/>
            <w:hideMark/>
          </w:tcPr>
          <w:p w14:paraId="54FFF3FC"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2023</w:t>
            </w:r>
          </w:p>
        </w:tc>
      </w:tr>
      <w:tr w:rsidR="00B82AC7" w:rsidRPr="00FD66E9" w14:paraId="67418DE2" w14:textId="77777777" w:rsidTr="006F484F">
        <w:trPr>
          <w:trHeight w:val="321"/>
        </w:trPr>
        <w:tc>
          <w:tcPr>
            <w:tcW w:w="547" w:type="pct"/>
          </w:tcPr>
          <w:p w14:paraId="1E312A62"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1EB6A2FD" w14:textId="77777777" w:rsidR="00B82AC7" w:rsidRPr="00FD66E9" w:rsidRDefault="00B82AC7" w:rsidP="00170D2F">
            <w:pPr>
              <w:spacing w:line="360" w:lineRule="auto"/>
              <w:jc w:val="both"/>
              <w:rPr>
                <w:rFonts w:ascii="Times New Roman" w:hAnsi="Times New Roman" w:cs="Times New Roman"/>
                <w:sz w:val="20"/>
              </w:rPr>
            </w:pPr>
            <w:hyperlink r:id="rId48" w:history="1">
              <w:r w:rsidRPr="00FD66E9">
                <w:rPr>
                  <w:rStyle w:val="Hyperlink"/>
                  <w:rFonts w:ascii="Times New Roman" w:hAnsi="Times New Roman" w:cs="Times New Roman"/>
                  <w:color w:val="auto"/>
                  <w:sz w:val="20"/>
                  <w:u w:val="none"/>
                </w:rPr>
                <w:t>Nagaraj, K., Vanishree, S., &amp; Muthukumar, T. (2021). Genotypic variation in response and dependency of Cajanus cajan (L.) Millsp., on arbuscular mycorrhizal fungi in a tropical Alfisol. Plant Biosystems - An International Journal Dealing with All Aspects of Plant Biology, 155(4), 878–890. https://doi.org/10.1080/11263504.2020.1810808</w:t>
              </w:r>
            </w:hyperlink>
          </w:p>
        </w:tc>
        <w:tc>
          <w:tcPr>
            <w:tcW w:w="703" w:type="pct"/>
            <w:noWrap/>
            <w:hideMark/>
          </w:tcPr>
          <w:p w14:paraId="5F979608"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(Nagaraj et al., 2021)</w:t>
            </w:r>
          </w:p>
        </w:tc>
        <w:tc>
          <w:tcPr>
            <w:tcW w:w="703" w:type="pct"/>
            <w:noWrap/>
            <w:hideMark/>
          </w:tcPr>
          <w:p w14:paraId="55638DBE"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2021</w:t>
            </w:r>
          </w:p>
        </w:tc>
      </w:tr>
      <w:tr w:rsidR="00B82AC7" w:rsidRPr="00FD66E9" w14:paraId="67BFCB13" w14:textId="77777777" w:rsidTr="006F484F">
        <w:trPr>
          <w:trHeight w:val="321"/>
        </w:trPr>
        <w:tc>
          <w:tcPr>
            <w:tcW w:w="547" w:type="pct"/>
          </w:tcPr>
          <w:p w14:paraId="600CC8EF"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18DDB172" w14:textId="77777777" w:rsidR="00B82AC7" w:rsidRPr="00FD66E9" w:rsidRDefault="00B82AC7" w:rsidP="00170D2F">
            <w:pPr>
              <w:spacing w:line="360" w:lineRule="auto"/>
              <w:jc w:val="both"/>
              <w:rPr>
                <w:rFonts w:ascii="Times New Roman" w:hAnsi="Times New Roman" w:cs="Times New Roman"/>
                <w:sz w:val="20"/>
              </w:rPr>
            </w:pPr>
            <w:hyperlink r:id="rId49" w:history="1">
              <w:r w:rsidRPr="00FD66E9">
                <w:rPr>
                  <w:rStyle w:val="Hyperlink"/>
                  <w:rFonts w:ascii="Times New Roman" w:hAnsi="Times New Roman" w:cs="Times New Roman"/>
                  <w:color w:val="auto"/>
                  <w:sz w:val="20"/>
                  <w:u w:val="none"/>
                </w:rPr>
                <w:t>Nikbakht, A., Pessarakli, M., Daneshvar-Hakimi-Maibodi, N., &amp; Kafi, M. (2014). Perennial Ryegrass Growth Responses to Mycorrhizal Infection and Humic Acid Treatments. Agronomy Journal, 106(2), 585–595. https://doi.org/10.2134/agronj2013.0275</w:t>
              </w:r>
            </w:hyperlink>
          </w:p>
        </w:tc>
        <w:tc>
          <w:tcPr>
            <w:tcW w:w="703" w:type="pct"/>
            <w:noWrap/>
            <w:hideMark/>
          </w:tcPr>
          <w:p w14:paraId="0BED1465"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(Nikbakht et al., 2014)</w:t>
            </w:r>
          </w:p>
        </w:tc>
        <w:tc>
          <w:tcPr>
            <w:tcW w:w="703" w:type="pct"/>
            <w:noWrap/>
            <w:hideMark/>
          </w:tcPr>
          <w:p w14:paraId="21342017"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2014</w:t>
            </w:r>
          </w:p>
        </w:tc>
      </w:tr>
      <w:tr w:rsidR="00B82AC7" w:rsidRPr="00FD66E9" w14:paraId="16EAD2A6" w14:textId="77777777" w:rsidTr="006F484F">
        <w:trPr>
          <w:trHeight w:val="321"/>
        </w:trPr>
        <w:tc>
          <w:tcPr>
            <w:tcW w:w="547" w:type="pct"/>
          </w:tcPr>
          <w:p w14:paraId="3A778A36"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4AA11675" w14:textId="77777777" w:rsidR="00B82AC7" w:rsidRPr="00FD66E9" w:rsidRDefault="00B82AC7" w:rsidP="00170D2F">
            <w:pPr>
              <w:spacing w:line="360" w:lineRule="auto"/>
              <w:jc w:val="both"/>
              <w:rPr>
                <w:rFonts w:ascii="Times New Roman" w:hAnsi="Times New Roman" w:cs="Times New Roman"/>
                <w:sz w:val="20"/>
              </w:rPr>
            </w:pPr>
            <w:hyperlink r:id="rId50" w:history="1">
              <w:r w:rsidRPr="00FD66E9">
                <w:rPr>
                  <w:rStyle w:val="Hyperlink"/>
                  <w:rFonts w:ascii="Times New Roman" w:hAnsi="Times New Roman" w:cs="Times New Roman"/>
                  <w:color w:val="auto"/>
                  <w:sz w:val="20"/>
                  <w:u w:val="none"/>
                </w:rPr>
                <w:t>Papoui, E., Bantis, F., Kapoulas, N., Ipsilantis, I., &amp; Koukounaras, A. (2022). A Sustainable Intercropping System for Organically Produced Lettuce and Green Onion with the Use of Arbuscular Mycorrhizal Inocula. Horticulturae, 8(5), Article 5. https://doi.org/10.3390/horticulturae8050466</w:t>
              </w:r>
            </w:hyperlink>
          </w:p>
        </w:tc>
        <w:tc>
          <w:tcPr>
            <w:tcW w:w="703" w:type="pct"/>
            <w:noWrap/>
            <w:hideMark/>
          </w:tcPr>
          <w:p w14:paraId="20E76EF5"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(Papoui et al., 2022)</w:t>
            </w:r>
          </w:p>
        </w:tc>
        <w:tc>
          <w:tcPr>
            <w:tcW w:w="703" w:type="pct"/>
            <w:noWrap/>
            <w:hideMark/>
          </w:tcPr>
          <w:p w14:paraId="6998686B"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2022</w:t>
            </w:r>
          </w:p>
        </w:tc>
      </w:tr>
      <w:tr w:rsidR="00B82AC7" w:rsidRPr="00FD66E9" w14:paraId="6496F4A1" w14:textId="77777777" w:rsidTr="006F484F">
        <w:trPr>
          <w:trHeight w:val="321"/>
        </w:trPr>
        <w:tc>
          <w:tcPr>
            <w:tcW w:w="547" w:type="pct"/>
          </w:tcPr>
          <w:p w14:paraId="4B19EC97"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18816B80" w14:textId="77777777" w:rsidR="00B82AC7" w:rsidRPr="00FD66E9" w:rsidRDefault="00B82AC7" w:rsidP="00170D2F">
            <w:pPr>
              <w:spacing w:line="360" w:lineRule="auto"/>
              <w:jc w:val="both"/>
              <w:rPr>
                <w:rFonts w:ascii="Times New Roman" w:hAnsi="Times New Roman" w:cs="Times New Roman"/>
                <w:sz w:val="20"/>
              </w:rPr>
            </w:pPr>
            <w:hyperlink r:id="rId51" w:history="1">
              <w:r w:rsidRPr="00FD66E9">
                <w:rPr>
                  <w:rStyle w:val="Hyperlink"/>
                  <w:rFonts w:ascii="Times New Roman" w:hAnsi="Times New Roman" w:cs="Times New Roman"/>
                  <w:color w:val="auto"/>
                  <w:sz w:val="20"/>
                  <w:u w:val="none"/>
                </w:rPr>
                <w:t>Pu, C., Ge, Y., Yang, G., Zheng, H., Guan, W., Chao, Z., Shen, Y., Liu, S., Chen, M., &amp; Huang, L. (2022). Arbuscular mycorrhizal fungi enhance disease resistance of Salvia miltiorrhiza to Fusarium wilt. Frontiers in Plant Science, 13. https://doi.org/10.3389/fpls.2022.975558</w:t>
              </w:r>
            </w:hyperlink>
          </w:p>
        </w:tc>
        <w:tc>
          <w:tcPr>
            <w:tcW w:w="703" w:type="pct"/>
            <w:noWrap/>
            <w:hideMark/>
          </w:tcPr>
          <w:p w14:paraId="3805BD3B"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(Pu et al., 2022)</w:t>
            </w:r>
          </w:p>
        </w:tc>
        <w:tc>
          <w:tcPr>
            <w:tcW w:w="703" w:type="pct"/>
            <w:noWrap/>
            <w:hideMark/>
          </w:tcPr>
          <w:p w14:paraId="4F394EF5"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2022</w:t>
            </w:r>
          </w:p>
        </w:tc>
      </w:tr>
      <w:tr w:rsidR="00B82AC7" w:rsidRPr="00FD66E9" w14:paraId="16E661D6" w14:textId="77777777" w:rsidTr="006F484F">
        <w:trPr>
          <w:trHeight w:val="321"/>
        </w:trPr>
        <w:tc>
          <w:tcPr>
            <w:tcW w:w="547" w:type="pct"/>
          </w:tcPr>
          <w:p w14:paraId="409C8C15"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6E816059" w14:textId="77777777" w:rsidR="00B82AC7" w:rsidRPr="00FD66E9" w:rsidRDefault="00B82AC7" w:rsidP="00170D2F">
            <w:pPr>
              <w:spacing w:line="360" w:lineRule="auto"/>
              <w:jc w:val="both"/>
              <w:rPr>
                <w:rFonts w:ascii="Times New Roman" w:hAnsi="Times New Roman" w:cs="Times New Roman"/>
                <w:sz w:val="20"/>
              </w:rPr>
            </w:pPr>
            <w:hyperlink r:id="rId52" w:history="1">
              <w:r w:rsidRPr="00FD66E9">
                <w:rPr>
                  <w:rStyle w:val="Hyperlink"/>
                  <w:rFonts w:ascii="Times New Roman" w:hAnsi="Times New Roman" w:cs="Times New Roman"/>
                  <w:color w:val="auto"/>
                  <w:sz w:val="20"/>
                  <w:u w:val="none"/>
                </w:rPr>
                <w:t>Rafique, M., Ortas, I., Rizwan, M., Chaudhary, H. J., Gurmani, A. R., &amp; Hussain Munis, M. F. (2020). Residual effects of biochar and phosphorus on growth and nutrient accumulation by maize (Zea mays L.) amended with microbes in texturally different soils. Chemosphere, 238, 124710. https://doi.org/10.1016/j.chemosphere.2019.124710</w:t>
              </w:r>
            </w:hyperlink>
          </w:p>
        </w:tc>
        <w:tc>
          <w:tcPr>
            <w:tcW w:w="703" w:type="pct"/>
            <w:noWrap/>
            <w:hideMark/>
          </w:tcPr>
          <w:p w14:paraId="745A2320"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(Rafique et al., 2020)</w:t>
            </w:r>
          </w:p>
        </w:tc>
        <w:tc>
          <w:tcPr>
            <w:tcW w:w="703" w:type="pct"/>
            <w:noWrap/>
            <w:hideMark/>
          </w:tcPr>
          <w:p w14:paraId="410278F0"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2020</w:t>
            </w:r>
          </w:p>
        </w:tc>
      </w:tr>
      <w:tr w:rsidR="00B82AC7" w:rsidRPr="00FD66E9" w14:paraId="49353D8B" w14:textId="77777777" w:rsidTr="006F484F">
        <w:trPr>
          <w:trHeight w:val="321"/>
        </w:trPr>
        <w:tc>
          <w:tcPr>
            <w:tcW w:w="547" w:type="pct"/>
          </w:tcPr>
          <w:p w14:paraId="414434B9"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hideMark/>
          </w:tcPr>
          <w:p w14:paraId="111878DF" w14:textId="77777777" w:rsidR="00B82AC7" w:rsidRPr="00FD66E9" w:rsidRDefault="00B82AC7" w:rsidP="00170D2F">
            <w:pPr>
              <w:spacing w:line="360" w:lineRule="auto"/>
              <w:jc w:val="both"/>
              <w:rPr>
                <w:rFonts w:ascii="Times New Roman" w:hAnsi="Times New Roman" w:cs="Times New Roman"/>
                <w:sz w:val="20"/>
              </w:rPr>
            </w:pPr>
            <w:hyperlink r:id="rId53" w:history="1">
              <w:r w:rsidRPr="00FD66E9">
                <w:rPr>
                  <w:rStyle w:val="Hyperlink"/>
                  <w:rFonts w:ascii="Times New Roman" w:hAnsi="Times New Roman" w:cs="Times New Roman"/>
                  <w:color w:val="auto"/>
                  <w:sz w:val="20"/>
                  <w:u w:val="none"/>
                </w:rPr>
                <w:t xml:space="preserve">Ramírez‐Flores, M. R., Bello‐Bello, E., </w:t>
              </w:r>
              <w:r w:rsidRPr="00FD66E9">
                <w:rPr>
                  <w:rStyle w:val="Hyperlink"/>
                  <w:rFonts w:ascii="Times New Roman" w:hAnsi="Times New Roman" w:cs="Times New Roman"/>
                  <w:color w:val="auto"/>
                  <w:sz w:val="20"/>
                  <w:u w:val="none"/>
                </w:rPr>
                <w:br/>
                <w:t>Rellán‐Álvarez, R., Sawers, R. J. H., &amp; Olalde‐Portugal, V. (2019). Inoculation with the mycorrhizal fungus Rhizophagus irregularis modulates the relationship between root growth and nutrient content in maize (Zea mays ssp. Mays L.). Plant Direct, 3(12), e00192. https://doi.org/10.1002/pld3.192</w:t>
              </w:r>
            </w:hyperlink>
          </w:p>
        </w:tc>
        <w:tc>
          <w:tcPr>
            <w:tcW w:w="703" w:type="pct"/>
            <w:noWrap/>
            <w:hideMark/>
          </w:tcPr>
          <w:p w14:paraId="72E1AD45"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(Ramírez‐Flores et al., 2019)</w:t>
            </w:r>
          </w:p>
        </w:tc>
        <w:tc>
          <w:tcPr>
            <w:tcW w:w="703" w:type="pct"/>
            <w:noWrap/>
            <w:hideMark/>
          </w:tcPr>
          <w:p w14:paraId="56C11AFD"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2019</w:t>
            </w:r>
          </w:p>
        </w:tc>
      </w:tr>
      <w:tr w:rsidR="00B82AC7" w:rsidRPr="00FD66E9" w14:paraId="6922E619" w14:textId="77777777" w:rsidTr="006F484F">
        <w:trPr>
          <w:trHeight w:val="321"/>
        </w:trPr>
        <w:tc>
          <w:tcPr>
            <w:tcW w:w="547" w:type="pct"/>
          </w:tcPr>
          <w:p w14:paraId="65C9EC24"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40258541" w14:textId="77777777" w:rsidR="00B82AC7" w:rsidRPr="00FD66E9" w:rsidRDefault="00B82AC7" w:rsidP="00170D2F">
            <w:pPr>
              <w:spacing w:line="360" w:lineRule="auto"/>
              <w:jc w:val="both"/>
              <w:rPr>
                <w:rFonts w:ascii="Times New Roman" w:hAnsi="Times New Roman" w:cs="Times New Roman"/>
                <w:sz w:val="20"/>
              </w:rPr>
            </w:pPr>
            <w:hyperlink r:id="rId54" w:history="1">
              <w:r w:rsidRPr="00FD66E9">
                <w:rPr>
                  <w:rStyle w:val="Hyperlink"/>
                  <w:rFonts w:ascii="Times New Roman" w:hAnsi="Times New Roman" w:cs="Times New Roman"/>
                  <w:color w:val="auto"/>
                  <w:sz w:val="20"/>
                  <w:u w:val="none"/>
                </w:rPr>
                <w:t xml:space="preserve">Ronco, M. G., Ruscitti, M. F., </w:t>
              </w:r>
              <w:r w:rsidRPr="00FD66E9">
                <w:rPr>
                  <w:rStyle w:val="Hyperlink"/>
                  <w:rFonts w:ascii="Times New Roman" w:hAnsi="Times New Roman" w:cs="Times New Roman"/>
                  <w:color w:val="auto"/>
                  <w:sz w:val="20"/>
                  <w:u w:val="none"/>
                </w:rPr>
                <w:br/>
                <w:t>Arango, M. C., &amp; Beltrano, J. (2008). Glyphosate and mycorrhization induce changes in plant growth and in root morphology and architecture in pepper plants (Capsicum annuum L.). The Journal of Horticultural Science and Biotechnology, 83(4), 497–505. https://doi.org/10.1080/14620316.2008.11512413</w:t>
              </w:r>
            </w:hyperlink>
          </w:p>
        </w:tc>
        <w:tc>
          <w:tcPr>
            <w:tcW w:w="703" w:type="pct"/>
            <w:noWrap/>
            <w:hideMark/>
          </w:tcPr>
          <w:p w14:paraId="7A75DD6F"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(Ronco et al., 2008)</w:t>
            </w:r>
          </w:p>
        </w:tc>
        <w:tc>
          <w:tcPr>
            <w:tcW w:w="703" w:type="pct"/>
            <w:noWrap/>
            <w:hideMark/>
          </w:tcPr>
          <w:p w14:paraId="16BCEED4"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2008</w:t>
            </w:r>
          </w:p>
        </w:tc>
      </w:tr>
      <w:tr w:rsidR="00B82AC7" w:rsidRPr="00FD66E9" w14:paraId="33046C06" w14:textId="77777777" w:rsidTr="006F484F">
        <w:trPr>
          <w:trHeight w:val="321"/>
        </w:trPr>
        <w:tc>
          <w:tcPr>
            <w:tcW w:w="547" w:type="pct"/>
          </w:tcPr>
          <w:p w14:paraId="437A1020"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5388800C" w14:textId="77777777" w:rsidR="00B82AC7" w:rsidRPr="00FD66E9" w:rsidRDefault="00B82AC7" w:rsidP="00170D2F">
            <w:pPr>
              <w:spacing w:line="360" w:lineRule="auto"/>
              <w:jc w:val="both"/>
              <w:rPr>
                <w:rFonts w:ascii="Times New Roman" w:hAnsi="Times New Roman" w:cs="Times New Roman"/>
                <w:sz w:val="20"/>
              </w:rPr>
            </w:pPr>
            <w:hyperlink r:id="rId55" w:history="1">
              <w:r w:rsidRPr="00FD66E9">
                <w:rPr>
                  <w:rStyle w:val="Hyperlink"/>
                  <w:rFonts w:ascii="Times New Roman" w:hAnsi="Times New Roman" w:cs="Times New Roman"/>
                  <w:color w:val="auto"/>
                  <w:sz w:val="20"/>
                  <w:u w:val="none"/>
                </w:rPr>
                <w:t>Saia, S., Aissa, E., Luziatelli, F., Ruzzi, M., Colla, G., Ficca, A. G., Cardarelli, M., &amp; Rouphael, Y. (2020). Growth-promoting bacteria and arbuscular mycorrhizal fungi differentially benefit tomato and corn depending upon the supplied form of phosphorus. Mycorrhiza, 30(1), 133–147. https://doi.org/10.1007/s00572-019-00927-w</w:t>
              </w:r>
            </w:hyperlink>
          </w:p>
        </w:tc>
        <w:tc>
          <w:tcPr>
            <w:tcW w:w="703" w:type="pct"/>
            <w:noWrap/>
            <w:hideMark/>
          </w:tcPr>
          <w:p w14:paraId="36A53D6D"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(Saia et al., 2020)</w:t>
            </w:r>
          </w:p>
        </w:tc>
        <w:tc>
          <w:tcPr>
            <w:tcW w:w="703" w:type="pct"/>
            <w:noWrap/>
            <w:hideMark/>
          </w:tcPr>
          <w:p w14:paraId="7C325C1B"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2020</w:t>
            </w:r>
          </w:p>
        </w:tc>
      </w:tr>
      <w:tr w:rsidR="00B82AC7" w:rsidRPr="00FD66E9" w14:paraId="7C624A1E" w14:textId="77777777" w:rsidTr="006F484F">
        <w:trPr>
          <w:trHeight w:val="321"/>
        </w:trPr>
        <w:tc>
          <w:tcPr>
            <w:tcW w:w="547" w:type="pct"/>
          </w:tcPr>
          <w:p w14:paraId="405995A2"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5E2EAF98" w14:textId="77777777" w:rsidR="00B82AC7" w:rsidRPr="00FD66E9" w:rsidRDefault="00B82AC7" w:rsidP="00170D2F">
            <w:pPr>
              <w:spacing w:line="360" w:lineRule="auto"/>
              <w:jc w:val="both"/>
              <w:rPr>
                <w:rFonts w:ascii="Times New Roman" w:hAnsi="Times New Roman" w:cs="Times New Roman"/>
                <w:sz w:val="20"/>
              </w:rPr>
            </w:pPr>
            <w:hyperlink r:id="rId56" w:history="1">
              <w:r w:rsidRPr="00FD66E9">
                <w:rPr>
                  <w:rStyle w:val="Hyperlink"/>
                  <w:rFonts w:ascii="Times New Roman" w:hAnsi="Times New Roman" w:cs="Times New Roman"/>
                  <w:color w:val="auto"/>
                  <w:sz w:val="20"/>
                  <w:u w:val="none"/>
                </w:rPr>
                <w:t>Shafiq, M., Casas-Solís, J.,</w:t>
              </w:r>
              <w:r w:rsidRPr="00FD66E9">
                <w:rPr>
                  <w:rStyle w:val="Hyperlink"/>
                  <w:rFonts w:ascii="Times New Roman" w:hAnsi="Times New Roman" w:cs="Times New Roman"/>
                  <w:color w:val="auto"/>
                  <w:sz w:val="20"/>
                  <w:u w:val="none"/>
                </w:rPr>
                <w:br/>
                <w:t xml:space="preserve"> Neri-Luna, C., Kiran, M., Yasin, S., González-Eguiarte, D. R., &amp; Muñoz-Urias, A. (2023). Arbuscular Mycorrhizal Fungi as a Plant Growth Stimulant in a Tomato and Onion Intercropping System. Agronomy, 13(8), Article 8. https://doi.org/10.3390/agronomy13082003</w:t>
              </w:r>
            </w:hyperlink>
          </w:p>
        </w:tc>
        <w:tc>
          <w:tcPr>
            <w:tcW w:w="703" w:type="pct"/>
            <w:noWrap/>
            <w:hideMark/>
          </w:tcPr>
          <w:p w14:paraId="4013351B"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(Shafiq et al., 2023)</w:t>
            </w:r>
          </w:p>
        </w:tc>
        <w:tc>
          <w:tcPr>
            <w:tcW w:w="703" w:type="pct"/>
            <w:noWrap/>
            <w:hideMark/>
          </w:tcPr>
          <w:p w14:paraId="3BE93350"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2023</w:t>
            </w:r>
          </w:p>
        </w:tc>
      </w:tr>
      <w:tr w:rsidR="00B82AC7" w:rsidRPr="00FD66E9" w14:paraId="188DE8C9" w14:textId="77777777" w:rsidTr="006F484F">
        <w:trPr>
          <w:trHeight w:val="321"/>
        </w:trPr>
        <w:tc>
          <w:tcPr>
            <w:tcW w:w="547" w:type="pct"/>
          </w:tcPr>
          <w:p w14:paraId="0B2779D5"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781F9F42" w14:textId="77777777" w:rsidR="00B82AC7" w:rsidRPr="00FD66E9" w:rsidRDefault="00B82AC7" w:rsidP="00170D2F">
            <w:pPr>
              <w:spacing w:line="360" w:lineRule="auto"/>
              <w:jc w:val="both"/>
              <w:rPr>
                <w:rFonts w:ascii="Times New Roman" w:hAnsi="Times New Roman" w:cs="Times New Roman"/>
                <w:sz w:val="20"/>
              </w:rPr>
            </w:pPr>
            <w:hyperlink r:id="rId57" w:history="1">
              <w:r w:rsidRPr="00FD66E9">
                <w:rPr>
                  <w:rStyle w:val="Hyperlink"/>
                  <w:rFonts w:ascii="Times New Roman" w:hAnsi="Times New Roman" w:cs="Times New Roman"/>
                  <w:color w:val="auto"/>
                  <w:sz w:val="20"/>
                  <w:u w:val="none"/>
                </w:rPr>
                <w:t>Sharma, H., Behl, R., Singh, K., Narula, N., &amp; Jain, P. (2007). Root and plant characters in wheat under low input field conditions with dual inoculation of mycorrhiza and Azotobacter chroococcum: Gene effects. Cereal Research Communications, 35(4), 1573–1582. https://doi.org/10.1556/CRC.35.2007.4.4</w:t>
              </w:r>
            </w:hyperlink>
          </w:p>
        </w:tc>
        <w:tc>
          <w:tcPr>
            <w:tcW w:w="703" w:type="pct"/>
            <w:noWrap/>
            <w:hideMark/>
          </w:tcPr>
          <w:p w14:paraId="702D9352"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(Sharma et al., 2007)</w:t>
            </w:r>
          </w:p>
        </w:tc>
        <w:tc>
          <w:tcPr>
            <w:tcW w:w="703" w:type="pct"/>
            <w:noWrap/>
            <w:hideMark/>
          </w:tcPr>
          <w:p w14:paraId="1F79A3CE"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2007</w:t>
            </w:r>
          </w:p>
        </w:tc>
      </w:tr>
      <w:tr w:rsidR="00B82AC7" w:rsidRPr="00FD66E9" w14:paraId="249BD8C6" w14:textId="77777777" w:rsidTr="006F484F">
        <w:trPr>
          <w:trHeight w:val="321"/>
        </w:trPr>
        <w:tc>
          <w:tcPr>
            <w:tcW w:w="547" w:type="pct"/>
          </w:tcPr>
          <w:p w14:paraId="0B461BE6"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78FD66C3" w14:textId="77777777" w:rsidR="00B82AC7" w:rsidRPr="00FD66E9" w:rsidRDefault="00B82AC7" w:rsidP="00170D2F">
            <w:pPr>
              <w:spacing w:line="360" w:lineRule="auto"/>
              <w:jc w:val="both"/>
              <w:rPr>
                <w:rFonts w:ascii="Times New Roman" w:hAnsi="Times New Roman" w:cs="Times New Roman"/>
                <w:sz w:val="20"/>
              </w:rPr>
            </w:pPr>
            <w:hyperlink r:id="rId58" w:history="1">
              <w:r w:rsidRPr="00FD66E9">
                <w:rPr>
                  <w:rStyle w:val="Hyperlink"/>
                  <w:rFonts w:ascii="Times New Roman" w:hAnsi="Times New Roman" w:cs="Times New Roman"/>
                  <w:color w:val="auto"/>
                  <w:sz w:val="20"/>
                  <w:u w:val="none"/>
                </w:rPr>
                <w:t>Sun, X.-G., &amp; Tang, M. (2013). Effect of arbuscular mycorrhizal fungi inoculation on root traits and root volatile organic compound emissions of Sorghum bicolor. South African Journal of Botany, 88, 373–379. https://doi.org/10.1016/j.sajb.2013.09.007</w:t>
              </w:r>
            </w:hyperlink>
          </w:p>
        </w:tc>
        <w:tc>
          <w:tcPr>
            <w:tcW w:w="703" w:type="pct"/>
            <w:noWrap/>
            <w:hideMark/>
          </w:tcPr>
          <w:p w14:paraId="2C5C3F53"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(Sun &amp; Tang, 2013)</w:t>
            </w:r>
          </w:p>
        </w:tc>
        <w:tc>
          <w:tcPr>
            <w:tcW w:w="703" w:type="pct"/>
            <w:noWrap/>
            <w:hideMark/>
          </w:tcPr>
          <w:p w14:paraId="69F62FFC"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2013</w:t>
            </w:r>
          </w:p>
        </w:tc>
      </w:tr>
      <w:tr w:rsidR="00B82AC7" w:rsidRPr="00FD66E9" w14:paraId="0C9FD33B" w14:textId="77777777" w:rsidTr="006F484F">
        <w:trPr>
          <w:trHeight w:val="321"/>
        </w:trPr>
        <w:tc>
          <w:tcPr>
            <w:tcW w:w="547" w:type="pct"/>
          </w:tcPr>
          <w:p w14:paraId="013C9002"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3C6914AC" w14:textId="77777777" w:rsidR="00B82AC7" w:rsidRPr="00FD66E9" w:rsidRDefault="00B82AC7" w:rsidP="00170D2F">
            <w:pPr>
              <w:spacing w:line="360" w:lineRule="auto"/>
              <w:jc w:val="both"/>
              <w:rPr>
                <w:rFonts w:ascii="Times New Roman" w:hAnsi="Times New Roman" w:cs="Times New Roman"/>
                <w:sz w:val="20"/>
              </w:rPr>
            </w:pPr>
            <w:hyperlink r:id="rId59" w:history="1">
              <w:r w:rsidRPr="00FD66E9">
                <w:rPr>
                  <w:rStyle w:val="Hyperlink"/>
                  <w:rFonts w:ascii="Times New Roman" w:hAnsi="Times New Roman" w:cs="Times New Roman"/>
                  <w:color w:val="auto"/>
                  <w:sz w:val="20"/>
                  <w:u w:val="none"/>
                </w:rPr>
                <w:t>Tahat, M. M., Nejat, N., &amp; Sijam, K. (2014). Glomus mosseae bioprotection against aster yellows phytoplasma (16srI-B) and Spiroplasma citri infection in Madagascar periwinkle. Physiological and Molecular Plant Pathology, 88, 1–9. https://doi.org/10.1016/j.pmpp.2014.08.004</w:t>
              </w:r>
            </w:hyperlink>
          </w:p>
        </w:tc>
        <w:tc>
          <w:tcPr>
            <w:tcW w:w="703" w:type="pct"/>
            <w:noWrap/>
            <w:hideMark/>
          </w:tcPr>
          <w:p w14:paraId="264AE2D4"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(Tahat et al., 2014)</w:t>
            </w:r>
          </w:p>
        </w:tc>
        <w:tc>
          <w:tcPr>
            <w:tcW w:w="703" w:type="pct"/>
            <w:noWrap/>
            <w:hideMark/>
          </w:tcPr>
          <w:p w14:paraId="21EC986A"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2014</w:t>
            </w:r>
          </w:p>
        </w:tc>
      </w:tr>
      <w:tr w:rsidR="00B82AC7" w:rsidRPr="00FD66E9" w14:paraId="31D6C292" w14:textId="77777777" w:rsidTr="006F484F">
        <w:trPr>
          <w:trHeight w:val="321"/>
        </w:trPr>
        <w:tc>
          <w:tcPr>
            <w:tcW w:w="547" w:type="pct"/>
          </w:tcPr>
          <w:p w14:paraId="75312F66"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7CA54814" w14:textId="77777777" w:rsidR="00B82AC7" w:rsidRPr="00FD66E9" w:rsidRDefault="00B82AC7" w:rsidP="00170D2F">
            <w:pPr>
              <w:spacing w:line="360" w:lineRule="auto"/>
              <w:jc w:val="both"/>
              <w:rPr>
                <w:rFonts w:ascii="Times New Roman" w:hAnsi="Times New Roman" w:cs="Times New Roman"/>
                <w:sz w:val="20"/>
              </w:rPr>
            </w:pPr>
            <w:hyperlink r:id="rId60" w:history="1">
              <w:r w:rsidRPr="00FD66E9">
                <w:rPr>
                  <w:rStyle w:val="Hyperlink"/>
                  <w:rFonts w:ascii="Times New Roman" w:hAnsi="Times New Roman" w:cs="Times New Roman"/>
                  <w:color w:val="auto"/>
                  <w:sz w:val="20"/>
                  <w:u w:val="none"/>
                </w:rPr>
                <w:t>Thirkell, T.J., Grimmer, M., James, L., Pastok, D., Allary, T., Elliott, A., Paveley, N., Daniell, T., Field, K.J., 2022. Variation in mycorrhizal growth response among a spring wheat mapping population shows potential to breed for symbiotic benefit. Food and Energy Security 11, e370. https://doi.org/10.1002/fes3.370</w:t>
              </w:r>
            </w:hyperlink>
          </w:p>
        </w:tc>
        <w:tc>
          <w:tcPr>
            <w:tcW w:w="703" w:type="pct"/>
            <w:noWrap/>
            <w:hideMark/>
          </w:tcPr>
          <w:p w14:paraId="6BCB0FB7"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(Thirkell et al., 2022)</w:t>
            </w:r>
          </w:p>
        </w:tc>
        <w:tc>
          <w:tcPr>
            <w:tcW w:w="703" w:type="pct"/>
            <w:noWrap/>
            <w:hideMark/>
          </w:tcPr>
          <w:p w14:paraId="6826C169"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2022</w:t>
            </w:r>
          </w:p>
        </w:tc>
      </w:tr>
      <w:tr w:rsidR="00B82AC7" w:rsidRPr="00FD66E9" w14:paraId="22EF14D8" w14:textId="77777777" w:rsidTr="006F484F">
        <w:trPr>
          <w:trHeight w:val="321"/>
        </w:trPr>
        <w:tc>
          <w:tcPr>
            <w:tcW w:w="547" w:type="pct"/>
          </w:tcPr>
          <w:p w14:paraId="791C39E7"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08C529FF" w14:textId="77777777" w:rsidR="00B82AC7" w:rsidRPr="00FD66E9" w:rsidRDefault="00B82AC7" w:rsidP="00170D2F">
            <w:pPr>
              <w:spacing w:line="360" w:lineRule="auto"/>
              <w:jc w:val="both"/>
              <w:rPr>
                <w:rFonts w:ascii="Times New Roman" w:hAnsi="Times New Roman" w:cs="Times New Roman"/>
                <w:sz w:val="20"/>
              </w:rPr>
            </w:pPr>
            <w:hyperlink r:id="rId61" w:history="1">
              <w:r w:rsidRPr="00FD66E9">
                <w:rPr>
                  <w:rStyle w:val="Hyperlink"/>
                  <w:rFonts w:ascii="Times New Roman" w:hAnsi="Times New Roman" w:cs="Times New Roman"/>
                  <w:color w:val="auto"/>
                  <w:sz w:val="20"/>
                  <w:u w:val="none"/>
                </w:rPr>
                <w:t>Tian, M., Feng, C., Zhang, X., Gilliam, F. S., Giri, B., Chen, Y., Zhang, H., Zha, F., Liu, T., &amp; Yang, Q. (2023). Arbuscular mycorrhiza enhances maize grain yield and nitrogen uptake during the grain filling stage with contrasting nitrogen status in two types of soils. Plant Growth Regulation, 101(3), 727–742. https://doi.org/10.1007/s10725-023-01053-9</w:t>
              </w:r>
            </w:hyperlink>
          </w:p>
        </w:tc>
        <w:tc>
          <w:tcPr>
            <w:tcW w:w="703" w:type="pct"/>
            <w:noWrap/>
            <w:hideMark/>
          </w:tcPr>
          <w:p w14:paraId="0EE8C4B3"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(Tian et al., 2023)</w:t>
            </w:r>
          </w:p>
        </w:tc>
        <w:tc>
          <w:tcPr>
            <w:tcW w:w="703" w:type="pct"/>
            <w:noWrap/>
            <w:hideMark/>
          </w:tcPr>
          <w:p w14:paraId="12CECF30"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2023</w:t>
            </w:r>
          </w:p>
        </w:tc>
      </w:tr>
      <w:tr w:rsidR="00B82AC7" w:rsidRPr="00FD66E9" w14:paraId="5CF0399F" w14:textId="77777777" w:rsidTr="006F484F">
        <w:trPr>
          <w:trHeight w:val="321"/>
        </w:trPr>
        <w:tc>
          <w:tcPr>
            <w:tcW w:w="547" w:type="pct"/>
          </w:tcPr>
          <w:p w14:paraId="687E81EC"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08852016" w14:textId="77777777" w:rsidR="00B82AC7" w:rsidRPr="00FD66E9" w:rsidRDefault="00B82AC7" w:rsidP="00170D2F">
            <w:pPr>
              <w:spacing w:line="360" w:lineRule="auto"/>
              <w:jc w:val="both"/>
              <w:rPr>
                <w:rFonts w:ascii="Times New Roman" w:hAnsi="Times New Roman" w:cs="Times New Roman"/>
                <w:sz w:val="20"/>
              </w:rPr>
            </w:pPr>
            <w:hyperlink r:id="rId62" w:history="1">
              <w:r w:rsidRPr="00FD66E9">
                <w:rPr>
                  <w:rStyle w:val="Hyperlink"/>
                  <w:rFonts w:ascii="Times New Roman" w:hAnsi="Times New Roman" w:cs="Times New Roman"/>
                  <w:color w:val="auto"/>
                  <w:sz w:val="20"/>
                  <w:u w:val="none"/>
                </w:rPr>
                <w:t>Tian, H., Jia, Z., Liu, W., Wei, X., Wang, H., Bao, G., Li, J., &amp; Zhou, Q. (2023). Effects of Arbuscular Mycorrhizal Fungi on Growth and Nutrient Accumulation of Oat under Drought Conditions. Agronomy, 13(10), Article 10. https://doi.org/10.3390/agronomy13102585</w:t>
              </w:r>
            </w:hyperlink>
          </w:p>
        </w:tc>
        <w:tc>
          <w:tcPr>
            <w:tcW w:w="703" w:type="pct"/>
            <w:noWrap/>
            <w:hideMark/>
          </w:tcPr>
          <w:p w14:paraId="762CAADB"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(Tian et al., 2023)</w:t>
            </w:r>
          </w:p>
        </w:tc>
        <w:tc>
          <w:tcPr>
            <w:tcW w:w="703" w:type="pct"/>
            <w:noWrap/>
            <w:hideMark/>
          </w:tcPr>
          <w:p w14:paraId="2AA37C9C"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2023</w:t>
            </w:r>
          </w:p>
        </w:tc>
      </w:tr>
      <w:tr w:rsidR="00B82AC7" w:rsidRPr="00FD66E9" w14:paraId="66EA7C5F" w14:textId="77777777" w:rsidTr="006F484F">
        <w:trPr>
          <w:trHeight w:val="321"/>
        </w:trPr>
        <w:tc>
          <w:tcPr>
            <w:tcW w:w="547" w:type="pct"/>
          </w:tcPr>
          <w:p w14:paraId="49DBCC68"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45F87B89" w14:textId="77777777" w:rsidR="00B82AC7" w:rsidRPr="00FD66E9" w:rsidRDefault="00B82AC7" w:rsidP="00170D2F">
            <w:pPr>
              <w:spacing w:line="360" w:lineRule="auto"/>
              <w:jc w:val="both"/>
              <w:rPr>
                <w:rFonts w:ascii="Times New Roman" w:hAnsi="Times New Roman" w:cs="Times New Roman"/>
                <w:sz w:val="20"/>
              </w:rPr>
            </w:pPr>
            <w:hyperlink r:id="rId63" w:history="1">
              <w:r w:rsidRPr="00FD66E9">
                <w:rPr>
                  <w:rStyle w:val="Hyperlink"/>
                  <w:rFonts w:ascii="Times New Roman" w:hAnsi="Times New Roman" w:cs="Times New Roman"/>
                  <w:color w:val="auto"/>
                  <w:sz w:val="20"/>
                  <w:u w:val="none"/>
                </w:rPr>
                <w:t>Torelli, A., Trotta, A., Acerbi, L.,</w:t>
              </w:r>
              <w:r w:rsidRPr="00FD66E9">
                <w:rPr>
                  <w:rStyle w:val="Hyperlink"/>
                  <w:rFonts w:ascii="Times New Roman" w:hAnsi="Times New Roman" w:cs="Times New Roman"/>
                  <w:color w:val="auto"/>
                  <w:sz w:val="20"/>
                  <w:u w:val="none"/>
                </w:rPr>
                <w:br/>
                <w:t xml:space="preserve"> Arcidiacono, G., Berta, G., &amp; Branca, C. (2000). IAA and ZR content in leek (Allium porrum L.), as influenced by P nutrition and arbuscular mycorrhizae, in relation to plant development. Plant </w:t>
              </w:r>
              <w:r w:rsidRPr="00FD66E9">
                <w:rPr>
                  <w:rStyle w:val="Hyperlink"/>
                  <w:rFonts w:ascii="Times New Roman" w:hAnsi="Times New Roman" w:cs="Times New Roman"/>
                  <w:color w:val="auto"/>
                  <w:sz w:val="20"/>
                  <w:u w:val="none"/>
                </w:rPr>
                <w:lastRenderedPageBreak/>
                <w:t>and Soil, 226(1), 29–35. https://doi.org/10.1023/A:1026430019738</w:t>
              </w:r>
            </w:hyperlink>
          </w:p>
        </w:tc>
        <w:tc>
          <w:tcPr>
            <w:tcW w:w="703" w:type="pct"/>
            <w:noWrap/>
            <w:hideMark/>
          </w:tcPr>
          <w:p w14:paraId="68A81148"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lastRenderedPageBreak/>
              <w:t>(Torelli et al., 2000)</w:t>
            </w:r>
          </w:p>
        </w:tc>
        <w:tc>
          <w:tcPr>
            <w:tcW w:w="703" w:type="pct"/>
            <w:noWrap/>
            <w:hideMark/>
          </w:tcPr>
          <w:p w14:paraId="12ABE12F"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2000</w:t>
            </w:r>
          </w:p>
        </w:tc>
      </w:tr>
      <w:tr w:rsidR="00B82AC7" w:rsidRPr="00FD66E9" w14:paraId="3A69A262" w14:textId="77777777" w:rsidTr="006F484F">
        <w:trPr>
          <w:trHeight w:val="321"/>
        </w:trPr>
        <w:tc>
          <w:tcPr>
            <w:tcW w:w="547" w:type="pct"/>
          </w:tcPr>
          <w:p w14:paraId="36857C53"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6D603460" w14:textId="77777777" w:rsidR="00B82AC7" w:rsidRPr="00FD66E9" w:rsidRDefault="00B82AC7" w:rsidP="00170D2F">
            <w:pPr>
              <w:spacing w:line="360" w:lineRule="auto"/>
              <w:jc w:val="both"/>
              <w:rPr>
                <w:rFonts w:ascii="Times New Roman" w:hAnsi="Times New Roman" w:cs="Times New Roman"/>
                <w:sz w:val="20"/>
              </w:rPr>
            </w:pPr>
            <w:hyperlink r:id="rId64" w:history="1">
              <w:r w:rsidRPr="00FD66E9">
                <w:rPr>
                  <w:rStyle w:val="Hyperlink"/>
                  <w:rFonts w:ascii="Times New Roman" w:hAnsi="Times New Roman" w:cs="Times New Roman"/>
                  <w:color w:val="auto"/>
                  <w:sz w:val="20"/>
                  <w:u w:val="none"/>
                </w:rPr>
                <w:t>Unger, S., Friede, M., Volkmar, K., Hundacker, J., &amp; Beyschlag, W. (2017). Relationship between mycorrhizal responsiveness and root traits in European sand dune species. Rhizosphere, 3, 160–169. https://doi.org/10.1016/j.rhisph.2017.04.008</w:t>
              </w:r>
            </w:hyperlink>
          </w:p>
        </w:tc>
        <w:tc>
          <w:tcPr>
            <w:tcW w:w="703" w:type="pct"/>
            <w:noWrap/>
            <w:hideMark/>
          </w:tcPr>
          <w:p w14:paraId="1EC63F96"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(Unger et al., 2017)</w:t>
            </w:r>
          </w:p>
        </w:tc>
        <w:tc>
          <w:tcPr>
            <w:tcW w:w="703" w:type="pct"/>
            <w:noWrap/>
            <w:hideMark/>
          </w:tcPr>
          <w:p w14:paraId="368228F2"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2017</w:t>
            </w:r>
          </w:p>
        </w:tc>
      </w:tr>
      <w:tr w:rsidR="00B82AC7" w:rsidRPr="00FD66E9" w14:paraId="78D02E1A" w14:textId="77777777" w:rsidTr="006F484F">
        <w:trPr>
          <w:trHeight w:val="321"/>
        </w:trPr>
        <w:tc>
          <w:tcPr>
            <w:tcW w:w="547" w:type="pct"/>
          </w:tcPr>
          <w:p w14:paraId="39D1B1D7"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3FC59154" w14:textId="77777777" w:rsidR="00B82AC7" w:rsidRPr="00FD66E9" w:rsidRDefault="00B82AC7" w:rsidP="00170D2F">
            <w:pPr>
              <w:spacing w:line="360" w:lineRule="auto"/>
              <w:jc w:val="both"/>
              <w:rPr>
                <w:rFonts w:ascii="Times New Roman" w:hAnsi="Times New Roman" w:cs="Times New Roman"/>
                <w:sz w:val="20"/>
              </w:rPr>
            </w:pPr>
            <w:hyperlink r:id="rId65" w:history="1">
              <w:r w:rsidRPr="00FD66E9">
                <w:rPr>
                  <w:rStyle w:val="Hyperlink"/>
                  <w:rFonts w:ascii="Times New Roman" w:hAnsi="Times New Roman" w:cs="Times New Roman"/>
                  <w:color w:val="auto"/>
                  <w:sz w:val="20"/>
                  <w:u w:val="none"/>
                </w:rPr>
                <w:t xml:space="preserve">Vigo, C., Norman, J. R., &amp; Hooker, J. E. (2000). </w:t>
              </w:r>
              <w:r w:rsidRPr="00FD66E9">
                <w:rPr>
                  <w:rStyle w:val="Hyperlink"/>
                  <w:rFonts w:ascii="Times New Roman" w:hAnsi="Times New Roman" w:cs="Times New Roman"/>
                  <w:color w:val="auto"/>
                  <w:sz w:val="20"/>
                  <w:u w:val="none"/>
                </w:rPr>
                <w:br/>
                <w:t>Biocontrol of the pathogen Phytophthora parasitica by arbuscular mycorrhizal fungi is a consequence of effects on infection loci. Plant Pathology, 49(4), 509–514. https://doi.org/10.1046/j.1365-3059.2000.00473.x</w:t>
              </w:r>
            </w:hyperlink>
          </w:p>
        </w:tc>
        <w:tc>
          <w:tcPr>
            <w:tcW w:w="703" w:type="pct"/>
            <w:noWrap/>
            <w:hideMark/>
          </w:tcPr>
          <w:p w14:paraId="19652740"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(Vigo et al., 2000)</w:t>
            </w:r>
          </w:p>
        </w:tc>
        <w:tc>
          <w:tcPr>
            <w:tcW w:w="703" w:type="pct"/>
            <w:noWrap/>
            <w:hideMark/>
          </w:tcPr>
          <w:p w14:paraId="589F781F"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2000</w:t>
            </w:r>
          </w:p>
        </w:tc>
      </w:tr>
      <w:tr w:rsidR="00B82AC7" w:rsidRPr="00FD66E9" w14:paraId="2A92FCA2" w14:textId="77777777" w:rsidTr="006F484F">
        <w:trPr>
          <w:trHeight w:val="321"/>
        </w:trPr>
        <w:tc>
          <w:tcPr>
            <w:tcW w:w="547" w:type="pct"/>
          </w:tcPr>
          <w:p w14:paraId="4641953D"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hideMark/>
          </w:tcPr>
          <w:p w14:paraId="4F1BDECC" w14:textId="77777777" w:rsidR="00B82AC7" w:rsidRPr="00FD66E9" w:rsidRDefault="00B82AC7" w:rsidP="00170D2F">
            <w:pPr>
              <w:spacing w:line="360" w:lineRule="auto"/>
              <w:jc w:val="both"/>
              <w:rPr>
                <w:rFonts w:ascii="Times New Roman" w:hAnsi="Times New Roman" w:cs="Times New Roman"/>
                <w:sz w:val="20"/>
              </w:rPr>
            </w:pPr>
            <w:hyperlink r:id="rId66" w:history="1">
              <w:r w:rsidRPr="00FD66E9">
                <w:rPr>
                  <w:rStyle w:val="Hyperlink"/>
                  <w:rFonts w:ascii="Times New Roman" w:hAnsi="Times New Roman" w:cs="Times New Roman"/>
                  <w:color w:val="auto"/>
                  <w:sz w:val="20"/>
                  <w:u w:val="none"/>
                </w:rPr>
                <w:t>Volpe, V., Dell’Aglio, E., Giovannetti,</w:t>
              </w:r>
              <w:r w:rsidRPr="00FD66E9">
                <w:rPr>
                  <w:rStyle w:val="Hyperlink"/>
                  <w:rFonts w:ascii="Times New Roman" w:hAnsi="Times New Roman" w:cs="Times New Roman"/>
                  <w:color w:val="auto"/>
                  <w:sz w:val="20"/>
                  <w:u w:val="none"/>
                </w:rPr>
                <w:br/>
                <w:t xml:space="preserve"> M., Ruberti, C., Costa, A., Genre, A., Guether, M., &amp; Bonfante, P. (2013). An AM-induced, MYB-family gene of Lotus japonicus (LjMAMI) affects root growth in an AM-independent manner. The Plant Journal, 73(3), 442–455. https://doi.org/10.1111/tpj.12045</w:t>
              </w:r>
            </w:hyperlink>
          </w:p>
        </w:tc>
        <w:tc>
          <w:tcPr>
            <w:tcW w:w="703" w:type="pct"/>
            <w:noWrap/>
            <w:hideMark/>
          </w:tcPr>
          <w:p w14:paraId="7B3F0D3A"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(Volpe et al., 2013)</w:t>
            </w:r>
          </w:p>
        </w:tc>
        <w:tc>
          <w:tcPr>
            <w:tcW w:w="703" w:type="pct"/>
            <w:noWrap/>
            <w:hideMark/>
          </w:tcPr>
          <w:p w14:paraId="3CEB5119"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2013</w:t>
            </w:r>
          </w:p>
        </w:tc>
      </w:tr>
      <w:tr w:rsidR="00B82AC7" w:rsidRPr="00FD66E9" w14:paraId="20B15818" w14:textId="77777777" w:rsidTr="006F484F">
        <w:trPr>
          <w:trHeight w:val="321"/>
        </w:trPr>
        <w:tc>
          <w:tcPr>
            <w:tcW w:w="547" w:type="pct"/>
          </w:tcPr>
          <w:p w14:paraId="6CBCD0F0"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6B9C24BA" w14:textId="77777777" w:rsidR="00B82AC7" w:rsidRPr="00FD66E9" w:rsidRDefault="00B82AC7" w:rsidP="00170D2F">
            <w:pPr>
              <w:spacing w:line="360" w:lineRule="auto"/>
              <w:jc w:val="both"/>
              <w:rPr>
                <w:rFonts w:ascii="Times New Roman" w:hAnsi="Times New Roman" w:cs="Times New Roman"/>
                <w:sz w:val="20"/>
              </w:rPr>
            </w:pPr>
            <w:hyperlink r:id="rId67" w:history="1">
              <w:r w:rsidRPr="00FD66E9">
                <w:rPr>
                  <w:rStyle w:val="Hyperlink"/>
                  <w:rFonts w:ascii="Times New Roman" w:hAnsi="Times New Roman" w:cs="Times New Roman"/>
                  <w:color w:val="auto"/>
                  <w:sz w:val="20"/>
                  <w:u w:val="none"/>
                </w:rPr>
                <w:t xml:space="preserve">Wang, X., Pan, Q., Chen, F., Yan, X., &amp; Liao, H. (2011). </w:t>
              </w:r>
              <w:r w:rsidRPr="00FD66E9">
                <w:rPr>
                  <w:rStyle w:val="Hyperlink"/>
                  <w:rFonts w:ascii="Times New Roman" w:hAnsi="Times New Roman" w:cs="Times New Roman"/>
                  <w:color w:val="auto"/>
                  <w:sz w:val="20"/>
                  <w:u w:val="none"/>
                </w:rPr>
                <w:br/>
                <w:t>Effects of co-inoculation with arbuscular mycorrhizal fungi and rhizobia on soybean growth as related to root architecture and availability of N and P. Mycorrhiza, 21(3), 173–181. https://doi.org/10.1007/s00572-010-0319-1</w:t>
              </w:r>
            </w:hyperlink>
          </w:p>
        </w:tc>
        <w:tc>
          <w:tcPr>
            <w:tcW w:w="703" w:type="pct"/>
            <w:noWrap/>
            <w:hideMark/>
          </w:tcPr>
          <w:p w14:paraId="6039E011"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(Wang et al., 2011)</w:t>
            </w:r>
          </w:p>
        </w:tc>
        <w:tc>
          <w:tcPr>
            <w:tcW w:w="703" w:type="pct"/>
            <w:noWrap/>
            <w:hideMark/>
          </w:tcPr>
          <w:p w14:paraId="2755C69E"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2011</w:t>
            </w:r>
          </w:p>
        </w:tc>
      </w:tr>
      <w:tr w:rsidR="00B82AC7" w:rsidRPr="00FD66E9" w14:paraId="1CD09FE0" w14:textId="77777777" w:rsidTr="006F484F">
        <w:trPr>
          <w:trHeight w:val="321"/>
        </w:trPr>
        <w:tc>
          <w:tcPr>
            <w:tcW w:w="547" w:type="pct"/>
          </w:tcPr>
          <w:p w14:paraId="7EC2FF43"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1D3BBB4E" w14:textId="77777777" w:rsidR="00B82AC7" w:rsidRPr="00FD66E9" w:rsidRDefault="00B82AC7" w:rsidP="00170D2F">
            <w:pPr>
              <w:spacing w:line="360" w:lineRule="auto"/>
              <w:jc w:val="both"/>
              <w:rPr>
                <w:rFonts w:ascii="Times New Roman" w:hAnsi="Times New Roman" w:cs="Times New Roman"/>
                <w:sz w:val="20"/>
              </w:rPr>
            </w:pPr>
            <w:hyperlink r:id="rId68" w:history="1">
              <w:r w:rsidRPr="00FD66E9">
                <w:rPr>
                  <w:rStyle w:val="Hyperlink"/>
                  <w:rFonts w:ascii="Times New Roman" w:hAnsi="Times New Roman" w:cs="Times New Roman"/>
                  <w:color w:val="auto"/>
                  <w:sz w:val="20"/>
                  <w:u w:val="none"/>
                </w:rPr>
                <w:t>Wang, X., Zhao, S., &amp; Bücking, H. (2016). Arbuscular mycorrhizal growth responses are fungal specific but do not differ between soybean genotypes with different phosphate efficiency. Annals of Botany, 118(1), 11–21. https://doi.org/10.1093/aob/mcw074</w:t>
              </w:r>
            </w:hyperlink>
          </w:p>
        </w:tc>
        <w:tc>
          <w:tcPr>
            <w:tcW w:w="703" w:type="pct"/>
            <w:noWrap/>
            <w:hideMark/>
          </w:tcPr>
          <w:p w14:paraId="178D4EEB"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(Wang et al., 2016)</w:t>
            </w:r>
          </w:p>
        </w:tc>
        <w:tc>
          <w:tcPr>
            <w:tcW w:w="703" w:type="pct"/>
            <w:noWrap/>
            <w:hideMark/>
          </w:tcPr>
          <w:p w14:paraId="23194DF6"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2016</w:t>
            </w:r>
          </w:p>
        </w:tc>
      </w:tr>
      <w:tr w:rsidR="00B82AC7" w:rsidRPr="00FD66E9" w14:paraId="5DE70877" w14:textId="77777777" w:rsidTr="006F484F">
        <w:trPr>
          <w:trHeight w:val="321"/>
        </w:trPr>
        <w:tc>
          <w:tcPr>
            <w:tcW w:w="547" w:type="pct"/>
          </w:tcPr>
          <w:p w14:paraId="0B2CC1D8"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205ADB53" w14:textId="77777777" w:rsidR="00B82AC7" w:rsidRPr="00FD66E9" w:rsidRDefault="00B82AC7" w:rsidP="00170D2F">
            <w:pPr>
              <w:spacing w:line="360" w:lineRule="auto"/>
              <w:jc w:val="both"/>
              <w:rPr>
                <w:rFonts w:ascii="Times New Roman" w:hAnsi="Times New Roman" w:cs="Times New Roman"/>
                <w:sz w:val="20"/>
              </w:rPr>
            </w:pPr>
            <w:hyperlink r:id="rId69" w:history="1">
              <w:r w:rsidRPr="00FD66E9">
                <w:rPr>
                  <w:rStyle w:val="Hyperlink"/>
                  <w:rFonts w:ascii="Times New Roman" w:hAnsi="Times New Roman" w:cs="Times New Roman"/>
                  <w:color w:val="auto"/>
                  <w:sz w:val="20"/>
                  <w:u w:val="none"/>
                </w:rPr>
                <w:t>Wang, X.-X., Li, H., Chu, Q., Feng, G., Kuyper, T. W., &amp; Rengel, Z. (2020). Mycorrhizal impacts on root trait plasticity of six maize varieties along a phosphorus supply gradient. Plant and Soil, 448(1), 71–86. https://doi.org/10.1007/s11104-019-04396-0</w:t>
              </w:r>
            </w:hyperlink>
          </w:p>
        </w:tc>
        <w:tc>
          <w:tcPr>
            <w:tcW w:w="703" w:type="pct"/>
            <w:noWrap/>
            <w:hideMark/>
          </w:tcPr>
          <w:p w14:paraId="589CC86E"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(Wang et al., 2020)</w:t>
            </w:r>
          </w:p>
        </w:tc>
        <w:tc>
          <w:tcPr>
            <w:tcW w:w="703" w:type="pct"/>
            <w:noWrap/>
            <w:hideMark/>
          </w:tcPr>
          <w:p w14:paraId="11C21688"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2020</w:t>
            </w:r>
          </w:p>
        </w:tc>
      </w:tr>
      <w:tr w:rsidR="00B82AC7" w:rsidRPr="00FD66E9" w14:paraId="69AE8C88" w14:textId="77777777" w:rsidTr="006F484F">
        <w:trPr>
          <w:trHeight w:val="321"/>
        </w:trPr>
        <w:tc>
          <w:tcPr>
            <w:tcW w:w="547" w:type="pct"/>
          </w:tcPr>
          <w:p w14:paraId="33B81209"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4995BB84" w14:textId="77777777" w:rsidR="00B82AC7" w:rsidRPr="00FD66E9" w:rsidRDefault="00B82AC7" w:rsidP="00170D2F">
            <w:pPr>
              <w:spacing w:line="360" w:lineRule="auto"/>
              <w:jc w:val="both"/>
              <w:rPr>
                <w:rFonts w:ascii="Times New Roman" w:hAnsi="Times New Roman" w:cs="Times New Roman"/>
                <w:sz w:val="20"/>
              </w:rPr>
            </w:pPr>
            <w:hyperlink r:id="rId70" w:history="1">
              <w:r w:rsidRPr="00FD66E9">
                <w:rPr>
                  <w:rStyle w:val="Hyperlink"/>
                  <w:rFonts w:ascii="Times New Roman" w:hAnsi="Times New Roman" w:cs="Times New Roman"/>
                  <w:color w:val="auto"/>
                  <w:sz w:val="20"/>
                  <w:u w:val="none"/>
                </w:rPr>
                <w:t>Xu, L., Cheng, F.-Y., &amp; Zhong, Y. (2022). Effects of arbuscular mycorrhizal fungi and exogenous polyamines on the growth and root system architecture of tree peony seedlings from embryo culture. European Journal of Horticultural Science, 87. https://doi.org/10.17660/eJHS.2022/049</w:t>
              </w:r>
            </w:hyperlink>
          </w:p>
        </w:tc>
        <w:tc>
          <w:tcPr>
            <w:tcW w:w="703" w:type="pct"/>
            <w:noWrap/>
            <w:hideMark/>
          </w:tcPr>
          <w:p w14:paraId="10479DD6"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(Xu et al., 2022)</w:t>
            </w:r>
          </w:p>
        </w:tc>
        <w:tc>
          <w:tcPr>
            <w:tcW w:w="703" w:type="pct"/>
            <w:noWrap/>
            <w:hideMark/>
          </w:tcPr>
          <w:p w14:paraId="267ECDEC"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2022</w:t>
            </w:r>
          </w:p>
        </w:tc>
      </w:tr>
      <w:tr w:rsidR="00B82AC7" w:rsidRPr="00FD66E9" w14:paraId="4C87AB19" w14:textId="77777777" w:rsidTr="006F484F">
        <w:trPr>
          <w:trHeight w:val="321"/>
        </w:trPr>
        <w:tc>
          <w:tcPr>
            <w:tcW w:w="547" w:type="pct"/>
          </w:tcPr>
          <w:p w14:paraId="5EE8E49C"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32B9C1E2" w14:textId="77777777" w:rsidR="00B82AC7" w:rsidRPr="00FD66E9" w:rsidRDefault="00B82AC7" w:rsidP="00170D2F">
            <w:pPr>
              <w:spacing w:line="360" w:lineRule="auto"/>
              <w:jc w:val="both"/>
              <w:rPr>
                <w:rFonts w:ascii="Times New Roman" w:hAnsi="Times New Roman" w:cs="Times New Roman"/>
                <w:sz w:val="20"/>
              </w:rPr>
            </w:pPr>
            <w:hyperlink r:id="rId71" w:history="1">
              <w:r w:rsidRPr="00FD66E9">
                <w:rPr>
                  <w:rStyle w:val="Hyperlink"/>
                  <w:rFonts w:ascii="Times New Roman" w:hAnsi="Times New Roman" w:cs="Times New Roman"/>
                  <w:color w:val="auto"/>
                  <w:sz w:val="20"/>
                  <w:u w:val="none"/>
                </w:rPr>
                <w:t>Yanlin Zhai, Lijun Xing, Xueyi Hu, Wei Li, Xin Tang, &amp; Shaoxia Guo. (2022). The effect of inoculation with arbuscular mycorrhizal fungi on root traits and salt tolerance of Tagetes erecta. Proceedings of the Estonian Academy of Sciences, 71(4), 376–396. https://doi.org/10.3176/proc.2022.4.22</w:t>
              </w:r>
            </w:hyperlink>
          </w:p>
        </w:tc>
        <w:tc>
          <w:tcPr>
            <w:tcW w:w="703" w:type="pct"/>
            <w:noWrap/>
            <w:hideMark/>
          </w:tcPr>
          <w:p w14:paraId="1B4FD4F1"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(Yanlin Zhai et al., 2022)</w:t>
            </w:r>
          </w:p>
        </w:tc>
        <w:tc>
          <w:tcPr>
            <w:tcW w:w="703" w:type="pct"/>
            <w:noWrap/>
            <w:hideMark/>
          </w:tcPr>
          <w:p w14:paraId="60A8F339"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2022</w:t>
            </w:r>
          </w:p>
        </w:tc>
      </w:tr>
      <w:tr w:rsidR="00B82AC7" w:rsidRPr="00FD66E9" w14:paraId="4BB3042D" w14:textId="77777777" w:rsidTr="006F484F">
        <w:trPr>
          <w:trHeight w:val="321"/>
        </w:trPr>
        <w:tc>
          <w:tcPr>
            <w:tcW w:w="547" w:type="pct"/>
          </w:tcPr>
          <w:p w14:paraId="1B6A9902"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39CE1E74" w14:textId="77777777" w:rsidR="00B82AC7" w:rsidRPr="00FD66E9" w:rsidRDefault="00B82AC7" w:rsidP="00170D2F">
            <w:pPr>
              <w:spacing w:line="360" w:lineRule="auto"/>
              <w:jc w:val="both"/>
              <w:rPr>
                <w:rFonts w:ascii="Times New Roman" w:hAnsi="Times New Roman" w:cs="Times New Roman"/>
                <w:sz w:val="20"/>
              </w:rPr>
            </w:pPr>
            <w:hyperlink r:id="rId72" w:history="1">
              <w:r w:rsidRPr="00FD66E9">
                <w:rPr>
                  <w:rStyle w:val="Hyperlink"/>
                  <w:rFonts w:ascii="Times New Roman" w:hAnsi="Times New Roman" w:cs="Times New Roman"/>
                  <w:color w:val="auto"/>
                  <w:sz w:val="20"/>
                  <w:u w:val="none"/>
                </w:rPr>
                <w:t>Zhai, Y., Hu, X., Zhao, X., Xu, M., Li, W., &amp; Guo, S. (2023). Phosphorous and Arbuscular Mycorrhizal Fungi Improve Snapdragon Flowering Through Regulating Root Architecture and Phosphorus Nutrition. Journal of Soil Science and Plant Nutrition, 23(3), 4279–4289. https://doi.org/10.1007/s42729-023-01347-12</w:t>
              </w:r>
            </w:hyperlink>
          </w:p>
        </w:tc>
        <w:tc>
          <w:tcPr>
            <w:tcW w:w="703" w:type="pct"/>
            <w:noWrap/>
            <w:hideMark/>
          </w:tcPr>
          <w:p w14:paraId="3373141E"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(Zhai et al., 2023)</w:t>
            </w:r>
          </w:p>
        </w:tc>
        <w:tc>
          <w:tcPr>
            <w:tcW w:w="703" w:type="pct"/>
            <w:noWrap/>
            <w:hideMark/>
          </w:tcPr>
          <w:p w14:paraId="60D7A3C7"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2023</w:t>
            </w:r>
          </w:p>
        </w:tc>
      </w:tr>
      <w:tr w:rsidR="00B82AC7" w:rsidRPr="00FD66E9" w14:paraId="0C0D5519" w14:textId="77777777" w:rsidTr="006F484F">
        <w:trPr>
          <w:trHeight w:val="312"/>
        </w:trPr>
        <w:tc>
          <w:tcPr>
            <w:tcW w:w="547" w:type="pct"/>
          </w:tcPr>
          <w:p w14:paraId="1383CD03" w14:textId="77777777" w:rsidR="00B82AC7" w:rsidRPr="00FD66E9" w:rsidRDefault="00B82AC7" w:rsidP="00170D2F">
            <w:pPr>
              <w:pStyle w:val="ListParagraph"/>
              <w:numPr>
                <w:ilvl w:val="0"/>
                <w:numId w:val="5"/>
              </w:numPr>
              <w:spacing w:line="360" w:lineRule="auto"/>
              <w:jc w:val="both"/>
              <w:rPr>
                <w:rFonts w:ascii="Times New Roman" w:hAnsi="Times New Roman" w:cs="Times New Roman"/>
                <w:sz w:val="20"/>
              </w:rPr>
            </w:pPr>
          </w:p>
        </w:tc>
        <w:tc>
          <w:tcPr>
            <w:tcW w:w="3046" w:type="pct"/>
            <w:noWrap/>
            <w:hideMark/>
          </w:tcPr>
          <w:p w14:paraId="6EA36659" w14:textId="77777777" w:rsidR="00B82AC7" w:rsidRPr="00FD66E9" w:rsidRDefault="00B82AC7" w:rsidP="00170D2F">
            <w:pPr>
              <w:spacing w:line="360" w:lineRule="auto"/>
              <w:jc w:val="both"/>
              <w:rPr>
                <w:rFonts w:ascii="Times New Roman" w:hAnsi="Times New Roman" w:cs="Times New Roman"/>
                <w:sz w:val="20"/>
              </w:rPr>
            </w:pPr>
            <w:hyperlink r:id="rId73" w:history="1">
              <w:r w:rsidRPr="00FD66E9">
                <w:rPr>
                  <w:rStyle w:val="Hyperlink"/>
                  <w:rFonts w:ascii="Times New Roman" w:hAnsi="Times New Roman" w:cs="Times New Roman"/>
                  <w:color w:val="auto"/>
                  <w:sz w:val="20"/>
                  <w:u w:val="none"/>
                </w:rPr>
                <w:t>Zhu, J., Kaeppler, S. M., &amp; Lynch, J. P. (2005).</w:t>
              </w:r>
              <w:r w:rsidRPr="00FD66E9">
                <w:rPr>
                  <w:rStyle w:val="Hyperlink"/>
                  <w:rFonts w:ascii="Times New Roman" w:hAnsi="Times New Roman" w:cs="Times New Roman"/>
                  <w:color w:val="auto"/>
                  <w:sz w:val="20"/>
                  <w:u w:val="none"/>
                </w:rPr>
                <w:br/>
                <w:t xml:space="preserve"> Topsoil foraging and phosphorus acquisition efficiency in maize (Zea mays). Functional Plant Biology: FPB, 32(8), 749–762. https://doi.org/10.1071/FP05005</w:t>
              </w:r>
            </w:hyperlink>
          </w:p>
        </w:tc>
        <w:tc>
          <w:tcPr>
            <w:tcW w:w="703" w:type="pct"/>
            <w:noWrap/>
            <w:hideMark/>
          </w:tcPr>
          <w:p w14:paraId="0D9A64B0"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(Zhu et al., 2005)</w:t>
            </w:r>
          </w:p>
        </w:tc>
        <w:tc>
          <w:tcPr>
            <w:tcW w:w="703" w:type="pct"/>
            <w:noWrap/>
            <w:hideMark/>
          </w:tcPr>
          <w:p w14:paraId="77156D41" w14:textId="77777777" w:rsidR="00B82AC7" w:rsidRPr="00FD66E9" w:rsidRDefault="00B82AC7" w:rsidP="00170D2F">
            <w:pPr>
              <w:spacing w:line="360" w:lineRule="auto"/>
              <w:jc w:val="both"/>
              <w:rPr>
                <w:rFonts w:ascii="Times New Roman" w:hAnsi="Times New Roman" w:cs="Times New Roman"/>
                <w:sz w:val="20"/>
              </w:rPr>
            </w:pPr>
            <w:r w:rsidRPr="00FD66E9">
              <w:rPr>
                <w:rFonts w:ascii="Times New Roman" w:hAnsi="Times New Roman" w:cs="Times New Roman"/>
                <w:sz w:val="20"/>
              </w:rPr>
              <w:t>2005</w:t>
            </w:r>
          </w:p>
        </w:tc>
      </w:tr>
    </w:tbl>
    <w:p w14:paraId="45EBD91E" w14:textId="77777777" w:rsidR="00E01DAB" w:rsidRDefault="00E01DAB" w:rsidP="00170D2F">
      <w:pPr>
        <w:spacing w:line="360" w:lineRule="auto"/>
        <w:jc w:val="both"/>
        <w:rPr>
          <w:rFonts w:ascii="Times New Roman" w:hAnsi="Times New Roman" w:cs="Times New Roman"/>
          <w:sz w:val="20"/>
        </w:rPr>
      </w:pPr>
    </w:p>
    <w:p w14:paraId="1D65DA34" w14:textId="798C0E72" w:rsidR="00C763E2"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b/>
          <w:bCs/>
          <w:sz w:val="20"/>
        </w:rPr>
        <w:t>Table S2</w:t>
      </w:r>
      <w:r w:rsidRPr="00FD66E9">
        <w:rPr>
          <w:rFonts w:ascii="Times New Roman" w:hAnsi="Times New Roman" w:cs="Times New Roman"/>
          <w:sz w:val="20"/>
        </w:rPr>
        <w:t>.   AMF species used in the studies (AMF species from mixed inocula are also included)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2763"/>
        <w:gridCol w:w="1969"/>
        <w:gridCol w:w="1799"/>
        <w:gridCol w:w="1412"/>
      </w:tblGrid>
      <w:tr w:rsidR="00C763E2" w:rsidRPr="00FD66E9" w14:paraId="75D99F08" w14:textId="77777777">
        <w:tc>
          <w:tcPr>
            <w:tcW w:w="1129" w:type="dxa"/>
            <w:tcBorders>
              <w:top w:val="single" w:sz="4" w:space="0" w:color="auto"/>
              <w:bottom w:val="single" w:sz="4" w:space="0" w:color="auto"/>
            </w:tcBorders>
          </w:tcPr>
          <w:p w14:paraId="3EA6D201"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N</w:t>
            </w:r>
            <w:r>
              <w:rPr>
                <w:rFonts w:ascii="Times New Roman" w:hAnsi="Times New Roman" w:cs="Times New Roman"/>
                <w:sz w:val="20"/>
              </w:rPr>
              <w:t>o.</w:t>
            </w:r>
          </w:p>
        </w:tc>
        <w:tc>
          <w:tcPr>
            <w:tcW w:w="2763" w:type="dxa"/>
            <w:tcBorders>
              <w:top w:val="single" w:sz="4" w:space="0" w:color="auto"/>
              <w:bottom w:val="single" w:sz="4" w:space="0" w:color="auto"/>
            </w:tcBorders>
          </w:tcPr>
          <w:p w14:paraId="20D35691"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AMF species (Current name)</w:t>
            </w:r>
          </w:p>
        </w:tc>
        <w:tc>
          <w:tcPr>
            <w:tcW w:w="1969" w:type="dxa"/>
            <w:tcBorders>
              <w:top w:val="single" w:sz="4" w:space="0" w:color="auto"/>
              <w:bottom w:val="single" w:sz="4" w:space="0" w:color="auto"/>
            </w:tcBorders>
          </w:tcPr>
          <w:p w14:paraId="66ACC939"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AMF family</w:t>
            </w:r>
          </w:p>
        </w:tc>
        <w:tc>
          <w:tcPr>
            <w:tcW w:w="1799" w:type="dxa"/>
            <w:tcBorders>
              <w:top w:val="single" w:sz="4" w:space="0" w:color="auto"/>
              <w:bottom w:val="single" w:sz="4" w:space="0" w:color="auto"/>
            </w:tcBorders>
          </w:tcPr>
          <w:p w14:paraId="0DB073AA"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Guild</w:t>
            </w:r>
          </w:p>
        </w:tc>
        <w:tc>
          <w:tcPr>
            <w:tcW w:w="1412" w:type="dxa"/>
            <w:tcBorders>
              <w:top w:val="single" w:sz="4" w:space="0" w:color="auto"/>
              <w:bottom w:val="single" w:sz="4" w:space="0" w:color="auto"/>
            </w:tcBorders>
          </w:tcPr>
          <w:p w14:paraId="45520012"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No. of observations</w:t>
            </w:r>
          </w:p>
        </w:tc>
      </w:tr>
      <w:tr w:rsidR="00C763E2" w:rsidRPr="00FD66E9" w14:paraId="68554B8B" w14:textId="77777777">
        <w:tc>
          <w:tcPr>
            <w:tcW w:w="1129" w:type="dxa"/>
            <w:tcBorders>
              <w:top w:val="single" w:sz="4" w:space="0" w:color="auto"/>
            </w:tcBorders>
          </w:tcPr>
          <w:p w14:paraId="38B6F6B5"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Borders>
              <w:top w:val="single" w:sz="4" w:space="0" w:color="auto"/>
            </w:tcBorders>
          </w:tcPr>
          <w:p w14:paraId="5E2360E2"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Acaulospora delicata</w:t>
            </w:r>
          </w:p>
        </w:tc>
        <w:tc>
          <w:tcPr>
            <w:tcW w:w="1969" w:type="dxa"/>
            <w:tcBorders>
              <w:top w:val="single" w:sz="4" w:space="0" w:color="auto"/>
            </w:tcBorders>
          </w:tcPr>
          <w:p w14:paraId="0E48A3DC"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Acaulosporaceae</w:t>
            </w:r>
          </w:p>
        </w:tc>
        <w:tc>
          <w:tcPr>
            <w:tcW w:w="1799" w:type="dxa"/>
            <w:tcBorders>
              <w:top w:val="single" w:sz="4" w:space="0" w:color="auto"/>
            </w:tcBorders>
          </w:tcPr>
          <w:p w14:paraId="13C2D5AA"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Ancestral*</w:t>
            </w:r>
          </w:p>
        </w:tc>
        <w:tc>
          <w:tcPr>
            <w:tcW w:w="1412" w:type="dxa"/>
            <w:tcBorders>
              <w:top w:val="single" w:sz="4" w:space="0" w:color="auto"/>
            </w:tcBorders>
          </w:tcPr>
          <w:p w14:paraId="348B8AB7"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12</w:t>
            </w:r>
          </w:p>
        </w:tc>
      </w:tr>
      <w:tr w:rsidR="00C763E2" w:rsidRPr="00FD66E9" w14:paraId="2C697CD0" w14:textId="77777777">
        <w:tc>
          <w:tcPr>
            <w:tcW w:w="1129" w:type="dxa"/>
          </w:tcPr>
          <w:p w14:paraId="2B401520"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5477293E"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Acaulospora scrobiculata</w:t>
            </w:r>
          </w:p>
        </w:tc>
        <w:tc>
          <w:tcPr>
            <w:tcW w:w="1969" w:type="dxa"/>
          </w:tcPr>
          <w:p w14:paraId="7A760756"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Acaulosporaceae</w:t>
            </w:r>
          </w:p>
        </w:tc>
        <w:tc>
          <w:tcPr>
            <w:tcW w:w="1799" w:type="dxa"/>
          </w:tcPr>
          <w:p w14:paraId="1D0469F4"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Ancestral*</w:t>
            </w:r>
          </w:p>
        </w:tc>
        <w:tc>
          <w:tcPr>
            <w:tcW w:w="1412" w:type="dxa"/>
          </w:tcPr>
          <w:p w14:paraId="4D6164EB"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7</w:t>
            </w:r>
          </w:p>
        </w:tc>
      </w:tr>
      <w:tr w:rsidR="00C763E2" w:rsidRPr="00FD66E9" w14:paraId="33F03B2D" w14:textId="77777777">
        <w:tc>
          <w:tcPr>
            <w:tcW w:w="1129" w:type="dxa"/>
          </w:tcPr>
          <w:p w14:paraId="65E6118D"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463C2DD5"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Diversispora sp.</w:t>
            </w:r>
          </w:p>
        </w:tc>
        <w:tc>
          <w:tcPr>
            <w:tcW w:w="1969" w:type="dxa"/>
          </w:tcPr>
          <w:p w14:paraId="0DB71588"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Diversisporaceae</w:t>
            </w:r>
          </w:p>
        </w:tc>
        <w:tc>
          <w:tcPr>
            <w:tcW w:w="1799" w:type="dxa"/>
          </w:tcPr>
          <w:p w14:paraId="43C1AB04"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Edaphophilic</w:t>
            </w:r>
          </w:p>
        </w:tc>
        <w:tc>
          <w:tcPr>
            <w:tcW w:w="1412" w:type="dxa"/>
          </w:tcPr>
          <w:p w14:paraId="77CAA386"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2</w:t>
            </w:r>
          </w:p>
        </w:tc>
      </w:tr>
      <w:tr w:rsidR="00C763E2" w:rsidRPr="00FD66E9" w14:paraId="378F18C3" w14:textId="77777777">
        <w:tc>
          <w:tcPr>
            <w:tcW w:w="1129" w:type="dxa"/>
          </w:tcPr>
          <w:p w14:paraId="221AEB9D"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7DCDBDB3"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Diversispora versiformis</w:t>
            </w:r>
          </w:p>
        </w:tc>
        <w:tc>
          <w:tcPr>
            <w:tcW w:w="1969" w:type="dxa"/>
          </w:tcPr>
          <w:p w14:paraId="58F369CC"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Diversisporaceae</w:t>
            </w:r>
          </w:p>
        </w:tc>
        <w:tc>
          <w:tcPr>
            <w:tcW w:w="1799" w:type="dxa"/>
          </w:tcPr>
          <w:p w14:paraId="0D2E94FF"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Edaphophilic</w:t>
            </w:r>
          </w:p>
        </w:tc>
        <w:tc>
          <w:tcPr>
            <w:tcW w:w="1412" w:type="dxa"/>
          </w:tcPr>
          <w:p w14:paraId="4F16C4F7"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8</w:t>
            </w:r>
          </w:p>
        </w:tc>
      </w:tr>
      <w:tr w:rsidR="00C763E2" w:rsidRPr="00FD66E9" w14:paraId="77B46E54" w14:textId="77777777">
        <w:tc>
          <w:tcPr>
            <w:tcW w:w="1129" w:type="dxa"/>
          </w:tcPr>
          <w:p w14:paraId="07B5D34D"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6577D802"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Sieverdingia tortuosa</w:t>
            </w:r>
          </w:p>
        </w:tc>
        <w:tc>
          <w:tcPr>
            <w:tcW w:w="1969" w:type="dxa"/>
          </w:tcPr>
          <w:p w14:paraId="41A6B6EB"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Diversisporaceae</w:t>
            </w:r>
          </w:p>
        </w:tc>
        <w:tc>
          <w:tcPr>
            <w:tcW w:w="1799" w:type="dxa"/>
          </w:tcPr>
          <w:p w14:paraId="33C42851"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Edaphophilic</w:t>
            </w:r>
          </w:p>
        </w:tc>
        <w:tc>
          <w:tcPr>
            <w:tcW w:w="1412" w:type="dxa"/>
          </w:tcPr>
          <w:p w14:paraId="074B8831"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12</w:t>
            </w:r>
          </w:p>
        </w:tc>
      </w:tr>
      <w:tr w:rsidR="00C763E2" w:rsidRPr="00FD66E9" w14:paraId="3A17E85C" w14:textId="77777777">
        <w:tc>
          <w:tcPr>
            <w:tcW w:w="1129" w:type="dxa"/>
          </w:tcPr>
          <w:p w14:paraId="5FF98500"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02702DD7"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Entrophospora claroidea</w:t>
            </w:r>
          </w:p>
        </w:tc>
        <w:tc>
          <w:tcPr>
            <w:tcW w:w="1969" w:type="dxa"/>
          </w:tcPr>
          <w:p w14:paraId="249B469B"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Entrophosporaceae</w:t>
            </w:r>
          </w:p>
        </w:tc>
        <w:tc>
          <w:tcPr>
            <w:tcW w:w="1799" w:type="dxa"/>
          </w:tcPr>
          <w:p w14:paraId="73F0764F"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6AF7A8E9"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1</w:t>
            </w:r>
          </w:p>
        </w:tc>
      </w:tr>
      <w:tr w:rsidR="00C763E2" w:rsidRPr="00FD66E9" w14:paraId="5D443CB8" w14:textId="77777777">
        <w:tc>
          <w:tcPr>
            <w:tcW w:w="1129" w:type="dxa"/>
          </w:tcPr>
          <w:p w14:paraId="4239D2AF"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3F54656E"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Entrophospora etunicata</w:t>
            </w:r>
          </w:p>
        </w:tc>
        <w:tc>
          <w:tcPr>
            <w:tcW w:w="1969" w:type="dxa"/>
          </w:tcPr>
          <w:p w14:paraId="23C40F58"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Entrophosporaceae</w:t>
            </w:r>
          </w:p>
        </w:tc>
        <w:tc>
          <w:tcPr>
            <w:tcW w:w="1799" w:type="dxa"/>
          </w:tcPr>
          <w:p w14:paraId="338D6967"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5311645E"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14</w:t>
            </w:r>
          </w:p>
        </w:tc>
      </w:tr>
      <w:tr w:rsidR="00C763E2" w:rsidRPr="00FD66E9" w14:paraId="0A4F6D0C" w14:textId="77777777">
        <w:tc>
          <w:tcPr>
            <w:tcW w:w="1129" w:type="dxa"/>
          </w:tcPr>
          <w:p w14:paraId="1DDA3F21"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58B4981F"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Gigaspora margarita</w:t>
            </w:r>
          </w:p>
        </w:tc>
        <w:tc>
          <w:tcPr>
            <w:tcW w:w="1969" w:type="dxa"/>
          </w:tcPr>
          <w:p w14:paraId="233CD3E0"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Gigasporaceae</w:t>
            </w:r>
          </w:p>
        </w:tc>
        <w:tc>
          <w:tcPr>
            <w:tcW w:w="1799" w:type="dxa"/>
          </w:tcPr>
          <w:p w14:paraId="6F990074"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Edaphophilic</w:t>
            </w:r>
          </w:p>
        </w:tc>
        <w:tc>
          <w:tcPr>
            <w:tcW w:w="1412" w:type="dxa"/>
          </w:tcPr>
          <w:p w14:paraId="5BB3584D"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1</w:t>
            </w:r>
          </w:p>
        </w:tc>
      </w:tr>
      <w:tr w:rsidR="00C763E2" w:rsidRPr="00FD66E9" w14:paraId="2FE382F5" w14:textId="77777777">
        <w:tc>
          <w:tcPr>
            <w:tcW w:w="1129" w:type="dxa"/>
          </w:tcPr>
          <w:p w14:paraId="24172E7E"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285F560A"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Gigaspora rosea</w:t>
            </w:r>
          </w:p>
        </w:tc>
        <w:tc>
          <w:tcPr>
            <w:tcW w:w="1969" w:type="dxa"/>
          </w:tcPr>
          <w:p w14:paraId="6C74954C"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Gigasporaceae</w:t>
            </w:r>
          </w:p>
        </w:tc>
        <w:tc>
          <w:tcPr>
            <w:tcW w:w="1799" w:type="dxa"/>
          </w:tcPr>
          <w:p w14:paraId="4F907261"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Edaphophilic</w:t>
            </w:r>
          </w:p>
        </w:tc>
        <w:tc>
          <w:tcPr>
            <w:tcW w:w="1412" w:type="dxa"/>
          </w:tcPr>
          <w:p w14:paraId="7380D11F"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1</w:t>
            </w:r>
          </w:p>
        </w:tc>
      </w:tr>
      <w:tr w:rsidR="00C763E2" w:rsidRPr="00FD66E9" w14:paraId="2618A5E5" w14:textId="77777777">
        <w:tc>
          <w:tcPr>
            <w:tcW w:w="1129" w:type="dxa"/>
          </w:tcPr>
          <w:p w14:paraId="4623ABAC"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617DC7F0"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Funneliformis caledonium</w:t>
            </w:r>
          </w:p>
        </w:tc>
        <w:tc>
          <w:tcPr>
            <w:tcW w:w="1969" w:type="dxa"/>
          </w:tcPr>
          <w:p w14:paraId="316C35F4"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Glomeraceae</w:t>
            </w:r>
          </w:p>
        </w:tc>
        <w:tc>
          <w:tcPr>
            <w:tcW w:w="1799" w:type="dxa"/>
          </w:tcPr>
          <w:p w14:paraId="1F5E9D78"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0BCBD78B"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4</w:t>
            </w:r>
          </w:p>
        </w:tc>
      </w:tr>
      <w:tr w:rsidR="00C763E2" w:rsidRPr="00FD66E9" w14:paraId="402B8896" w14:textId="77777777">
        <w:tc>
          <w:tcPr>
            <w:tcW w:w="1129" w:type="dxa"/>
          </w:tcPr>
          <w:p w14:paraId="1AA11716"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30FF791D"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Funneliformis coronatum</w:t>
            </w:r>
          </w:p>
        </w:tc>
        <w:tc>
          <w:tcPr>
            <w:tcW w:w="1969" w:type="dxa"/>
          </w:tcPr>
          <w:p w14:paraId="53D62A5F"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Glomeraceae</w:t>
            </w:r>
          </w:p>
        </w:tc>
        <w:tc>
          <w:tcPr>
            <w:tcW w:w="1799" w:type="dxa"/>
          </w:tcPr>
          <w:p w14:paraId="5A245A5F"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3FABE2E0"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12</w:t>
            </w:r>
          </w:p>
        </w:tc>
      </w:tr>
      <w:tr w:rsidR="00C763E2" w:rsidRPr="00FD66E9" w14:paraId="78888190" w14:textId="77777777">
        <w:tc>
          <w:tcPr>
            <w:tcW w:w="1129" w:type="dxa"/>
          </w:tcPr>
          <w:p w14:paraId="6123BAD5"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32C35D23"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Funneliformis geosporus</w:t>
            </w:r>
          </w:p>
        </w:tc>
        <w:tc>
          <w:tcPr>
            <w:tcW w:w="1969" w:type="dxa"/>
          </w:tcPr>
          <w:p w14:paraId="0BD8E6CD"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Glomeraceae</w:t>
            </w:r>
          </w:p>
        </w:tc>
        <w:tc>
          <w:tcPr>
            <w:tcW w:w="1799" w:type="dxa"/>
          </w:tcPr>
          <w:p w14:paraId="1B1B0D35"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77D66FB6"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8</w:t>
            </w:r>
          </w:p>
        </w:tc>
      </w:tr>
      <w:tr w:rsidR="00C763E2" w:rsidRPr="00FD66E9" w14:paraId="1C120D7A" w14:textId="77777777">
        <w:tc>
          <w:tcPr>
            <w:tcW w:w="1129" w:type="dxa"/>
          </w:tcPr>
          <w:p w14:paraId="27DF799C"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434918BC"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Funneliformis mosseae</w:t>
            </w:r>
          </w:p>
        </w:tc>
        <w:tc>
          <w:tcPr>
            <w:tcW w:w="1969" w:type="dxa"/>
          </w:tcPr>
          <w:p w14:paraId="6646AD93"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Glomeraceae</w:t>
            </w:r>
          </w:p>
        </w:tc>
        <w:tc>
          <w:tcPr>
            <w:tcW w:w="1799" w:type="dxa"/>
          </w:tcPr>
          <w:p w14:paraId="407DD2F8"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36134385"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107</w:t>
            </w:r>
          </w:p>
        </w:tc>
      </w:tr>
      <w:tr w:rsidR="00C763E2" w:rsidRPr="00FD66E9" w14:paraId="3EDBBEFA" w14:textId="77777777">
        <w:tc>
          <w:tcPr>
            <w:tcW w:w="1129" w:type="dxa"/>
          </w:tcPr>
          <w:p w14:paraId="7B9BB1B8"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1EFDED16"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Glomus iranicum</w:t>
            </w:r>
          </w:p>
        </w:tc>
        <w:tc>
          <w:tcPr>
            <w:tcW w:w="1969" w:type="dxa"/>
          </w:tcPr>
          <w:p w14:paraId="0E7D279B"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Glomeraceae</w:t>
            </w:r>
          </w:p>
        </w:tc>
        <w:tc>
          <w:tcPr>
            <w:tcW w:w="1799" w:type="dxa"/>
          </w:tcPr>
          <w:p w14:paraId="72652B24"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2E34E902"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1</w:t>
            </w:r>
          </w:p>
        </w:tc>
      </w:tr>
      <w:tr w:rsidR="00C763E2" w:rsidRPr="00FD66E9" w14:paraId="6D669F74" w14:textId="77777777">
        <w:tc>
          <w:tcPr>
            <w:tcW w:w="1129" w:type="dxa"/>
          </w:tcPr>
          <w:p w14:paraId="0F3A6114"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4DAAF117"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Glomus sinuosum</w:t>
            </w:r>
          </w:p>
        </w:tc>
        <w:tc>
          <w:tcPr>
            <w:tcW w:w="1969" w:type="dxa"/>
          </w:tcPr>
          <w:p w14:paraId="31EFDB5E"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Glomeraceae</w:t>
            </w:r>
          </w:p>
        </w:tc>
        <w:tc>
          <w:tcPr>
            <w:tcW w:w="1799" w:type="dxa"/>
          </w:tcPr>
          <w:p w14:paraId="59BF8116"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22C7FDF7"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7</w:t>
            </w:r>
          </w:p>
        </w:tc>
      </w:tr>
      <w:tr w:rsidR="00C763E2" w:rsidRPr="00FD66E9" w14:paraId="65BD3BE0" w14:textId="77777777">
        <w:tc>
          <w:tcPr>
            <w:tcW w:w="1129" w:type="dxa"/>
          </w:tcPr>
          <w:p w14:paraId="15002439"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417A5495"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Glomus sp.</w:t>
            </w:r>
          </w:p>
        </w:tc>
        <w:tc>
          <w:tcPr>
            <w:tcW w:w="1969" w:type="dxa"/>
          </w:tcPr>
          <w:p w14:paraId="0D0BA29C"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Glomeraceae</w:t>
            </w:r>
          </w:p>
        </w:tc>
        <w:tc>
          <w:tcPr>
            <w:tcW w:w="1799" w:type="dxa"/>
          </w:tcPr>
          <w:p w14:paraId="126A0348"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080C9503"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2</w:t>
            </w:r>
          </w:p>
        </w:tc>
      </w:tr>
      <w:tr w:rsidR="00C763E2" w:rsidRPr="00FD66E9" w14:paraId="1F279D2F" w14:textId="77777777">
        <w:tc>
          <w:tcPr>
            <w:tcW w:w="1129" w:type="dxa"/>
          </w:tcPr>
          <w:p w14:paraId="27AEEB86"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7C8E43C6"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Rhizophagus aggregatus</w:t>
            </w:r>
          </w:p>
        </w:tc>
        <w:tc>
          <w:tcPr>
            <w:tcW w:w="1969" w:type="dxa"/>
          </w:tcPr>
          <w:p w14:paraId="78CB09CC"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Glomeraceae</w:t>
            </w:r>
          </w:p>
        </w:tc>
        <w:tc>
          <w:tcPr>
            <w:tcW w:w="1799" w:type="dxa"/>
          </w:tcPr>
          <w:p w14:paraId="2043D584"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6562ECE9"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17</w:t>
            </w:r>
          </w:p>
        </w:tc>
      </w:tr>
      <w:tr w:rsidR="00C763E2" w:rsidRPr="00FD66E9" w14:paraId="03908F42" w14:textId="77777777">
        <w:tc>
          <w:tcPr>
            <w:tcW w:w="1129" w:type="dxa"/>
          </w:tcPr>
          <w:p w14:paraId="4DC5D530"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3990665C"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Rhizophagus clarum</w:t>
            </w:r>
          </w:p>
        </w:tc>
        <w:tc>
          <w:tcPr>
            <w:tcW w:w="1969" w:type="dxa"/>
          </w:tcPr>
          <w:p w14:paraId="73B39BAE"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Glomeraceae</w:t>
            </w:r>
          </w:p>
        </w:tc>
        <w:tc>
          <w:tcPr>
            <w:tcW w:w="1799" w:type="dxa"/>
          </w:tcPr>
          <w:p w14:paraId="4C684E42"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588F111E"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10</w:t>
            </w:r>
          </w:p>
        </w:tc>
      </w:tr>
      <w:tr w:rsidR="00C763E2" w:rsidRPr="00FD66E9" w14:paraId="1B88179B" w14:textId="77777777">
        <w:tc>
          <w:tcPr>
            <w:tcW w:w="1129" w:type="dxa"/>
          </w:tcPr>
          <w:p w14:paraId="5BD484E8"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02FB9F63"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Rhizophagus custos</w:t>
            </w:r>
          </w:p>
        </w:tc>
        <w:tc>
          <w:tcPr>
            <w:tcW w:w="1969" w:type="dxa"/>
          </w:tcPr>
          <w:p w14:paraId="0A1E4A0C"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Glomeraceae</w:t>
            </w:r>
          </w:p>
        </w:tc>
        <w:tc>
          <w:tcPr>
            <w:tcW w:w="1799" w:type="dxa"/>
          </w:tcPr>
          <w:p w14:paraId="470B60DD"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1A8FD917"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6</w:t>
            </w:r>
          </w:p>
        </w:tc>
      </w:tr>
      <w:tr w:rsidR="00C763E2" w:rsidRPr="00FD66E9" w14:paraId="03B0D283" w14:textId="77777777">
        <w:tc>
          <w:tcPr>
            <w:tcW w:w="1129" w:type="dxa"/>
          </w:tcPr>
          <w:p w14:paraId="4EFE5D64"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0F519521"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Rhizophagus fasciculatum</w:t>
            </w:r>
          </w:p>
        </w:tc>
        <w:tc>
          <w:tcPr>
            <w:tcW w:w="1969" w:type="dxa"/>
          </w:tcPr>
          <w:p w14:paraId="47D2D79F"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Glomeraceae</w:t>
            </w:r>
          </w:p>
        </w:tc>
        <w:tc>
          <w:tcPr>
            <w:tcW w:w="1799" w:type="dxa"/>
          </w:tcPr>
          <w:p w14:paraId="7EA6D748"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619DF444"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3</w:t>
            </w:r>
          </w:p>
        </w:tc>
      </w:tr>
      <w:tr w:rsidR="00C763E2" w:rsidRPr="00FD66E9" w14:paraId="4F04596C" w14:textId="77777777">
        <w:tc>
          <w:tcPr>
            <w:tcW w:w="1129" w:type="dxa"/>
          </w:tcPr>
          <w:p w14:paraId="31889E18"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6125C287"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Rhizophagus intraradices</w:t>
            </w:r>
          </w:p>
        </w:tc>
        <w:tc>
          <w:tcPr>
            <w:tcW w:w="1969" w:type="dxa"/>
          </w:tcPr>
          <w:p w14:paraId="00A49DA6"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Glomeraceae</w:t>
            </w:r>
          </w:p>
        </w:tc>
        <w:tc>
          <w:tcPr>
            <w:tcW w:w="1799" w:type="dxa"/>
          </w:tcPr>
          <w:p w14:paraId="46408C4C"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355312C8"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54</w:t>
            </w:r>
          </w:p>
        </w:tc>
      </w:tr>
      <w:tr w:rsidR="00C763E2" w:rsidRPr="00FD66E9" w14:paraId="6858C413" w14:textId="77777777">
        <w:tc>
          <w:tcPr>
            <w:tcW w:w="1129" w:type="dxa"/>
          </w:tcPr>
          <w:p w14:paraId="74E76B1C"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6D04FA12"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Rhizophagus irregularis</w:t>
            </w:r>
          </w:p>
        </w:tc>
        <w:tc>
          <w:tcPr>
            <w:tcW w:w="1969" w:type="dxa"/>
          </w:tcPr>
          <w:p w14:paraId="72FA69C4"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Glomeraceae</w:t>
            </w:r>
          </w:p>
        </w:tc>
        <w:tc>
          <w:tcPr>
            <w:tcW w:w="1799" w:type="dxa"/>
          </w:tcPr>
          <w:p w14:paraId="0BB86D55"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3D47035C"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80</w:t>
            </w:r>
          </w:p>
        </w:tc>
      </w:tr>
      <w:tr w:rsidR="00C763E2" w:rsidRPr="00FD66E9" w14:paraId="068766EB" w14:textId="77777777">
        <w:tc>
          <w:tcPr>
            <w:tcW w:w="1129" w:type="dxa"/>
          </w:tcPr>
          <w:p w14:paraId="3066FD12"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7A077227"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Rhizophagus microaggregatum</w:t>
            </w:r>
          </w:p>
        </w:tc>
        <w:tc>
          <w:tcPr>
            <w:tcW w:w="1969" w:type="dxa"/>
          </w:tcPr>
          <w:p w14:paraId="0AB3417A"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Glomeraceae</w:t>
            </w:r>
          </w:p>
        </w:tc>
        <w:tc>
          <w:tcPr>
            <w:tcW w:w="1799" w:type="dxa"/>
          </w:tcPr>
          <w:p w14:paraId="19E389D0"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492AB5A5"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1</w:t>
            </w:r>
          </w:p>
        </w:tc>
      </w:tr>
      <w:tr w:rsidR="00C763E2" w:rsidRPr="00FD66E9" w14:paraId="09727529" w14:textId="77777777">
        <w:tc>
          <w:tcPr>
            <w:tcW w:w="1129" w:type="dxa"/>
          </w:tcPr>
          <w:p w14:paraId="1383EF09"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4775DF72"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Viscospora viscosa</w:t>
            </w:r>
          </w:p>
        </w:tc>
        <w:tc>
          <w:tcPr>
            <w:tcW w:w="1969" w:type="dxa"/>
          </w:tcPr>
          <w:p w14:paraId="1009F494"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Glomeraceae</w:t>
            </w:r>
          </w:p>
        </w:tc>
        <w:tc>
          <w:tcPr>
            <w:tcW w:w="1799" w:type="dxa"/>
          </w:tcPr>
          <w:p w14:paraId="68F89546"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23839186"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1</w:t>
            </w:r>
          </w:p>
        </w:tc>
      </w:tr>
      <w:tr w:rsidR="00C763E2" w:rsidRPr="00FD66E9" w14:paraId="54F8F927" w14:textId="77777777">
        <w:tc>
          <w:tcPr>
            <w:tcW w:w="1129" w:type="dxa"/>
          </w:tcPr>
          <w:p w14:paraId="07055135"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72091147"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Paraglomus occultum</w:t>
            </w:r>
          </w:p>
        </w:tc>
        <w:tc>
          <w:tcPr>
            <w:tcW w:w="1969" w:type="dxa"/>
          </w:tcPr>
          <w:p w14:paraId="60E8C561"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Paraglomeraceae</w:t>
            </w:r>
          </w:p>
        </w:tc>
        <w:tc>
          <w:tcPr>
            <w:tcW w:w="1799" w:type="dxa"/>
          </w:tcPr>
          <w:p w14:paraId="5CE90C5A"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Rhizophilic</w:t>
            </w:r>
          </w:p>
        </w:tc>
        <w:tc>
          <w:tcPr>
            <w:tcW w:w="1412" w:type="dxa"/>
          </w:tcPr>
          <w:p w14:paraId="738BCB08"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2</w:t>
            </w:r>
          </w:p>
        </w:tc>
      </w:tr>
      <w:tr w:rsidR="00C763E2" w:rsidRPr="00FD66E9" w14:paraId="4F6FFE25" w14:textId="77777777">
        <w:tc>
          <w:tcPr>
            <w:tcW w:w="1129" w:type="dxa"/>
          </w:tcPr>
          <w:p w14:paraId="6E7B21C2" w14:textId="77777777" w:rsidR="00C763E2" w:rsidRPr="00AA682B" w:rsidRDefault="00C763E2" w:rsidP="00170D2F">
            <w:pPr>
              <w:pStyle w:val="ListParagraph"/>
              <w:numPr>
                <w:ilvl w:val="0"/>
                <w:numId w:val="4"/>
              </w:numPr>
              <w:spacing w:line="360" w:lineRule="auto"/>
              <w:jc w:val="both"/>
              <w:rPr>
                <w:rFonts w:ascii="Times New Roman" w:hAnsi="Times New Roman" w:cs="Times New Roman"/>
                <w:sz w:val="20"/>
              </w:rPr>
            </w:pPr>
          </w:p>
        </w:tc>
        <w:tc>
          <w:tcPr>
            <w:tcW w:w="2763" w:type="dxa"/>
          </w:tcPr>
          <w:p w14:paraId="04CB1275" w14:textId="77777777" w:rsidR="00C763E2" w:rsidRPr="00FD66E9" w:rsidRDefault="00C763E2" w:rsidP="00170D2F">
            <w:pPr>
              <w:spacing w:line="360" w:lineRule="auto"/>
              <w:jc w:val="both"/>
              <w:rPr>
                <w:rFonts w:ascii="Times New Roman" w:hAnsi="Times New Roman" w:cs="Times New Roman"/>
                <w:i/>
                <w:iCs/>
                <w:sz w:val="20"/>
              </w:rPr>
            </w:pPr>
            <w:r w:rsidRPr="00FD66E9">
              <w:rPr>
                <w:rFonts w:ascii="Times New Roman" w:hAnsi="Times New Roman" w:cs="Times New Roman"/>
                <w:i/>
                <w:iCs/>
                <w:sz w:val="20"/>
              </w:rPr>
              <w:t>Scutellospora calospora</w:t>
            </w:r>
          </w:p>
        </w:tc>
        <w:tc>
          <w:tcPr>
            <w:tcW w:w="1969" w:type="dxa"/>
          </w:tcPr>
          <w:p w14:paraId="7D8FB318" w14:textId="77777777" w:rsidR="00C763E2" w:rsidRPr="00FD66E9" w:rsidRDefault="00C763E2" w:rsidP="00170D2F">
            <w:pPr>
              <w:spacing w:line="360" w:lineRule="auto"/>
              <w:jc w:val="both"/>
              <w:rPr>
                <w:rFonts w:ascii="Times New Roman" w:hAnsi="Times New Roman" w:cs="Times New Roman"/>
                <w:sz w:val="20"/>
              </w:rPr>
            </w:pPr>
            <w:r w:rsidRPr="00FD66E9">
              <w:rPr>
                <w:rFonts w:ascii="Times New Roman" w:hAnsi="Times New Roman" w:cs="Times New Roman"/>
                <w:sz w:val="20"/>
              </w:rPr>
              <w:t>Scutellosporaceae</w:t>
            </w:r>
          </w:p>
        </w:tc>
        <w:tc>
          <w:tcPr>
            <w:tcW w:w="1799" w:type="dxa"/>
          </w:tcPr>
          <w:p w14:paraId="0CD6A073" w14:textId="77777777"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Edaphophilic</w:t>
            </w:r>
          </w:p>
        </w:tc>
        <w:tc>
          <w:tcPr>
            <w:tcW w:w="1412" w:type="dxa"/>
          </w:tcPr>
          <w:p w14:paraId="20D611A7" w14:textId="77777777" w:rsidR="00C763E2" w:rsidRDefault="00C763E2" w:rsidP="00170D2F">
            <w:pPr>
              <w:spacing w:line="360" w:lineRule="auto"/>
              <w:jc w:val="both"/>
              <w:rPr>
                <w:rFonts w:ascii="Times New Roman" w:hAnsi="Times New Roman" w:cs="Times New Roman"/>
                <w:sz w:val="20"/>
              </w:rPr>
            </w:pPr>
            <w:r>
              <w:rPr>
                <w:rFonts w:ascii="Times New Roman" w:hAnsi="Times New Roman" w:cs="Times New Roman"/>
                <w:sz w:val="20"/>
              </w:rPr>
              <w:t>7</w:t>
            </w:r>
          </w:p>
        </w:tc>
      </w:tr>
    </w:tbl>
    <w:p w14:paraId="78019C9F" w14:textId="77777777" w:rsidR="00C763E2" w:rsidRDefault="00C763E2" w:rsidP="00170D2F">
      <w:pPr>
        <w:spacing w:line="360" w:lineRule="auto"/>
        <w:jc w:val="both"/>
        <w:rPr>
          <w:rFonts w:ascii="Times New Roman" w:hAnsi="Times New Roman" w:cs="Times New Roman"/>
          <w:sz w:val="20"/>
        </w:rPr>
      </w:pPr>
    </w:p>
    <w:p w14:paraId="5A47B6FD" w14:textId="77777777" w:rsidR="00C763E2" w:rsidRPr="006F484F" w:rsidRDefault="00C763E2" w:rsidP="00170D2F">
      <w:pPr>
        <w:pStyle w:val="ListParagraph"/>
        <w:spacing w:line="360" w:lineRule="auto"/>
        <w:jc w:val="both"/>
        <w:rPr>
          <w:rFonts w:ascii="Times New Roman" w:hAnsi="Times New Roman" w:cs="Times New Roman"/>
          <w:sz w:val="20"/>
        </w:rPr>
      </w:pPr>
      <w:r>
        <w:rPr>
          <w:rFonts w:ascii="Times New Roman" w:hAnsi="Times New Roman" w:cs="Times New Roman"/>
          <w:sz w:val="20"/>
        </w:rPr>
        <w:t xml:space="preserve">*AMF species from ancestral guilds are treated as mixed guilds in the analyses when co-occurring in mixed inocula with AMF species from other guilds.  </w:t>
      </w:r>
    </w:p>
    <w:p w14:paraId="5F1F46B6" w14:textId="4B91E88E" w:rsidR="00C763E2" w:rsidRPr="00FD66E9" w:rsidRDefault="00C763E2" w:rsidP="00170D2F">
      <w:pPr>
        <w:spacing w:line="360" w:lineRule="auto"/>
        <w:jc w:val="both"/>
        <w:rPr>
          <w:rFonts w:ascii="Times New Roman" w:hAnsi="Times New Roman" w:cs="Times New Roman"/>
          <w:sz w:val="20"/>
        </w:rPr>
      </w:pPr>
      <w:r>
        <w:rPr>
          <w:rFonts w:ascii="Times New Roman" w:hAnsi="Times New Roman" w:cs="Times New Roman"/>
          <w:b/>
          <w:bCs/>
          <w:sz w:val="20"/>
        </w:rPr>
        <w:t>Table S3. List of host plant species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3544"/>
        <w:gridCol w:w="2126"/>
      </w:tblGrid>
      <w:tr w:rsidR="00C763E2" w14:paraId="566B0F4C" w14:textId="77777777">
        <w:tc>
          <w:tcPr>
            <w:tcW w:w="704" w:type="dxa"/>
            <w:tcBorders>
              <w:top w:val="single" w:sz="4" w:space="0" w:color="auto"/>
              <w:bottom w:val="single" w:sz="4" w:space="0" w:color="auto"/>
            </w:tcBorders>
          </w:tcPr>
          <w:p w14:paraId="2D95A6C5" w14:textId="77777777" w:rsidR="00C763E2" w:rsidRDefault="00C763E2" w:rsidP="00170D2F">
            <w:pPr>
              <w:spacing w:line="360" w:lineRule="auto"/>
              <w:jc w:val="center"/>
              <w:rPr>
                <w:rFonts w:ascii="Times New Roman" w:hAnsi="Times New Roman" w:cs="Times New Roman"/>
                <w:b/>
                <w:bCs/>
                <w:sz w:val="20"/>
              </w:rPr>
            </w:pPr>
            <w:r>
              <w:rPr>
                <w:rFonts w:ascii="Times New Roman" w:hAnsi="Times New Roman" w:cs="Times New Roman"/>
                <w:b/>
                <w:bCs/>
                <w:sz w:val="20"/>
              </w:rPr>
              <w:t>No.</w:t>
            </w:r>
          </w:p>
        </w:tc>
        <w:tc>
          <w:tcPr>
            <w:tcW w:w="3544" w:type="dxa"/>
            <w:tcBorders>
              <w:top w:val="single" w:sz="4" w:space="0" w:color="auto"/>
              <w:bottom w:val="single" w:sz="4" w:space="0" w:color="auto"/>
            </w:tcBorders>
          </w:tcPr>
          <w:p w14:paraId="612BB1AD" w14:textId="77777777" w:rsidR="00C763E2" w:rsidRDefault="00C763E2" w:rsidP="00170D2F">
            <w:pPr>
              <w:spacing w:line="360" w:lineRule="auto"/>
              <w:jc w:val="center"/>
              <w:rPr>
                <w:rFonts w:ascii="Times New Roman" w:hAnsi="Times New Roman" w:cs="Times New Roman"/>
                <w:b/>
                <w:bCs/>
                <w:sz w:val="20"/>
              </w:rPr>
            </w:pPr>
            <w:r>
              <w:rPr>
                <w:rFonts w:ascii="Times New Roman" w:hAnsi="Times New Roman" w:cs="Times New Roman"/>
                <w:b/>
                <w:bCs/>
                <w:sz w:val="20"/>
              </w:rPr>
              <w:t>Host plant species used in the study</w:t>
            </w:r>
          </w:p>
        </w:tc>
        <w:tc>
          <w:tcPr>
            <w:tcW w:w="2126" w:type="dxa"/>
            <w:tcBorders>
              <w:top w:val="single" w:sz="4" w:space="0" w:color="auto"/>
              <w:bottom w:val="single" w:sz="4" w:space="0" w:color="auto"/>
            </w:tcBorders>
          </w:tcPr>
          <w:p w14:paraId="644C1914" w14:textId="77777777" w:rsidR="00C763E2" w:rsidRDefault="00C763E2" w:rsidP="00170D2F">
            <w:pPr>
              <w:spacing w:line="360" w:lineRule="auto"/>
              <w:jc w:val="center"/>
              <w:rPr>
                <w:rFonts w:ascii="Times New Roman" w:hAnsi="Times New Roman" w:cs="Times New Roman"/>
                <w:b/>
                <w:bCs/>
                <w:sz w:val="20"/>
              </w:rPr>
            </w:pPr>
            <w:r>
              <w:rPr>
                <w:rFonts w:ascii="Times New Roman" w:hAnsi="Times New Roman" w:cs="Times New Roman"/>
                <w:b/>
                <w:bCs/>
                <w:sz w:val="20"/>
              </w:rPr>
              <w:t>Plant family</w:t>
            </w:r>
          </w:p>
        </w:tc>
      </w:tr>
      <w:tr w:rsidR="00C763E2" w:rsidRPr="008C58DA" w14:paraId="04A24036" w14:textId="77777777">
        <w:tc>
          <w:tcPr>
            <w:tcW w:w="704" w:type="dxa"/>
            <w:tcBorders>
              <w:top w:val="single" w:sz="4" w:space="0" w:color="auto"/>
            </w:tcBorders>
          </w:tcPr>
          <w:p w14:paraId="6436BA30"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Borders>
              <w:top w:val="single" w:sz="4" w:space="0" w:color="auto"/>
            </w:tcBorders>
          </w:tcPr>
          <w:p w14:paraId="2291ACA4"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Abelmoschus esculentus</w:t>
            </w:r>
          </w:p>
        </w:tc>
        <w:tc>
          <w:tcPr>
            <w:tcW w:w="2126" w:type="dxa"/>
            <w:tcBorders>
              <w:top w:val="single" w:sz="4" w:space="0" w:color="auto"/>
            </w:tcBorders>
          </w:tcPr>
          <w:p w14:paraId="4998C3F4" w14:textId="77777777" w:rsidR="00C763E2" w:rsidRPr="006F484F" w:rsidRDefault="00C763E2" w:rsidP="00170D2F">
            <w:pPr>
              <w:spacing w:line="360" w:lineRule="auto"/>
              <w:jc w:val="both"/>
              <w:rPr>
                <w:rFonts w:ascii="Times New Roman" w:hAnsi="Times New Roman" w:cs="Times New Roman"/>
                <w:sz w:val="20"/>
              </w:rPr>
            </w:pPr>
            <w:r w:rsidRPr="00094D9C">
              <w:rPr>
                <w:rFonts w:ascii="Times New Roman" w:hAnsi="Times New Roman" w:cs="Times New Roman"/>
                <w:sz w:val="20"/>
              </w:rPr>
              <w:t>Malvaceae</w:t>
            </w:r>
          </w:p>
        </w:tc>
      </w:tr>
      <w:tr w:rsidR="00C763E2" w:rsidRPr="008C58DA" w14:paraId="3555F3D8" w14:textId="77777777">
        <w:tc>
          <w:tcPr>
            <w:tcW w:w="704" w:type="dxa"/>
          </w:tcPr>
          <w:p w14:paraId="5F85FF8D"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32A9BD4F"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Allium cepa</w:t>
            </w:r>
          </w:p>
        </w:tc>
        <w:tc>
          <w:tcPr>
            <w:tcW w:w="2126" w:type="dxa"/>
          </w:tcPr>
          <w:p w14:paraId="34D0478E"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Amaryllidaceae</w:t>
            </w:r>
          </w:p>
        </w:tc>
      </w:tr>
      <w:tr w:rsidR="00C763E2" w:rsidRPr="008C58DA" w14:paraId="49ED7837" w14:textId="77777777">
        <w:tc>
          <w:tcPr>
            <w:tcW w:w="704" w:type="dxa"/>
          </w:tcPr>
          <w:p w14:paraId="3D787677"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51659AA1"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Allium porrum</w:t>
            </w:r>
          </w:p>
        </w:tc>
        <w:tc>
          <w:tcPr>
            <w:tcW w:w="2126" w:type="dxa"/>
          </w:tcPr>
          <w:p w14:paraId="41EA05CE" w14:textId="77777777" w:rsidR="00C763E2" w:rsidRPr="00413956" w:rsidRDefault="00C763E2" w:rsidP="00170D2F">
            <w:pPr>
              <w:spacing w:line="360" w:lineRule="auto"/>
              <w:jc w:val="both"/>
              <w:rPr>
                <w:rFonts w:ascii="Times New Roman" w:hAnsi="Times New Roman" w:cs="Times New Roman"/>
                <w:sz w:val="20"/>
              </w:rPr>
            </w:pPr>
            <w:r w:rsidRPr="00413956">
              <w:rPr>
                <w:rFonts w:ascii="Times New Roman" w:hAnsi="Times New Roman" w:cs="Times New Roman"/>
                <w:sz w:val="20"/>
              </w:rPr>
              <w:t>Amaryllidaceae</w:t>
            </w:r>
          </w:p>
        </w:tc>
      </w:tr>
      <w:tr w:rsidR="00C763E2" w:rsidRPr="008C58DA" w14:paraId="49624B09" w14:textId="77777777">
        <w:tc>
          <w:tcPr>
            <w:tcW w:w="704" w:type="dxa"/>
          </w:tcPr>
          <w:p w14:paraId="3629C1A7"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7AF6FE2E"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Anthoxanthum odoratum</w:t>
            </w:r>
          </w:p>
        </w:tc>
        <w:tc>
          <w:tcPr>
            <w:tcW w:w="2126" w:type="dxa"/>
          </w:tcPr>
          <w:p w14:paraId="708214BB"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Poaceae</w:t>
            </w:r>
          </w:p>
        </w:tc>
      </w:tr>
      <w:tr w:rsidR="00C763E2" w:rsidRPr="008C58DA" w14:paraId="061D52E8" w14:textId="77777777">
        <w:tc>
          <w:tcPr>
            <w:tcW w:w="704" w:type="dxa"/>
          </w:tcPr>
          <w:p w14:paraId="5AE570E9"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2F296FEA"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Anthyllis vulneraria</w:t>
            </w:r>
          </w:p>
        </w:tc>
        <w:tc>
          <w:tcPr>
            <w:tcW w:w="2126" w:type="dxa"/>
          </w:tcPr>
          <w:p w14:paraId="63B7329B"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Fabaceae</w:t>
            </w:r>
          </w:p>
        </w:tc>
      </w:tr>
      <w:tr w:rsidR="00C763E2" w:rsidRPr="008C58DA" w14:paraId="75FE5EEE" w14:textId="77777777">
        <w:tc>
          <w:tcPr>
            <w:tcW w:w="704" w:type="dxa"/>
          </w:tcPr>
          <w:p w14:paraId="2E0245A8"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2836FA6D"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Antirrhinum majus</w:t>
            </w:r>
          </w:p>
        </w:tc>
        <w:tc>
          <w:tcPr>
            <w:tcW w:w="2126" w:type="dxa"/>
          </w:tcPr>
          <w:p w14:paraId="6031EA82" w14:textId="77777777" w:rsidR="00C763E2" w:rsidRPr="00413956" w:rsidRDefault="00C763E2" w:rsidP="00170D2F">
            <w:pPr>
              <w:spacing w:line="360" w:lineRule="auto"/>
              <w:jc w:val="both"/>
              <w:rPr>
                <w:rFonts w:ascii="Times New Roman" w:hAnsi="Times New Roman" w:cs="Times New Roman"/>
                <w:sz w:val="20"/>
              </w:rPr>
            </w:pPr>
            <w:r w:rsidRPr="00413956">
              <w:rPr>
                <w:rFonts w:ascii="Times New Roman" w:hAnsi="Times New Roman" w:cs="Times New Roman"/>
                <w:sz w:val="20"/>
              </w:rPr>
              <w:t>Plantagniaceae</w:t>
            </w:r>
          </w:p>
        </w:tc>
      </w:tr>
      <w:tr w:rsidR="00C763E2" w:rsidRPr="008C58DA" w14:paraId="72DFFA36" w14:textId="77777777">
        <w:tc>
          <w:tcPr>
            <w:tcW w:w="704" w:type="dxa"/>
          </w:tcPr>
          <w:p w14:paraId="3A8CCB45"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465EE4D1"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Avena sativa</w:t>
            </w:r>
          </w:p>
        </w:tc>
        <w:tc>
          <w:tcPr>
            <w:tcW w:w="2126" w:type="dxa"/>
          </w:tcPr>
          <w:p w14:paraId="417CFC18" w14:textId="77777777" w:rsidR="00C763E2" w:rsidRPr="00413956" w:rsidRDefault="00C763E2" w:rsidP="00170D2F">
            <w:pPr>
              <w:spacing w:line="360" w:lineRule="auto"/>
              <w:jc w:val="both"/>
              <w:rPr>
                <w:rFonts w:ascii="Times New Roman" w:hAnsi="Times New Roman" w:cs="Times New Roman"/>
                <w:sz w:val="20"/>
              </w:rPr>
            </w:pPr>
            <w:r w:rsidRPr="00413956">
              <w:rPr>
                <w:rFonts w:ascii="Times New Roman" w:hAnsi="Times New Roman" w:cs="Times New Roman"/>
                <w:sz w:val="20"/>
              </w:rPr>
              <w:t>Poaceae</w:t>
            </w:r>
          </w:p>
        </w:tc>
      </w:tr>
      <w:tr w:rsidR="00C763E2" w:rsidRPr="008C58DA" w14:paraId="098DDF0C" w14:textId="77777777">
        <w:tc>
          <w:tcPr>
            <w:tcW w:w="704" w:type="dxa"/>
          </w:tcPr>
          <w:p w14:paraId="158ECD20"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2260007F"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Bidens pilosa</w:t>
            </w:r>
          </w:p>
        </w:tc>
        <w:tc>
          <w:tcPr>
            <w:tcW w:w="2126" w:type="dxa"/>
          </w:tcPr>
          <w:p w14:paraId="57FFC0A2"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Asteraceae</w:t>
            </w:r>
          </w:p>
        </w:tc>
      </w:tr>
      <w:tr w:rsidR="00C763E2" w:rsidRPr="008C58DA" w14:paraId="775D7415" w14:textId="77777777">
        <w:tc>
          <w:tcPr>
            <w:tcW w:w="704" w:type="dxa"/>
          </w:tcPr>
          <w:p w14:paraId="22B27AD2"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341E8B41"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Cajanus cajan</w:t>
            </w:r>
          </w:p>
        </w:tc>
        <w:tc>
          <w:tcPr>
            <w:tcW w:w="2126" w:type="dxa"/>
          </w:tcPr>
          <w:p w14:paraId="12D10299" w14:textId="77777777" w:rsidR="00C763E2" w:rsidRPr="00413956" w:rsidRDefault="00C763E2" w:rsidP="00170D2F">
            <w:pPr>
              <w:spacing w:line="360" w:lineRule="auto"/>
              <w:jc w:val="both"/>
              <w:rPr>
                <w:rFonts w:ascii="Times New Roman" w:hAnsi="Times New Roman" w:cs="Times New Roman"/>
                <w:sz w:val="20"/>
              </w:rPr>
            </w:pPr>
            <w:r w:rsidRPr="00413956">
              <w:rPr>
                <w:rFonts w:ascii="Times New Roman" w:hAnsi="Times New Roman" w:cs="Times New Roman"/>
                <w:sz w:val="20"/>
              </w:rPr>
              <w:t xml:space="preserve">Fabaceae </w:t>
            </w:r>
          </w:p>
        </w:tc>
      </w:tr>
      <w:tr w:rsidR="00C763E2" w:rsidRPr="008C58DA" w14:paraId="1A67AC31" w14:textId="77777777">
        <w:tc>
          <w:tcPr>
            <w:tcW w:w="704" w:type="dxa"/>
          </w:tcPr>
          <w:p w14:paraId="573B34ED"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156A4623"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Capsicum annum</w:t>
            </w:r>
          </w:p>
        </w:tc>
        <w:tc>
          <w:tcPr>
            <w:tcW w:w="2126" w:type="dxa"/>
          </w:tcPr>
          <w:p w14:paraId="29115E9E"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Solanceae</w:t>
            </w:r>
          </w:p>
        </w:tc>
      </w:tr>
      <w:tr w:rsidR="00C763E2" w:rsidRPr="008C58DA" w14:paraId="07008156" w14:textId="77777777">
        <w:tc>
          <w:tcPr>
            <w:tcW w:w="704" w:type="dxa"/>
          </w:tcPr>
          <w:p w14:paraId="164590A5"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05CAD04E"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Carex thunbergii</w:t>
            </w:r>
          </w:p>
        </w:tc>
        <w:tc>
          <w:tcPr>
            <w:tcW w:w="2126" w:type="dxa"/>
          </w:tcPr>
          <w:p w14:paraId="50A5E2F4" w14:textId="77777777" w:rsidR="00C763E2" w:rsidRPr="00413956" w:rsidRDefault="00C763E2" w:rsidP="00170D2F">
            <w:pPr>
              <w:spacing w:line="360" w:lineRule="auto"/>
              <w:jc w:val="both"/>
              <w:rPr>
                <w:rFonts w:ascii="Times New Roman" w:hAnsi="Times New Roman" w:cs="Times New Roman"/>
                <w:sz w:val="20"/>
              </w:rPr>
            </w:pPr>
            <w:r w:rsidRPr="00413956">
              <w:rPr>
                <w:rFonts w:ascii="Times New Roman" w:hAnsi="Times New Roman" w:cs="Times New Roman"/>
                <w:sz w:val="20"/>
              </w:rPr>
              <w:t>Cyperaecae</w:t>
            </w:r>
          </w:p>
        </w:tc>
      </w:tr>
      <w:tr w:rsidR="00C763E2" w:rsidRPr="008C58DA" w14:paraId="4B8A9E9E" w14:textId="77777777">
        <w:tc>
          <w:tcPr>
            <w:tcW w:w="704" w:type="dxa"/>
          </w:tcPr>
          <w:p w14:paraId="396E79CA"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5E43010A"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Catharanthus roseus</w:t>
            </w:r>
          </w:p>
        </w:tc>
        <w:tc>
          <w:tcPr>
            <w:tcW w:w="2126" w:type="dxa"/>
          </w:tcPr>
          <w:p w14:paraId="4B8BC17C"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Apocynaceae</w:t>
            </w:r>
          </w:p>
        </w:tc>
      </w:tr>
      <w:tr w:rsidR="00C763E2" w:rsidRPr="008C58DA" w14:paraId="39AB2A6C" w14:textId="77777777">
        <w:tc>
          <w:tcPr>
            <w:tcW w:w="704" w:type="dxa"/>
          </w:tcPr>
          <w:p w14:paraId="1FF3F4CF"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6D0361C5"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Corynephorus canescens</w:t>
            </w:r>
          </w:p>
        </w:tc>
        <w:tc>
          <w:tcPr>
            <w:tcW w:w="2126" w:type="dxa"/>
          </w:tcPr>
          <w:p w14:paraId="35CAA1BA"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Poaceae</w:t>
            </w:r>
          </w:p>
        </w:tc>
      </w:tr>
      <w:tr w:rsidR="00C763E2" w:rsidRPr="008C58DA" w14:paraId="4D1C3E40" w14:textId="77777777">
        <w:tc>
          <w:tcPr>
            <w:tcW w:w="704" w:type="dxa"/>
          </w:tcPr>
          <w:p w14:paraId="76874081"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3DC29BCF"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Cucumis sativus</w:t>
            </w:r>
          </w:p>
        </w:tc>
        <w:tc>
          <w:tcPr>
            <w:tcW w:w="2126" w:type="dxa"/>
          </w:tcPr>
          <w:p w14:paraId="6DE03348"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Cucurbitaceae</w:t>
            </w:r>
          </w:p>
        </w:tc>
      </w:tr>
      <w:tr w:rsidR="00C763E2" w:rsidRPr="008C58DA" w14:paraId="587837C9" w14:textId="77777777">
        <w:tc>
          <w:tcPr>
            <w:tcW w:w="704" w:type="dxa"/>
          </w:tcPr>
          <w:p w14:paraId="4F8D0912"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70A1DFFD"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Cynara cardunculus</w:t>
            </w:r>
          </w:p>
        </w:tc>
        <w:tc>
          <w:tcPr>
            <w:tcW w:w="2126" w:type="dxa"/>
          </w:tcPr>
          <w:p w14:paraId="0D1ACEB2"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Asteraceae</w:t>
            </w:r>
          </w:p>
        </w:tc>
      </w:tr>
      <w:tr w:rsidR="00C763E2" w:rsidRPr="008C58DA" w14:paraId="00938036" w14:textId="77777777">
        <w:tc>
          <w:tcPr>
            <w:tcW w:w="704" w:type="dxa"/>
          </w:tcPr>
          <w:p w14:paraId="170111E8"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1F18BCBD"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Dianthus carthusianorum</w:t>
            </w:r>
          </w:p>
        </w:tc>
        <w:tc>
          <w:tcPr>
            <w:tcW w:w="2126" w:type="dxa"/>
          </w:tcPr>
          <w:p w14:paraId="130D4EC4"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Caryophyllaceae</w:t>
            </w:r>
          </w:p>
        </w:tc>
      </w:tr>
      <w:tr w:rsidR="00C763E2" w:rsidRPr="008C58DA" w14:paraId="478ABCD5" w14:textId="77777777">
        <w:tc>
          <w:tcPr>
            <w:tcW w:w="704" w:type="dxa"/>
          </w:tcPr>
          <w:p w14:paraId="35AA4447"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600A1529"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Erodium cicutarium</w:t>
            </w:r>
          </w:p>
        </w:tc>
        <w:tc>
          <w:tcPr>
            <w:tcW w:w="2126" w:type="dxa"/>
          </w:tcPr>
          <w:p w14:paraId="7DDAA221"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Geraniaceae</w:t>
            </w:r>
          </w:p>
        </w:tc>
      </w:tr>
      <w:tr w:rsidR="00C763E2" w:rsidRPr="008C58DA" w14:paraId="4F38E38A" w14:textId="77777777">
        <w:tc>
          <w:tcPr>
            <w:tcW w:w="704" w:type="dxa"/>
          </w:tcPr>
          <w:p w14:paraId="307B0023"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79C10080"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Festuca ovina</w:t>
            </w:r>
          </w:p>
        </w:tc>
        <w:tc>
          <w:tcPr>
            <w:tcW w:w="2126" w:type="dxa"/>
          </w:tcPr>
          <w:p w14:paraId="7C3D1AC5"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Poaceae</w:t>
            </w:r>
          </w:p>
        </w:tc>
      </w:tr>
      <w:tr w:rsidR="00C763E2" w:rsidRPr="008C58DA" w14:paraId="1250042F" w14:textId="77777777">
        <w:tc>
          <w:tcPr>
            <w:tcW w:w="704" w:type="dxa"/>
          </w:tcPr>
          <w:p w14:paraId="547DF53B"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7F35B8F0"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Fragaria anamassa</w:t>
            </w:r>
          </w:p>
        </w:tc>
        <w:tc>
          <w:tcPr>
            <w:tcW w:w="2126" w:type="dxa"/>
          </w:tcPr>
          <w:p w14:paraId="4B04CD97" w14:textId="77777777" w:rsidR="00C763E2" w:rsidRPr="00094D9C" w:rsidRDefault="00C763E2" w:rsidP="00170D2F">
            <w:pPr>
              <w:spacing w:line="360" w:lineRule="auto"/>
              <w:jc w:val="both"/>
              <w:rPr>
                <w:rFonts w:ascii="Times New Roman" w:hAnsi="Times New Roman" w:cs="Times New Roman"/>
                <w:sz w:val="20"/>
              </w:rPr>
            </w:pPr>
            <w:r w:rsidRPr="00094D9C">
              <w:rPr>
                <w:rFonts w:ascii="Times New Roman" w:hAnsi="Times New Roman" w:cs="Times New Roman"/>
                <w:sz w:val="20"/>
              </w:rPr>
              <w:t>Rosaceae</w:t>
            </w:r>
          </w:p>
        </w:tc>
      </w:tr>
      <w:tr w:rsidR="00C763E2" w:rsidRPr="008C58DA" w14:paraId="701FF632" w14:textId="77777777">
        <w:tc>
          <w:tcPr>
            <w:tcW w:w="704" w:type="dxa"/>
          </w:tcPr>
          <w:p w14:paraId="22BD28E3"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4DD64D94"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Glycine max</w:t>
            </w:r>
          </w:p>
        </w:tc>
        <w:tc>
          <w:tcPr>
            <w:tcW w:w="2126" w:type="dxa"/>
          </w:tcPr>
          <w:p w14:paraId="316AFAB0"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Fabaceae</w:t>
            </w:r>
          </w:p>
        </w:tc>
      </w:tr>
      <w:tr w:rsidR="00C763E2" w:rsidRPr="008C58DA" w14:paraId="7B3586AC" w14:textId="77777777">
        <w:tc>
          <w:tcPr>
            <w:tcW w:w="704" w:type="dxa"/>
          </w:tcPr>
          <w:p w14:paraId="1534C837"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24F196C3"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Hypochaeris radicata</w:t>
            </w:r>
          </w:p>
        </w:tc>
        <w:tc>
          <w:tcPr>
            <w:tcW w:w="2126" w:type="dxa"/>
          </w:tcPr>
          <w:p w14:paraId="633173D4"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Astereaceae</w:t>
            </w:r>
          </w:p>
        </w:tc>
      </w:tr>
      <w:tr w:rsidR="00C763E2" w:rsidRPr="008C58DA" w14:paraId="3AF80F43" w14:textId="77777777">
        <w:tc>
          <w:tcPr>
            <w:tcW w:w="704" w:type="dxa"/>
          </w:tcPr>
          <w:p w14:paraId="4F7C5B96"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70D260EE"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Isatis tinctoria</w:t>
            </w:r>
          </w:p>
        </w:tc>
        <w:tc>
          <w:tcPr>
            <w:tcW w:w="2126" w:type="dxa"/>
          </w:tcPr>
          <w:p w14:paraId="51DD89B0"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Brassicaceae</w:t>
            </w:r>
          </w:p>
        </w:tc>
      </w:tr>
      <w:tr w:rsidR="00C763E2" w:rsidRPr="008C58DA" w14:paraId="22E67558" w14:textId="77777777">
        <w:tc>
          <w:tcPr>
            <w:tcW w:w="704" w:type="dxa"/>
          </w:tcPr>
          <w:p w14:paraId="596E4D83"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77A08210"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Lactuca sativa</w:t>
            </w:r>
          </w:p>
        </w:tc>
        <w:tc>
          <w:tcPr>
            <w:tcW w:w="2126" w:type="dxa"/>
          </w:tcPr>
          <w:p w14:paraId="63AA9A18"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Asteraceae</w:t>
            </w:r>
          </w:p>
        </w:tc>
      </w:tr>
      <w:tr w:rsidR="00C763E2" w:rsidRPr="008C58DA" w14:paraId="5F0142F8" w14:textId="77777777">
        <w:tc>
          <w:tcPr>
            <w:tcW w:w="704" w:type="dxa"/>
          </w:tcPr>
          <w:p w14:paraId="7E3076A6"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2444BBA9"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Lespedeza davurica</w:t>
            </w:r>
          </w:p>
        </w:tc>
        <w:tc>
          <w:tcPr>
            <w:tcW w:w="2126" w:type="dxa"/>
          </w:tcPr>
          <w:p w14:paraId="7BE017E2"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Fabaceae</w:t>
            </w:r>
          </w:p>
        </w:tc>
      </w:tr>
      <w:tr w:rsidR="00C763E2" w:rsidRPr="008C58DA" w14:paraId="262EFFFB" w14:textId="77777777">
        <w:tc>
          <w:tcPr>
            <w:tcW w:w="704" w:type="dxa"/>
          </w:tcPr>
          <w:p w14:paraId="4E730653"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2DC67D03"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Leucanthemum vulgare</w:t>
            </w:r>
          </w:p>
        </w:tc>
        <w:tc>
          <w:tcPr>
            <w:tcW w:w="2126" w:type="dxa"/>
          </w:tcPr>
          <w:p w14:paraId="32B6B448"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Asteraceae</w:t>
            </w:r>
          </w:p>
        </w:tc>
      </w:tr>
      <w:tr w:rsidR="00C763E2" w:rsidRPr="008C58DA" w14:paraId="5B1D2A24" w14:textId="77777777">
        <w:tc>
          <w:tcPr>
            <w:tcW w:w="704" w:type="dxa"/>
          </w:tcPr>
          <w:p w14:paraId="741F0125"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647BD4C9"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Lolium perenne</w:t>
            </w:r>
          </w:p>
        </w:tc>
        <w:tc>
          <w:tcPr>
            <w:tcW w:w="2126" w:type="dxa"/>
          </w:tcPr>
          <w:p w14:paraId="7D9F1608"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Poaceae</w:t>
            </w:r>
          </w:p>
        </w:tc>
      </w:tr>
      <w:tr w:rsidR="00C763E2" w:rsidRPr="008C58DA" w14:paraId="31960DA6" w14:textId="77777777">
        <w:tc>
          <w:tcPr>
            <w:tcW w:w="704" w:type="dxa"/>
          </w:tcPr>
          <w:p w14:paraId="08E67D06"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0D570FC5"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Lotus glaber</w:t>
            </w:r>
          </w:p>
        </w:tc>
        <w:tc>
          <w:tcPr>
            <w:tcW w:w="2126" w:type="dxa"/>
          </w:tcPr>
          <w:p w14:paraId="6004C212"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Fabaceae</w:t>
            </w:r>
          </w:p>
        </w:tc>
      </w:tr>
      <w:tr w:rsidR="00C763E2" w:rsidRPr="008C58DA" w14:paraId="0FF225C3" w14:textId="77777777">
        <w:tc>
          <w:tcPr>
            <w:tcW w:w="704" w:type="dxa"/>
          </w:tcPr>
          <w:p w14:paraId="64965C5D"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77624B6D"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Lotus japonicus</w:t>
            </w:r>
          </w:p>
        </w:tc>
        <w:tc>
          <w:tcPr>
            <w:tcW w:w="2126" w:type="dxa"/>
          </w:tcPr>
          <w:p w14:paraId="10F4872B"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Fabaceae</w:t>
            </w:r>
          </w:p>
        </w:tc>
      </w:tr>
      <w:tr w:rsidR="00C763E2" w:rsidRPr="008C58DA" w14:paraId="6B53892F" w14:textId="77777777">
        <w:tc>
          <w:tcPr>
            <w:tcW w:w="704" w:type="dxa"/>
          </w:tcPr>
          <w:p w14:paraId="579F529A"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1630B098"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Lycopersicon esculentum</w:t>
            </w:r>
          </w:p>
        </w:tc>
        <w:tc>
          <w:tcPr>
            <w:tcW w:w="2126" w:type="dxa"/>
          </w:tcPr>
          <w:p w14:paraId="64F3781B"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Solanceae</w:t>
            </w:r>
          </w:p>
        </w:tc>
      </w:tr>
      <w:tr w:rsidR="00C763E2" w:rsidRPr="008C58DA" w14:paraId="6B901BEA" w14:textId="77777777">
        <w:tc>
          <w:tcPr>
            <w:tcW w:w="704" w:type="dxa"/>
          </w:tcPr>
          <w:p w14:paraId="7EC2C70F"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115B7560"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Nicotiana tabacum</w:t>
            </w:r>
          </w:p>
        </w:tc>
        <w:tc>
          <w:tcPr>
            <w:tcW w:w="2126" w:type="dxa"/>
          </w:tcPr>
          <w:p w14:paraId="7CB29F24"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 xml:space="preserve">Solanceae </w:t>
            </w:r>
          </w:p>
        </w:tc>
      </w:tr>
      <w:tr w:rsidR="00C763E2" w:rsidRPr="008C58DA" w14:paraId="0D6E63E5" w14:textId="77777777">
        <w:tc>
          <w:tcPr>
            <w:tcW w:w="704" w:type="dxa"/>
          </w:tcPr>
          <w:p w14:paraId="128BD952"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1A1CD544"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Oryza sativa</w:t>
            </w:r>
          </w:p>
        </w:tc>
        <w:tc>
          <w:tcPr>
            <w:tcW w:w="2126" w:type="dxa"/>
          </w:tcPr>
          <w:p w14:paraId="5F2E4733"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Poaceae</w:t>
            </w:r>
          </w:p>
        </w:tc>
      </w:tr>
      <w:tr w:rsidR="00C763E2" w:rsidRPr="008C58DA" w14:paraId="4C0CD710" w14:textId="77777777">
        <w:tc>
          <w:tcPr>
            <w:tcW w:w="704" w:type="dxa"/>
          </w:tcPr>
          <w:p w14:paraId="5EFAFF0A"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5E16FAF9"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 xml:space="preserve">Paeonia </w:t>
            </w:r>
            <w:r>
              <w:rPr>
                <w:rFonts w:ascii="Times New Roman" w:hAnsi="Times New Roman" w:cs="Times New Roman"/>
                <w:i/>
                <w:iCs/>
                <w:sz w:val="20"/>
              </w:rPr>
              <w:t>s</w:t>
            </w:r>
            <w:r>
              <w:rPr>
                <w:rFonts w:ascii="Times New Roman" w:hAnsi="Times New Roman" w:cs="Times New Roman"/>
                <w:i/>
                <w:sz w:val="20"/>
              </w:rPr>
              <w:t>p.</w:t>
            </w:r>
          </w:p>
        </w:tc>
        <w:tc>
          <w:tcPr>
            <w:tcW w:w="2126" w:type="dxa"/>
          </w:tcPr>
          <w:p w14:paraId="32A70237"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Paeoniaceae</w:t>
            </w:r>
          </w:p>
        </w:tc>
      </w:tr>
      <w:tr w:rsidR="00C763E2" w:rsidRPr="008C58DA" w14:paraId="0271FCFA" w14:textId="77777777">
        <w:tc>
          <w:tcPr>
            <w:tcW w:w="704" w:type="dxa"/>
          </w:tcPr>
          <w:p w14:paraId="23A36DE9"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4FBC491A"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Panicum virgatum</w:t>
            </w:r>
          </w:p>
        </w:tc>
        <w:tc>
          <w:tcPr>
            <w:tcW w:w="2126" w:type="dxa"/>
          </w:tcPr>
          <w:p w14:paraId="054D52E6"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 xml:space="preserve">Poaceae </w:t>
            </w:r>
          </w:p>
        </w:tc>
      </w:tr>
      <w:tr w:rsidR="00C763E2" w:rsidRPr="008C58DA" w14:paraId="1FFF37A4" w14:textId="77777777">
        <w:tc>
          <w:tcPr>
            <w:tcW w:w="704" w:type="dxa"/>
          </w:tcPr>
          <w:p w14:paraId="6A02B7DE"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0554B092"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Plantago lanceolata</w:t>
            </w:r>
          </w:p>
        </w:tc>
        <w:tc>
          <w:tcPr>
            <w:tcW w:w="2126" w:type="dxa"/>
          </w:tcPr>
          <w:p w14:paraId="1D069141"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Plantaginaceae</w:t>
            </w:r>
          </w:p>
        </w:tc>
      </w:tr>
      <w:tr w:rsidR="00C763E2" w:rsidRPr="008C58DA" w14:paraId="2F56014E" w14:textId="77777777">
        <w:tc>
          <w:tcPr>
            <w:tcW w:w="704" w:type="dxa"/>
          </w:tcPr>
          <w:p w14:paraId="1D065DEE"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184E34A7"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Salvia miltiorrhiza</w:t>
            </w:r>
          </w:p>
        </w:tc>
        <w:tc>
          <w:tcPr>
            <w:tcW w:w="2126" w:type="dxa"/>
          </w:tcPr>
          <w:p w14:paraId="0B469F32"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Lamiaceae</w:t>
            </w:r>
          </w:p>
        </w:tc>
      </w:tr>
      <w:tr w:rsidR="00C763E2" w:rsidRPr="008C58DA" w14:paraId="019D3207" w14:textId="77777777">
        <w:tc>
          <w:tcPr>
            <w:tcW w:w="704" w:type="dxa"/>
          </w:tcPr>
          <w:p w14:paraId="117CD366"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7CC69D28"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Sesbania cannabina</w:t>
            </w:r>
          </w:p>
        </w:tc>
        <w:tc>
          <w:tcPr>
            <w:tcW w:w="2126" w:type="dxa"/>
          </w:tcPr>
          <w:p w14:paraId="6A881512"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Fabaceae</w:t>
            </w:r>
          </w:p>
        </w:tc>
      </w:tr>
      <w:tr w:rsidR="00C763E2" w:rsidRPr="008C58DA" w14:paraId="403598EE" w14:textId="77777777">
        <w:tc>
          <w:tcPr>
            <w:tcW w:w="704" w:type="dxa"/>
          </w:tcPr>
          <w:p w14:paraId="0694EBE5"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1A2A7042"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Solanum melongena</w:t>
            </w:r>
          </w:p>
        </w:tc>
        <w:tc>
          <w:tcPr>
            <w:tcW w:w="2126" w:type="dxa"/>
          </w:tcPr>
          <w:p w14:paraId="69215E90"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Solanaceae</w:t>
            </w:r>
          </w:p>
        </w:tc>
      </w:tr>
      <w:tr w:rsidR="00C763E2" w:rsidRPr="008C58DA" w14:paraId="626EA95C" w14:textId="77777777">
        <w:tc>
          <w:tcPr>
            <w:tcW w:w="704" w:type="dxa"/>
          </w:tcPr>
          <w:p w14:paraId="6338AD9D"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106940FF"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Sorghum bicolor</w:t>
            </w:r>
          </w:p>
        </w:tc>
        <w:tc>
          <w:tcPr>
            <w:tcW w:w="2126" w:type="dxa"/>
          </w:tcPr>
          <w:p w14:paraId="30EF2BC3"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Poaceae</w:t>
            </w:r>
          </w:p>
        </w:tc>
      </w:tr>
      <w:tr w:rsidR="00C763E2" w:rsidRPr="008C58DA" w14:paraId="0332FDDF" w14:textId="77777777">
        <w:tc>
          <w:tcPr>
            <w:tcW w:w="704" w:type="dxa"/>
          </w:tcPr>
          <w:p w14:paraId="4A64203D"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7E359AA0"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Stipa bungeana</w:t>
            </w:r>
          </w:p>
        </w:tc>
        <w:tc>
          <w:tcPr>
            <w:tcW w:w="2126" w:type="dxa"/>
          </w:tcPr>
          <w:p w14:paraId="6979DD7D"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Poaceae</w:t>
            </w:r>
          </w:p>
        </w:tc>
      </w:tr>
      <w:tr w:rsidR="00C763E2" w:rsidRPr="008C58DA" w14:paraId="0CDCFEF7" w14:textId="77777777">
        <w:tc>
          <w:tcPr>
            <w:tcW w:w="704" w:type="dxa"/>
          </w:tcPr>
          <w:p w14:paraId="56421858"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40ACDAFC"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Tagetes erecta</w:t>
            </w:r>
          </w:p>
        </w:tc>
        <w:tc>
          <w:tcPr>
            <w:tcW w:w="2126" w:type="dxa"/>
          </w:tcPr>
          <w:p w14:paraId="4259DF6C"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Asteraceae</w:t>
            </w:r>
          </w:p>
        </w:tc>
      </w:tr>
      <w:tr w:rsidR="00C763E2" w:rsidRPr="008C58DA" w14:paraId="5C9395A2" w14:textId="77777777">
        <w:tc>
          <w:tcPr>
            <w:tcW w:w="704" w:type="dxa"/>
          </w:tcPr>
          <w:p w14:paraId="152DFD36"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2057ABEE"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Teesdalia nudicaulis</w:t>
            </w:r>
          </w:p>
        </w:tc>
        <w:tc>
          <w:tcPr>
            <w:tcW w:w="2126" w:type="dxa"/>
          </w:tcPr>
          <w:p w14:paraId="5E6B7C7C"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Brassicaceae</w:t>
            </w:r>
          </w:p>
        </w:tc>
      </w:tr>
      <w:tr w:rsidR="00C763E2" w:rsidRPr="008C58DA" w14:paraId="5F594DC0" w14:textId="77777777">
        <w:tc>
          <w:tcPr>
            <w:tcW w:w="704" w:type="dxa"/>
          </w:tcPr>
          <w:p w14:paraId="24E059F8"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4DE84B12"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Trifolium arvense</w:t>
            </w:r>
          </w:p>
        </w:tc>
        <w:tc>
          <w:tcPr>
            <w:tcW w:w="2126" w:type="dxa"/>
          </w:tcPr>
          <w:p w14:paraId="6394D26B"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Fabaceae</w:t>
            </w:r>
          </w:p>
        </w:tc>
      </w:tr>
      <w:tr w:rsidR="00C763E2" w:rsidRPr="008C58DA" w14:paraId="45F218A6" w14:textId="77777777">
        <w:tc>
          <w:tcPr>
            <w:tcW w:w="704" w:type="dxa"/>
          </w:tcPr>
          <w:p w14:paraId="0008BAC3"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69F16F8D"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Trifolium repens</w:t>
            </w:r>
          </w:p>
        </w:tc>
        <w:tc>
          <w:tcPr>
            <w:tcW w:w="2126" w:type="dxa"/>
          </w:tcPr>
          <w:p w14:paraId="6E517493"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Fabaceae</w:t>
            </w:r>
          </w:p>
        </w:tc>
      </w:tr>
      <w:tr w:rsidR="00C763E2" w:rsidRPr="008C58DA" w14:paraId="6D1ECD08" w14:textId="77777777">
        <w:tc>
          <w:tcPr>
            <w:tcW w:w="704" w:type="dxa"/>
          </w:tcPr>
          <w:p w14:paraId="73A86BD9"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1F3E51FB"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Trigonella foenum</w:t>
            </w:r>
            <w:r>
              <w:rPr>
                <w:rFonts w:ascii="Times New Roman" w:hAnsi="Times New Roman" w:cs="Times New Roman"/>
                <w:i/>
                <w:iCs/>
                <w:sz w:val="20"/>
              </w:rPr>
              <w:t>-</w:t>
            </w:r>
            <w:r w:rsidRPr="005D5393">
              <w:rPr>
                <w:rFonts w:ascii="Times New Roman" w:hAnsi="Times New Roman" w:cs="Times New Roman"/>
                <w:i/>
                <w:iCs/>
                <w:sz w:val="20"/>
              </w:rPr>
              <w:t>graecum</w:t>
            </w:r>
          </w:p>
        </w:tc>
        <w:tc>
          <w:tcPr>
            <w:tcW w:w="2126" w:type="dxa"/>
          </w:tcPr>
          <w:p w14:paraId="34DBBE43"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Fabaceae</w:t>
            </w:r>
          </w:p>
        </w:tc>
      </w:tr>
      <w:tr w:rsidR="00C763E2" w:rsidRPr="008C58DA" w14:paraId="2F69279B" w14:textId="77777777">
        <w:tc>
          <w:tcPr>
            <w:tcW w:w="704" w:type="dxa"/>
          </w:tcPr>
          <w:p w14:paraId="51AC8AB1"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63517999"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Triticum aestivum</w:t>
            </w:r>
          </w:p>
        </w:tc>
        <w:tc>
          <w:tcPr>
            <w:tcW w:w="2126" w:type="dxa"/>
          </w:tcPr>
          <w:p w14:paraId="47B2BF7E"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Poaceae</w:t>
            </w:r>
          </w:p>
        </w:tc>
      </w:tr>
      <w:tr w:rsidR="00C763E2" w:rsidRPr="008C58DA" w14:paraId="15FF4C07" w14:textId="77777777">
        <w:tc>
          <w:tcPr>
            <w:tcW w:w="704" w:type="dxa"/>
          </w:tcPr>
          <w:p w14:paraId="70212F2F" w14:textId="77777777" w:rsidR="00C763E2" w:rsidRPr="00FB74A3" w:rsidRDefault="00C763E2" w:rsidP="00170D2F">
            <w:pPr>
              <w:pStyle w:val="ListParagraph"/>
              <w:numPr>
                <w:ilvl w:val="0"/>
                <w:numId w:val="2"/>
              </w:numPr>
              <w:spacing w:line="360" w:lineRule="auto"/>
              <w:jc w:val="both"/>
              <w:rPr>
                <w:rFonts w:ascii="Times New Roman" w:hAnsi="Times New Roman" w:cs="Times New Roman"/>
                <w:sz w:val="20"/>
              </w:rPr>
            </w:pPr>
          </w:p>
        </w:tc>
        <w:tc>
          <w:tcPr>
            <w:tcW w:w="3544" w:type="dxa"/>
          </w:tcPr>
          <w:p w14:paraId="441C2206" w14:textId="77777777" w:rsidR="00C763E2" w:rsidRPr="005D5393" w:rsidRDefault="00C763E2" w:rsidP="00170D2F">
            <w:pPr>
              <w:spacing w:line="360" w:lineRule="auto"/>
              <w:jc w:val="both"/>
              <w:rPr>
                <w:rFonts w:ascii="Times New Roman" w:hAnsi="Times New Roman" w:cs="Times New Roman"/>
                <w:i/>
                <w:iCs/>
                <w:sz w:val="20"/>
              </w:rPr>
            </w:pPr>
            <w:r w:rsidRPr="005D5393">
              <w:rPr>
                <w:rFonts w:ascii="Times New Roman" w:hAnsi="Times New Roman" w:cs="Times New Roman"/>
                <w:i/>
                <w:iCs/>
                <w:sz w:val="20"/>
              </w:rPr>
              <w:t>Zea mays</w:t>
            </w:r>
          </w:p>
        </w:tc>
        <w:tc>
          <w:tcPr>
            <w:tcW w:w="2126" w:type="dxa"/>
          </w:tcPr>
          <w:p w14:paraId="06521514" w14:textId="77777777" w:rsidR="00C763E2" w:rsidRPr="006F484F" w:rsidRDefault="00C763E2" w:rsidP="00170D2F">
            <w:pPr>
              <w:spacing w:line="360" w:lineRule="auto"/>
              <w:jc w:val="both"/>
              <w:rPr>
                <w:rFonts w:ascii="Times New Roman" w:hAnsi="Times New Roman" w:cs="Times New Roman"/>
                <w:sz w:val="20"/>
              </w:rPr>
            </w:pPr>
            <w:r w:rsidRPr="006F484F">
              <w:rPr>
                <w:rFonts w:ascii="Times New Roman" w:hAnsi="Times New Roman" w:cs="Times New Roman"/>
                <w:sz w:val="20"/>
              </w:rPr>
              <w:t>Poaceae</w:t>
            </w:r>
          </w:p>
        </w:tc>
      </w:tr>
    </w:tbl>
    <w:p w14:paraId="7EA35113" w14:textId="77777777" w:rsidR="00E01DAB" w:rsidRPr="00FD66E9" w:rsidRDefault="00E01DAB" w:rsidP="00170D2F">
      <w:pPr>
        <w:spacing w:line="360" w:lineRule="auto"/>
        <w:jc w:val="both"/>
        <w:rPr>
          <w:rFonts w:ascii="Times New Roman" w:hAnsi="Times New Roman" w:cs="Times New Roman"/>
          <w:b/>
          <w:bCs/>
          <w:sz w:val="20"/>
        </w:rPr>
      </w:pPr>
    </w:p>
    <w:p w14:paraId="797B95A4" w14:textId="3842A6F6" w:rsidR="00C40F09" w:rsidRDefault="00C40F09" w:rsidP="00170D2F">
      <w:pPr>
        <w:pStyle w:val="Caption"/>
        <w:spacing w:line="360" w:lineRule="auto"/>
        <w:jc w:val="both"/>
        <w:rPr>
          <w:rFonts w:ascii="Times New Roman" w:hAnsi="Times New Roman" w:cs="Times New Roman"/>
          <w:i w:val="0"/>
          <w:iCs w:val="0"/>
          <w:sz w:val="20"/>
        </w:rPr>
      </w:pPr>
      <w:r w:rsidRPr="00FD4621">
        <w:rPr>
          <w:rFonts w:ascii="Times New Roman" w:hAnsi="Times New Roman" w:cs="Times New Roman"/>
          <w:b/>
          <w:bCs/>
          <w:i w:val="0"/>
          <w:iCs w:val="0"/>
          <w:sz w:val="20"/>
        </w:rPr>
        <w:t>Table S</w:t>
      </w:r>
      <w:r>
        <w:rPr>
          <w:rFonts w:ascii="Times New Roman" w:hAnsi="Times New Roman" w:cs="Times New Roman"/>
          <w:b/>
          <w:bCs/>
          <w:i w:val="0"/>
          <w:iCs w:val="0"/>
          <w:sz w:val="20"/>
        </w:rPr>
        <w:t>4</w:t>
      </w:r>
      <w:r w:rsidRPr="00FD4621">
        <w:rPr>
          <w:rFonts w:ascii="Times New Roman" w:hAnsi="Times New Roman" w:cs="Times New Roman"/>
          <w:b/>
          <w:bCs/>
          <w:i w:val="0"/>
          <w:iCs w:val="0"/>
          <w:sz w:val="20"/>
        </w:rPr>
        <w:t xml:space="preserve">. </w:t>
      </w:r>
      <w:r w:rsidRPr="00FD4621">
        <w:rPr>
          <w:rFonts w:ascii="Times New Roman" w:hAnsi="Times New Roman" w:cs="Times New Roman"/>
          <w:i w:val="0"/>
          <w:iCs w:val="0"/>
          <w:sz w:val="20"/>
        </w:rPr>
        <w:t>Q</w:t>
      </w:r>
      <w:r w:rsidRPr="00FD4621">
        <w:rPr>
          <w:rFonts w:ascii="Times New Roman" w:hAnsi="Times New Roman" w:cs="Times New Roman"/>
          <w:i w:val="0"/>
          <w:iCs w:val="0"/>
          <w:sz w:val="20"/>
          <w:vertAlign w:val="subscript"/>
        </w:rPr>
        <w:t xml:space="preserve">m </w:t>
      </w:r>
      <w:r w:rsidRPr="00FD4621">
        <w:rPr>
          <w:rFonts w:ascii="Times New Roman" w:hAnsi="Times New Roman" w:cs="Times New Roman"/>
          <w:i w:val="0"/>
          <w:iCs w:val="0"/>
          <w:sz w:val="20"/>
        </w:rPr>
        <w:t xml:space="preserve">test (Heterogeneity analysis) values and significance of different moderators.  Asterisks (*) represent the significance levels of P-values, with *** indicating P&lt;0.001, ** indicating P&lt;0.01, and * indicating P&lt;0.05. Branching; RTD, root tissue density; </w:t>
      </w:r>
      <w:r w:rsidR="00D149B9">
        <w:rPr>
          <w:rFonts w:ascii="Times New Roman" w:hAnsi="Times New Roman" w:cs="Times New Roman"/>
          <w:i w:val="0"/>
          <w:iCs w:val="0"/>
          <w:sz w:val="20"/>
        </w:rPr>
        <w:t>RDW, root dry weight</w:t>
      </w:r>
      <w:r w:rsidRPr="00FD4621">
        <w:rPr>
          <w:rFonts w:ascii="Times New Roman" w:hAnsi="Times New Roman" w:cs="Times New Roman"/>
          <w:i w:val="0"/>
          <w:iCs w:val="0"/>
          <w:sz w:val="20"/>
        </w:rPr>
        <w:t>; RFW, root fresh weight; RSA, root surface area; RD, root diameter; RL, total root length; SRA, specific root area; and SRL, specific root length.</w:t>
      </w:r>
    </w:p>
    <w:tbl>
      <w:tblPr>
        <w:tblStyle w:val="TableGrid"/>
        <w:tblW w:w="9209" w:type="dxa"/>
        <w:tblLayout w:type="fixed"/>
        <w:tblLook w:val="04A0" w:firstRow="1" w:lastRow="0" w:firstColumn="1" w:lastColumn="0" w:noHBand="0" w:noVBand="1"/>
      </w:tblPr>
      <w:tblGrid>
        <w:gridCol w:w="1129"/>
        <w:gridCol w:w="1134"/>
        <w:gridCol w:w="1276"/>
        <w:gridCol w:w="1134"/>
        <w:gridCol w:w="1276"/>
        <w:gridCol w:w="850"/>
        <w:gridCol w:w="1134"/>
        <w:gridCol w:w="1276"/>
      </w:tblGrid>
      <w:tr w:rsidR="00C40F09" w:rsidRPr="00FD66E9" w14:paraId="13AB0319" w14:textId="77777777">
        <w:tc>
          <w:tcPr>
            <w:tcW w:w="1129" w:type="dxa"/>
          </w:tcPr>
          <w:p w14:paraId="431B2A42"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b/>
                <w:bCs/>
                <w:sz w:val="20"/>
              </w:rPr>
              <w:t>Root traits</w:t>
            </w:r>
          </w:p>
        </w:tc>
        <w:tc>
          <w:tcPr>
            <w:tcW w:w="1134" w:type="dxa"/>
          </w:tcPr>
          <w:p w14:paraId="043105AA" w14:textId="77777777" w:rsidR="00C40F09" w:rsidRPr="00FD66E9" w:rsidRDefault="00C40F09" w:rsidP="00170D2F">
            <w:pPr>
              <w:spacing w:line="360" w:lineRule="auto"/>
              <w:jc w:val="both"/>
              <w:rPr>
                <w:rFonts w:ascii="Times New Roman" w:hAnsi="Times New Roman" w:cs="Times New Roman"/>
                <w:b/>
                <w:bCs/>
                <w:sz w:val="20"/>
              </w:rPr>
            </w:pPr>
            <w:r>
              <w:rPr>
                <w:rFonts w:ascii="Times New Roman" w:hAnsi="Times New Roman" w:cs="Times New Roman"/>
                <w:b/>
                <w:bCs/>
                <w:sz w:val="20"/>
              </w:rPr>
              <w:t>Plant root system</w:t>
            </w:r>
          </w:p>
        </w:tc>
        <w:tc>
          <w:tcPr>
            <w:tcW w:w="1276" w:type="dxa"/>
          </w:tcPr>
          <w:p w14:paraId="67B2FC82" w14:textId="77777777" w:rsidR="00C40F09" w:rsidRPr="00FD66E9" w:rsidRDefault="00C40F09" w:rsidP="00170D2F">
            <w:pPr>
              <w:spacing w:line="360" w:lineRule="auto"/>
              <w:jc w:val="both"/>
              <w:rPr>
                <w:rFonts w:ascii="Times New Roman" w:hAnsi="Times New Roman" w:cs="Times New Roman"/>
                <w:b/>
                <w:bCs/>
                <w:sz w:val="20"/>
              </w:rPr>
            </w:pPr>
            <w:r>
              <w:rPr>
                <w:rFonts w:ascii="Times New Roman" w:hAnsi="Times New Roman" w:cs="Times New Roman"/>
                <w:b/>
                <w:bCs/>
                <w:sz w:val="20"/>
              </w:rPr>
              <w:t>Type of inoculation</w:t>
            </w:r>
            <w:r w:rsidRPr="00FD66E9">
              <w:rPr>
                <w:rFonts w:ascii="Times New Roman" w:hAnsi="Times New Roman" w:cs="Times New Roman"/>
                <w:b/>
                <w:bCs/>
                <w:sz w:val="20"/>
              </w:rPr>
              <w:t xml:space="preserve"> </w:t>
            </w:r>
          </w:p>
        </w:tc>
        <w:tc>
          <w:tcPr>
            <w:tcW w:w="1134" w:type="dxa"/>
          </w:tcPr>
          <w:p w14:paraId="588DF871"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b/>
                <w:bCs/>
                <w:sz w:val="20"/>
              </w:rPr>
              <w:t xml:space="preserve">Stress </w:t>
            </w:r>
            <w:r>
              <w:rPr>
                <w:rFonts w:ascii="Times New Roman" w:hAnsi="Times New Roman" w:cs="Times New Roman"/>
                <w:b/>
                <w:bCs/>
                <w:sz w:val="20"/>
              </w:rPr>
              <w:t>type</w:t>
            </w:r>
          </w:p>
          <w:p w14:paraId="5980F27F" w14:textId="77777777" w:rsidR="00C40F09" w:rsidRPr="00FD66E9" w:rsidRDefault="00C40F09" w:rsidP="00170D2F">
            <w:pPr>
              <w:spacing w:line="360" w:lineRule="auto"/>
              <w:jc w:val="both"/>
              <w:rPr>
                <w:rFonts w:ascii="Times New Roman" w:hAnsi="Times New Roman" w:cs="Times New Roman"/>
                <w:b/>
                <w:bCs/>
                <w:sz w:val="20"/>
              </w:rPr>
            </w:pPr>
          </w:p>
        </w:tc>
        <w:tc>
          <w:tcPr>
            <w:tcW w:w="1276" w:type="dxa"/>
          </w:tcPr>
          <w:p w14:paraId="42E3DE1C"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b/>
                <w:bCs/>
                <w:sz w:val="20"/>
              </w:rPr>
              <w:t xml:space="preserve">Experiment type </w:t>
            </w:r>
          </w:p>
        </w:tc>
        <w:tc>
          <w:tcPr>
            <w:tcW w:w="850" w:type="dxa"/>
          </w:tcPr>
          <w:p w14:paraId="3ACCA832" w14:textId="77777777" w:rsidR="00C40F09" w:rsidRPr="00FD66E9" w:rsidRDefault="00C40F09" w:rsidP="00170D2F">
            <w:pPr>
              <w:spacing w:line="360" w:lineRule="auto"/>
              <w:jc w:val="both"/>
              <w:rPr>
                <w:rFonts w:ascii="Times New Roman" w:hAnsi="Times New Roman" w:cs="Times New Roman"/>
                <w:b/>
                <w:bCs/>
                <w:sz w:val="20"/>
              </w:rPr>
            </w:pPr>
            <w:r>
              <w:rPr>
                <w:rFonts w:ascii="Times New Roman" w:hAnsi="Times New Roman" w:cs="Times New Roman"/>
                <w:b/>
                <w:bCs/>
                <w:sz w:val="20"/>
              </w:rPr>
              <w:t xml:space="preserve">AMF </w:t>
            </w:r>
            <w:r w:rsidRPr="00FD66E9">
              <w:rPr>
                <w:rFonts w:ascii="Times New Roman" w:hAnsi="Times New Roman" w:cs="Times New Roman"/>
                <w:b/>
                <w:bCs/>
                <w:sz w:val="20"/>
              </w:rPr>
              <w:t xml:space="preserve">Guild </w:t>
            </w:r>
          </w:p>
        </w:tc>
        <w:tc>
          <w:tcPr>
            <w:tcW w:w="1134" w:type="dxa"/>
          </w:tcPr>
          <w:p w14:paraId="585D5FB4"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b/>
                <w:bCs/>
                <w:sz w:val="20"/>
              </w:rPr>
              <w:t>Host plant family</w:t>
            </w:r>
          </w:p>
        </w:tc>
        <w:tc>
          <w:tcPr>
            <w:tcW w:w="1276" w:type="dxa"/>
          </w:tcPr>
          <w:p w14:paraId="112D588E"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b/>
                <w:bCs/>
                <w:sz w:val="20"/>
              </w:rPr>
              <w:t>Experiment duration</w:t>
            </w:r>
          </w:p>
        </w:tc>
      </w:tr>
      <w:tr w:rsidR="00C40F09" w:rsidRPr="00FD66E9" w14:paraId="1055713B" w14:textId="77777777">
        <w:tc>
          <w:tcPr>
            <w:tcW w:w="1129" w:type="dxa"/>
          </w:tcPr>
          <w:p w14:paraId="22A2A2D0"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b/>
                <w:bCs/>
                <w:sz w:val="20"/>
              </w:rPr>
              <w:t>B</w:t>
            </w:r>
            <w:r>
              <w:rPr>
                <w:rFonts w:ascii="Times New Roman" w:hAnsi="Times New Roman" w:cs="Times New Roman"/>
                <w:b/>
                <w:bCs/>
                <w:sz w:val="20"/>
              </w:rPr>
              <w:t>ranching</w:t>
            </w:r>
          </w:p>
        </w:tc>
        <w:tc>
          <w:tcPr>
            <w:tcW w:w="1134" w:type="dxa"/>
          </w:tcPr>
          <w:p w14:paraId="544CB90A"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sz w:val="20"/>
              </w:rPr>
              <w:t>1.725</w:t>
            </w:r>
          </w:p>
        </w:tc>
        <w:tc>
          <w:tcPr>
            <w:tcW w:w="1276" w:type="dxa"/>
          </w:tcPr>
          <w:p w14:paraId="1E63864F" w14:textId="77777777" w:rsidR="00C40F0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sz w:val="20"/>
              </w:rPr>
              <w:t>0.68</w:t>
            </w:r>
          </w:p>
        </w:tc>
        <w:tc>
          <w:tcPr>
            <w:tcW w:w="1134" w:type="dxa"/>
          </w:tcPr>
          <w:p w14:paraId="6B2437B9"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sz w:val="20"/>
              </w:rPr>
              <w:t>17.44***</w:t>
            </w:r>
          </w:p>
        </w:tc>
        <w:tc>
          <w:tcPr>
            <w:tcW w:w="1276" w:type="dxa"/>
          </w:tcPr>
          <w:p w14:paraId="677AA8CB" w14:textId="77777777" w:rsidR="00C40F09" w:rsidRPr="006F484F" w:rsidRDefault="00C40F09" w:rsidP="00170D2F">
            <w:pPr>
              <w:spacing w:line="360" w:lineRule="auto"/>
              <w:jc w:val="both"/>
              <w:rPr>
                <w:rFonts w:ascii="Times New Roman" w:hAnsi="Times New Roman" w:cs="Times New Roman"/>
                <w:sz w:val="20"/>
              </w:rPr>
            </w:pPr>
            <w:r w:rsidRPr="006F484F">
              <w:rPr>
                <w:rFonts w:ascii="Times New Roman" w:hAnsi="Times New Roman" w:cs="Times New Roman"/>
                <w:sz w:val="20"/>
              </w:rPr>
              <w:t>NA</w:t>
            </w:r>
          </w:p>
        </w:tc>
        <w:tc>
          <w:tcPr>
            <w:tcW w:w="850" w:type="dxa"/>
          </w:tcPr>
          <w:p w14:paraId="67AA65DC"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sz w:val="20"/>
              </w:rPr>
              <w:t>0.068</w:t>
            </w:r>
          </w:p>
        </w:tc>
        <w:tc>
          <w:tcPr>
            <w:tcW w:w="1134" w:type="dxa"/>
          </w:tcPr>
          <w:p w14:paraId="0F129B44"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sz w:val="20"/>
              </w:rPr>
              <w:t>7.53***</w:t>
            </w:r>
          </w:p>
        </w:tc>
        <w:tc>
          <w:tcPr>
            <w:tcW w:w="1276" w:type="dxa"/>
          </w:tcPr>
          <w:p w14:paraId="57DB3A39"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sz w:val="20"/>
              </w:rPr>
              <w:t>0.41</w:t>
            </w:r>
          </w:p>
        </w:tc>
      </w:tr>
      <w:tr w:rsidR="00C40F09" w:rsidRPr="00FD66E9" w14:paraId="214AA149" w14:textId="77777777">
        <w:tc>
          <w:tcPr>
            <w:tcW w:w="1129" w:type="dxa"/>
          </w:tcPr>
          <w:p w14:paraId="38E593B7"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b/>
                <w:bCs/>
                <w:sz w:val="20"/>
              </w:rPr>
              <w:t>RTD</w:t>
            </w:r>
          </w:p>
        </w:tc>
        <w:tc>
          <w:tcPr>
            <w:tcW w:w="1134" w:type="dxa"/>
          </w:tcPr>
          <w:p w14:paraId="5A609E8F"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0.933</w:t>
            </w:r>
          </w:p>
        </w:tc>
        <w:tc>
          <w:tcPr>
            <w:tcW w:w="1276" w:type="dxa"/>
          </w:tcPr>
          <w:p w14:paraId="47AFADF0"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0.52</w:t>
            </w:r>
          </w:p>
        </w:tc>
        <w:tc>
          <w:tcPr>
            <w:tcW w:w="1134" w:type="dxa"/>
          </w:tcPr>
          <w:p w14:paraId="39B0AFCC"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1.28</w:t>
            </w:r>
          </w:p>
        </w:tc>
        <w:tc>
          <w:tcPr>
            <w:tcW w:w="1276" w:type="dxa"/>
          </w:tcPr>
          <w:p w14:paraId="4A54F642" w14:textId="77777777" w:rsidR="00C40F09" w:rsidRPr="00FD66E9" w:rsidRDefault="00C40F09" w:rsidP="00170D2F">
            <w:pPr>
              <w:spacing w:line="360" w:lineRule="auto"/>
              <w:jc w:val="both"/>
              <w:rPr>
                <w:rFonts w:ascii="Times New Roman" w:hAnsi="Times New Roman" w:cs="Times New Roman"/>
                <w:b/>
                <w:bCs/>
                <w:sz w:val="20"/>
              </w:rPr>
            </w:pPr>
            <w:r w:rsidRPr="004D10E1">
              <w:rPr>
                <w:rFonts w:ascii="Times New Roman" w:hAnsi="Times New Roman" w:cs="Times New Roman"/>
                <w:sz w:val="20"/>
              </w:rPr>
              <w:t>NA</w:t>
            </w:r>
          </w:p>
        </w:tc>
        <w:tc>
          <w:tcPr>
            <w:tcW w:w="850" w:type="dxa"/>
          </w:tcPr>
          <w:p w14:paraId="387810F4"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0.49</w:t>
            </w:r>
          </w:p>
        </w:tc>
        <w:tc>
          <w:tcPr>
            <w:tcW w:w="1134" w:type="dxa"/>
          </w:tcPr>
          <w:p w14:paraId="712F2559"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12.79***</w:t>
            </w:r>
          </w:p>
        </w:tc>
        <w:tc>
          <w:tcPr>
            <w:tcW w:w="1276" w:type="dxa"/>
          </w:tcPr>
          <w:p w14:paraId="38B8B6D3"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0.035</w:t>
            </w:r>
          </w:p>
        </w:tc>
      </w:tr>
      <w:tr w:rsidR="00C40F09" w:rsidRPr="00FD66E9" w14:paraId="36B80E8D" w14:textId="77777777">
        <w:tc>
          <w:tcPr>
            <w:tcW w:w="1129" w:type="dxa"/>
          </w:tcPr>
          <w:p w14:paraId="471A1ED2"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b/>
                <w:bCs/>
                <w:sz w:val="20"/>
              </w:rPr>
              <w:t>RDW</w:t>
            </w:r>
          </w:p>
        </w:tc>
        <w:tc>
          <w:tcPr>
            <w:tcW w:w="1134" w:type="dxa"/>
          </w:tcPr>
          <w:p w14:paraId="501D4C0F"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2.91</w:t>
            </w:r>
          </w:p>
        </w:tc>
        <w:tc>
          <w:tcPr>
            <w:tcW w:w="1276" w:type="dxa"/>
          </w:tcPr>
          <w:p w14:paraId="0EFBB943"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0.6714</w:t>
            </w:r>
          </w:p>
        </w:tc>
        <w:tc>
          <w:tcPr>
            <w:tcW w:w="1134" w:type="dxa"/>
          </w:tcPr>
          <w:p w14:paraId="69FF02B3"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7.46*</w:t>
            </w:r>
          </w:p>
        </w:tc>
        <w:tc>
          <w:tcPr>
            <w:tcW w:w="1276" w:type="dxa"/>
          </w:tcPr>
          <w:p w14:paraId="7717722D"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sz w:val="20"/>
              </w:rPr>
              <w:t>0.003</w:t>
            </w:r>
          </w:p>
        </w:tc>
        <w:tc>
          <w:tcPr>
            <w:tcW w:w="850" w:type="dxa"/>
          </w:tcPr>
          <w:p w14:paraId="598430CA"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0.0344</w:t>
            </w:r>
          </w:p>
        </w:tc>
        <w:tc>
          <w:tcPr>
            <w:tcW w:w="1134" w:type="dxa"/>
          </w:tcPr>
          <w:p w14:paraId="3F50ACBE"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49.68***</w:t>
            </w:r>
          </w:p>
        </w:tc>
        <w:tc>
          <w:tcPr>
            <w:tcW w:w="1276" w:type="dxa"/>
          </w:tcPr>
          <w:p w14:paraId="14FFDC6D"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12.65***</w:t>
            </w:r>
          </w:p>
        </w:tc>
      </w:tr>
      <w:tr w:rsidR="00C40F09" w:rsidRPr="00FD66E9" w14:paraId="5070D898" w14:textId="77777777">
        <w:tc>
          <w:tcPr>
            <w:tcW w:w="1129" w:type="dxa"/>
          </w:tcPr>
          <w:p w14:paraId="4E12FF9A"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b/>
                <w:bCs/>
                <w:sz w:val="20"/>
              </w:rPr>
              <w:t>RFW</w:t>
            </w:r>
          </w:p>
        </w:tc>
        <w:tc>
          <w:tcPr>
            <w:tcW w:w="1134" w:type="dxa"/>
          </w:tcPr>
          <w:p w14:paraId="49E4A29E"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0.245</w:t>
            </w:r>
          </w:p>
        </w:tc>
        <w:tc>
          <w:tcPr>
            <w:tcW w:w="1276" w:type="dxa"/>
          </w:tcPr>
          <w:p w14:paraId="633F61E9"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0.118</w:t>
            </w:r>
          </w:p>
        </w:tc>
        <w:tc>
          <w:tcPr>
            <w:tcW w:w="1134" w:type="dxa"/>
          </w:tcPr>
          <w:p w14:paraId="119C11AC"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0.668</w:t>
            </w:r>
          </w:p>
        </w:tc>
        <w:tc>
          <w:tcPr>
            <w:tcW w:w="1276" w:type="dxa"/>
          </w:tcPr>
          <w:p w14:paraId="2B5EA7C9" w14:textId="77777777" w:rsidR="00C40F09" w:rsidRPr="00FD66E9" w:rsidRDefault="00C40F09" w:rsidP="00170D2F">
            <w:pPr>
              <w:spacing w:line="360" w:lineRule="auto"/>
              <w:jc w:val="both"/>
              <w:rPr>
                <w:rFonts w:ascii="Times New Roman" w:hAnsi="Times New Roman" w:cs="Times New Roman"/>
                <w:sz w:val="20"/>
              </w:rPr>
            </w:pPr>
            <w:r w:rsidRPr="004D10E1">
              <w:rPr>
                <w:rFonts w:ascii="Times New Roman" w:hAnsi="Times New Roman" w:cs="Times New Roman"/>
                <w:sz w:val="20"/>
              </w:rPr>
              <w:t>NA</w:t>
            </w:r>
          </w:p>
        </w:tc>
        <w:tc>
          <w:tcPr>
            <w:tcW w:w="850" w:type="dxa"/>
          </w:tcPr>
          <w:p w14:paraId="69579B9D"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0.038</w:t>
            </w:r>
          </w:p>
        </w:tc>
        <w:tc>
          <w:tcPr>
            <w:tcW w:w="1134" w:type="dxa"/>
          </w:tcPr>
          <w:p w14:paraId="60F9CED1"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0.27</w:t>
            </w:r>
          </w:p>
        </w:tc>
        <w:tc>
          <w:tcPr>
            <w:tcW w:w="1276" w:type="dxa"/>
          </w:tcPr>
          <w:p w14:paraId="6A8020A2" w14:textId="77777777" w:rsidR="00C40F09" w:rsidRPr="00FD66E9" w:rsidRDefault="00C40F09" w:rsidP="00170D2F">
            <w:pPr>
              <w:spacing w:line="360" w:lineRule="auto"/>
              <w:jc w:val="both"/>
              <w:rPr>
                <w:rFonts w:ascii="Times New Roman" w:hAnsi="Times New Roman" w:cs="Times New Roman"/>
                <w:sz w:val="20"/>
              </w:rPr>
            </w:pPr>
            <w:r>
              <w:rPr>
                <w:rFonts w:ascii="Times New Roman" w:hAnsi="Times New Roman" w:cs="Times New Roman"/>
                <w:sz w:val="20"/>
              </w:rPr>
              <w:t>4.54</w:t>
            </w:r>
            <w:r w:rsidRPr="00FD66E9">
              <w:rPr>
                <w:rFonts w:ascii="Times New Roman" w:hAnsi="Times New Roman" w:cs="Times New Roman"/>
                <w:sz w:val="20"/>
              </w:rPr>
              <w:t>*</w:t>
            </w:r>
          </w:p>
        </w:tc>
      </w:tr>
      <w:tr w:rsidR="00C40F09" w:rsidRPr="00FD66E9" w14:paraId="4F209F09" w14:textId="77777777">
        <w:tc>
          <w:tcPr>
            <w:tcW w:w="1129" w:type="dxa"/>
          </w:tcPr>
          <w:p w14:paraId="14320EB8"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b/>
                <w:bCs/>
                <w:sz w:val="20"/>
              </w:rPr>
              <w:t>RSA</w:t>
            </w:r>
          </w:p>
        </w:tc>
        <w:tc>
          <w:tcPr>
            <w:tcW w:w="1134" w:type="dxa"/>
          </w:tcPr>
          <w:p w14:paraId="5F6B77F7"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0.34</w:t>
            </w:r>
          </w:p>
        </w:tc>
        <w:tc>
          <w:tcPr>
            <w:tcW w:w="1276" w:type="dxa"/>
          </w:tcPr>
          <w:p w14:paraId="38E637BE"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0.11</w:t>
            </w:r>
          </w:p>
        </w:tc>
        <w:tc>
          <w:tcPr>
            <w:tcW w:w="1134" w:type="dxa"/>
          </w:tcPr>
          <w:p w14:paraId="72F534E9"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9.62*</w:t>
            </w:r>
          </w:p>
        </w:tc>
        <w:tc>
          <w:tcPr>
            <w:tcW w:w="1276" w:type="dxa"/>
          </w:tcPr>
          <w:p w14:paraId="43FBB406"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0.24</w:t>
            </w:r>
          </w:p>
        </w:tc>
        <w:tc>
          <w:tcPr>
            <w:tcW w:w="850" w:type="dxa"/>
          </w:tcPr>
          <w:p w14:paraId="2A361AE1"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0.104</w:t>
            </w:r>
          </w:p>
        </w:tc>
        <w:tc>
          <w:tcPr>
            <w:tcW w:w="1134" w:type="dxa"/>
          </w:tcPr>
          <w:p w14:paraId="78B1F543"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34.15***</w:t>
            </w:r>
          </w:p>
        </w:tc>
        <w:tc>
          <w:tcPr>
            <w:tcW w:w="1276" w:type="dxa"/>
          </w:tcPr>
          <w:p w14:paraId="5E1B0F23" w14:textId="77777777" w:rsidR="00C40F0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7.22**</w:t>
            </w:r>
          </w:p>
        </w:tc>
      </w:tr>
      <w:tr w:rsidR="00C40F09" w:rsidRPr="00FD66E9" w14:paraId="44FAEA03" w14:textId="77777777">
        <w:tc>
          <w:tcPr>
            <w:tcW w:w="1129" w:type="dxa"/>
          </w:tcPr>
          <w:p w14:paraId="3181F6A2"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b/>
                <w:bCs/>
                <w:sz w:val="20"/>
              </w:rPr>
              <w:t>RD</w:t>
            </w:r>
          </w:p>
        </w:tc>
        <w:tc>
          <w:tcPr>
            <w:tcW w:w="1134" w:type="dxa"/>
          </w:tcPr>
          <w:p w14:paraId="61DF80F0"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2.76</w:t>
            </w:r>
          </w:p>
        </w:tc>
        <w:tc>
          <w:tcPr>
            <w:tcW w:w="1276" w:type="dxa"/>
          </w:tcPr>
          <w:p w14:paraId="56625A18"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0.018</w:t>
            </w:r>
          </w:p>
        </w:tc>
        <w:tc>
          <w:tcPr>
            <w:tcW w:w="1134" w:type="dxa"/>
          </w:tcPr>
          <w:p w14:paraId="16271B92"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1.69</w:t>
            </w:r>
          </w:p>
        </w:tc>
        <w:tc>
          <w:tcPr>
            <w:tcW w:w="1276" w:type="dxa"/>
          </w:tcPr>
          <w:p w14:paraId="75596323"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1.86</w:t>
            </w:r>
          </w:p>
        </w:tc>
        <w:tc>
          <w:tcPr>
            <w:tcW w:w="850" w:type="dxa"/>
          </w:tcPr>
          <w:p w14:paraId="013D3147"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0.097</w:t>
            </w:r>
          </w:p>
        </w:tc>
        <w:tc>
          <w:tcPr>
            <w:tcW w:w="1134" w:type="dxa"/>
          </w:tcPr>
          <w:p w14:paraId="23981223"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50.62***</w:t>
            </w:r>
          </w:p>
        </w:tc>
        <w:tc>
          <w:tcPr>
            <w:tcW w:w="1276" w:type="dxa"/>
          </w:tcPr>
          <w:p w14:paraId="1BFC9C0A"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1.05</w:t>
            </w:r>
          </w:p>
        </w:tc>
      </w:tr>
      <w:tr w:rsidR="00C40F09" w:rsidRPr="00FD66E9" w14:paraId="3363557D" w14:textId="77777777">
        <w:tc>
          <w:tcPr>
            <w:tcW w:w="1129" w:type="dxa"/>
          </w:tcPr>
          <w:p w14:paraId="68F04406"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b/>
                <w:bCs/>
                <w:sz w:val="20"/>
              </w:rPr>
              <w:t>RL</w:t>
            </w:r>
          </w:p>
        </w:tc>
        <w:tc>
          <w:tcPr>
            <w:tcW w:w="1134" w:type="dxa"/>
          </w:tcPr>
          <w:p w14:paraId="646E94E9"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0.43</w:t>
            </w:r>
          </w:p>
        </w:tc>
        <w:tc>
          <w:tcPr>
            <w:tcW w:w="1276" w:type="dxa"/>
          </w:tcPr>
          <w:p w14:paraId="01539CB8"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2.69</w:t>
            </w:r>
          </w:p>
        </w:tc>
        <w:tc>
          <w:tcPr>
            <w:tcW w:w="1134" w:type="dxa"/>
          </w:tcPr>
          <w:p w14:paraId="7FAFEBCC"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16.93***</w:t>
            </w:r>
          </w:p>
        </w:tc>
        <w:tc>
          <w:tcPr>
            <w:tcW w:w="1276" w:type="dxa"/>
          </w:tcPr>
          <w:p w14:paraId="1AF5F0B7"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0.0083</w:t>
            </w:r>
          </w:p>
        </w:tc>
        <w:tc>
          <w:tcPr>
            <w:tcW w:w="850" w:type="dxa"/>
          </w:tcPr>
          <w:p w14:paraId="68206861"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2.32</w:t>
            </w:r>
          </w:p>
        </w:tc>
        <w:tc>
          <w:tcPr>
            <w:tcW w:w="1134" w:type="dxa"/>
          </w:tcPr>
          <w:p w14:paraId="3E515184"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42.68***</w:t>
            </w:r>
          </w:p>
        </w:tc>
        <w:tc>
          <w:tcPr>
            <w:tcW w:w="1276" w:type="dxa"/>
          </w:tcPr>
          <w:p w14:paraId="50B10D98"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4.45*</w:t>
            </w:r>
          </w:p>
        </w:tc>
      </w:tr>
      <w:tr w:rsidR="00C40F09" w:rsidRPr="00FD66E9" w14:paraId="789F7CFF" w14:textId="77777777">
        <w:tc>
          <w:tcPr>
            <w:tcW w:w="1129" w:type="dxa"/>
          </w:tcPr>
          <w:p w14:paraId="04D36B04"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b/>
                <w:bCs/>
                <w:sz w:val="20"/>
              </w:rPr>
              <w:t>SRA</w:t>
            </w:r>
          </w:p>
        </w:tc>
        <w:tc>
          <w:tcPr>
            <w:tcW w:w="1134" w:type="dxa"/>
          </w:tcPr>
          <w:p w14:paraId="3DBD1A52"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3.61</w:t>
            </w:r>
          </w:p>
        </w:tc>
        <w:tc>
          <w:tcPr>
            <w:tcW w:w="1276" w:type="dxa"/>
          </w:tcPr>
          <w:p w14:paraId="1AA79987"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1.51</w:t>
            </w:r>
          </w:p>
        </w:tc>
        <w:tc>
          <w:tcPr>
            <w:tcW w:w="1134" w:type="dxa"/>
          </w:tcPr>
          <w:p w14:paraId="2AB98C70"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0.0015</w:t>
            </w:r>
          </w:p>
        </w:tc>
        <w:tc>
          <w:tcPr>
            <w:tcW w:w="1276" w:type="dxa"/>
          </w:tcPr>
          <w:p w14:paraId="2B4D679A" w14:textId="77777777" w:rsidR="00C40F09" w:rsidRPr="00FD66E9" w:rsidRDefault="00C40F09" w:rsidP="00170D2F">
            <w:pPr>
              <w:spacing w:line="360" w:lineRule="auto"/>
              <w:jc w:val="both"/>
              <w:rPr>
                <w:rFonts w:ascii="Times New Roman" w:hAnsi="Times New Roman" w:cs="Times New Roman"/>
                <w:sz w:val="20"/>
              </w:rPr>
            </w:pPr>
            <w:r w:rsidRPr="004D10E1">
              <w:rPr>
                <w:rFonts w:ascii="Times New Roman" w:hAnsi="Times New Roman" w:cs="Times New Roman"/>
                <w:sz w:val="20"/>
              </w:rPr>
              <w:t>NA</w:t>
            </w:r>
          </w:p>
        </w:tc>
        <w:tc>
          <w:tcPr>
            <w:tcW w:w="850" w:type="dxa"/>
          </w:tcPr>
          <w:p w14:paraId="538C3A4A"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0.0023</w:t>
            </w:r>
          </w:p>
        </w:tc>
        <w:tc>
          <w:tcPr>
            <w:tcW w:w="1134" w:type="dxa"/>
          </w:tcPr>
          <w:p w14:paraId="45A4FD54"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6.02</w:t>
            </w:r>
          </w:p>
        </w:tc>
        <w:tc>
          <w:tcPr>
            <w:tcW w:w="1276" w:type="dxa"/>
          </w:tcPr>
          <w:p w14:paraId="65974E30"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7.93**</w:t>
            </w:r>
          </w:p>
        </w:tc>
      </w:tr>
      <w:tr w:rsidR="00C40F09" w:rsidRPr="00FD66E9" w14:paraId="02513B7D" w14:textId="77777777">
        <w:tc>
          <w:tcPr>
            <w:tcW w:w="1129" w:type="dxa"/>
          </w:tcPr>
          <w:p w14:paraId="198B429E" w14:textId="77777777" w:rsidR="00C40F09" w:rsidRPr="00FD66E9" w:rsidRDefault="00C40F09" w:rsidP="00170D2F">
            <w:pPr>
              <w:spacing w:line="360" w:lineRule="auto"/>
              <w:jc w:val="both"/>
              <w:rPr>
                <w:rFonts w:ascii="Times New Roman" w:hAnsi="Times New Roman" w:cs="Times New Roman"/>
                <w:b/>
                <w:bCs/>
                <w:sz w:val="20"/>
              </w:rPr>
            </w:pPr>
            <w:r w:rsidRPr="00FD66E9">
              <w:rPr>
                <w:rFonts w:ascii="Times New Roman" w:hAnsi="Times New Roman" w:cs="Times New Roman"/>
                <w:b/>
                <w:bCs/>
                <w:sz w:val="20"/>
              </w:rPr>
              <w:t>SRL</w:t>
            </w:r>
          </w:p>
        </w:tc>
        <w:tc>
          <w:tcPr>
            <w:tcW w:w="1134" w:type="dxa"/>
          </w:tcPr>
          <w:p w14:paraId="0E87642B"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0.17</w:t>
            </w:r>
          </w:p>
        </w:tc>
        <w:tc>
          <w:tcPr>
            <w:tcW w:w="1276" w:type="dxa"/>
          </w:tcPr>
          <w:p w14:paraId="7B1A8502"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3.44</w:t>
            </w:r>
          </w:p>
        </w:tc>
        <w:tc>
          <w:tcPr>
            <w:tcW w:w="1134" w:type="dxa"/>
          </w:tcPr>
          <w:p w14:paraId="436D9131"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5.63*</w:t>
            </w:r>
          </w:p>
        </w:tc>
        <w:tc>
          <w:tcPr>
            <w:tcW w:w="1276" w:type="dxa"/>
          </w:tcPr>
          <w:p w14:paraId="5D67DB31" w14:textId="77777777" w:rsidR="00C40F09" w:rsidRPr="00FD66E9" w:rsidRDefault="00C40F09" w:rsidP="00170D2F">
            <w:pPr>
              <w:spacing w:line="360" w:lineRule="auto"/>
              <w:jc w:val="both"/>
              <w:rPr>
                <w:rFonts w:ascii="Times New Roman" w:hAnsi="Times New Roman" w:cs="Times New Roman"/>
                <w:sz w:val="20"/>
              </w:rPr>
            </w:pPr>
            <w:r w:rsidRPr="004D10E1">
              <w:rPr>
                <w:rFonts w:ascii="Times New Roman" w:hAnsi="Times New Roman" w:cs="Times New Roman"/>
                <w:sz w:val="20"/>
              </w:rPr>
              <w:t>NA</w:t>
            </w:r>
          </w:p>
        </w:tc>
        <w:tc>
          <w:tcPr>
            <w:tcW w:w="850" w:type="dxa"/>
          </w:tcPr>
          <w:p w14:paraId="7450D132"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3.64</w:t>
            </w:r>
          </w:p>
        </w:tc>
        <w:tc>
          <w:tcPr>
            <w:tcW w:w="1134" w:type="dxa"/>
          </w:tcPr>
          <w:p w14:paraId="5B7668AB"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143.58***</w:t>
            </w:r>
          </w:p>
        </w:tc>
        <w:tc>
          <w:tcPr>
            <w:tcW w:w="1276" w:type="dxa"/>
          </w:tcPr>
          <w:p w14:paraId="689A4B8C" w14:textId="77777777" w:rsidR="00C40F09" w:rsidRPr="00FD66E9" w:rsidRDefault="00C40F09" w:rsidP="00170D2F">
            <w:pPr>
              <w:spacing w:line="360" w:lineRule="auto"/>
              <w:jc w:val="both"/>
              <w:rPr>
                <w:rFonts w:ascii="Times New Roman" w:hAnsi="Times New Roman" w:cs="Times New Roman"/>
                <w:sz w:val="20"/>
              </w:rPr>
            </w:pPr>
            <w:r w:rsidRPr="00FD66E9">
              <w:rPr>
                <w:rFonts w:ascii="Times New Roman" w:hAnsi="Times New Roman" w:cs="Times New Roman"/>
                <w:sz w:val="20"/>
              </w:rPr>
              <w:t>1.56</w:t>
            </w:r>
          </w:p>
        </w:tc>
      </w:tr>
    </w:tbl>
    <w:p w14:paraId="4D54FF11" w14:textId="30A2462D" w:rsidR="000A2F29" w:rsidRPr="00FD66E9" w:rsidRDefault="00C40F09" w:rsidP="00170D2F">
      <w:pPr>
        <w:spacing w:line="360" w:lineRule="auto"/>
        <w:jc w:val="both"/>
        <w:rPr>
          <w:rFonts w:ascii="Times New Roman" w:hAnsi="Times New Roman" w:cs="Times New Roman"/>
          <w:sz w:val="20"/>
        </w:rPr>
      </w:pPr>
      <w:r>
        <w:rPr>
          <w:rFonts w:ascii="Times New Roman" w:hAnsi="Times New Roman" w:cs="Times New Roman"/>
          <w:sz w:val="20"/>
        </w:rPr>
        <w:t xml:space="preserve">NA indicates that heterogeneity analysis could not be performed due to an insufficient number of field studies for that specific root trait. </w:t>
      </w:r>
    </w:p>
    <w:sectPr w:rsidR="000A2F29" w:rsidRPr="00FD66E9" w:rsidSect="0039245D">
      <w:pgSz w:w="11906" w:h="16838"/>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2077"/>
    <w:multiLevelType w:val="hybridMultilevel"/>
    <w:tmpl w:val="3A1495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FD635E"/>
    <w:multiLevelType w:val="hybridMultilevel"/>
    <w:tmpl w:val="B1B62C6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6183E0F"/>
    <w:multiLevelType w:val="hybridMultilevel"/>
    <w:tmpl w:val="C5A62004"/>
    <w:lvl w:ilvl="0" w:tplc="ED1E465C">
      <w:numFmt w:val="bullet"/>
      <w:lvlText w:val=""/>
      <w:lvlJc w:val="left"/>
      <w:pPr>
        <w:ind w:left="720" w:hanging="360"/>
      </w:pPr>
      <w:rPr>
        <w:rFonts w:ascii="Symbol" w:eastAsiaTheme="minorHAnsi"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A137865"/>
    <w:multiLevelType w:val="hybridMultilevel"/>
    <w:tmpl w:val="2E70D10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6D20442B"/>
    <w:multiLevelType w:val="hybridMultilevel"/>
    <w:tmpl w:val="CCA21AC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185360845">
    <w:abstractNumId w:val="0"/>
  </w:num>
  <w:num w:numId="2" w16cid:durableId="1890259908">
    <w:abstractNumId w:val="4"/>
  </w:num>
  <w:num w:numId="3" w16cid:durableId="1996183680">
    <w:abstractNumId w:val="2"/>
  </w:num>
  <w:num w:numId="4" w16cid:durableId="675037131">
    <w:abstractNumId w:val="3"/>
  </w:num>
  <w:num w:numId="5" w16cid:durableId="8968921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F93"/>
    <w:rsid w:val="00000B51"/>
    <w:rsid w:val="0000324D"/>
    <w:rsid w:val="000115A5"/>
    <w:rsid w:val="00015007"/>
    <w:rsid w:val="00015038"/>
    <w:rsid w:val="0001508E"/>
    <w:rsid w:val="0001545A"/>
    <w:rsid w:val="000172E5"/>
    <w:rsid w:val="00020CBB"/>
    <w:rsid w:val="000220D1"/>
    <w:rsid w:val="00022A73"/>
    <w:rsid w:val="00023F9C"/>
    <w:rsid w:val="00030050"/>
    <w:rsid w:val="000322B4"/>
    <w:rsid w:val="00034F62"/>
    <w:rsid w:val="00036AC2"/>
    <w:rsid w:val="000371F0"/>
    <w:rsid w:val="00037AF8"/>
    <w:rsid w:val="00040C00"/>
    <w:rsid w:val="00040ED1"/>
    <w:rsid w:val="00041BAE"/>
    <w:rsid w:val="00047BA6"/>
    <w:rsid w:val="00050B2B"/>
    <w:rsid w:val="0005238F"/>
    <w:rsid w:val="00053F18"/>
    <w:rsid w:val="000546E7"/>
    <w:rsid w:val="00055CAA"/>
    <w:rsid w:val="00061CB4"/>
    <w:rsid w:val="000643DD"/>
    <w:rsid w:val="000669D0"/>
    <w:rsid w:val="000759C7"/>
    <w:rsid w:val="00084652"/>
    <w:rsid w:val="00084B6E"/>
    <w:rsid w:val="000922B5"/>
    <w:rsid w:val="000923FF"/>
    <w:rsid w:val="00094D9C"/>
    <w:rsid w:val="000959C7"/>
    <w:rsid w:val="000A16D1"/>
    <w:rsid w:val="000A2F29"/>
    <w:rsid w:val="000A3F92"/>
    <w:rsid w:val="000A4CBB"/>
    <w:rsid w:val="000A4ED7"/>
    <w:rsid w:val="000A6193"/>
    <w:rsid w:val="000A71D5"/>
    <w:rsid w:val="000A78A8"/>
    <w:rsid w:val="000B08B6"/>
    <w:rsid w:val="000B1EF7"/>
    <w:rsid w:val="000B64D6"/>
    <w:rsid w:val="000B752B"/>
    <w:rsid w:val="000B7F9F"/>
    <w:rsid w:val="000C1EA5"/>
    <w:rsid w:val="000C4A4B"/>
    <w:rsid w:val="000C620F"/>
    <w:rsid w:val="000D5D60"/>
    <w:rsid w:val="000D5DB5"/>
    <w:rsid w:val="000E1823"/>
    <w:rsid w:val="000E2F61"/>
    <w:rsid w:val="000E47F7"/>
    <w:rsid w:val="000E56B7"/>
    <w:rsid w:val="000F042A"/>
    <w:rsid w:val="000F0887"/>
    <w:rsid w:val="000F5037"/>
    <w:rsid w:val="000F63DF"/>
    <w:rsid w:val="000F65A7"/>
    <w:rsid w:val="000F68D7"/>
    <w:rsid w:val="001002C1"/>
    <w:rsid w:val="00102623"/>
    <w:rsid w:val="001042FE"/>
    <w:rsid w:val="001123D3"/>
    <w:rsid w:val="0011734C"/>
    <w:rsid w:val="001326E5"/>
    <w:rsid w:val="00135FF8"/>
    <w:rsid w:val="00140036"/>
    <w:rsid w:val="001415DE"/>
    <w:rsid w:val="00141917"/>
    <w:rsid w:val="0014298E"/>
    <w:rsid w:val="001453A3"/>
    <w:rsid w:val="00145C6F"/>
    <w:rsid w:val="001476F3"/>
    <w:rsid w:val="001477DB"/>
    <w:rsid w:val="001526D4"/>
    <w:rsid w:val="00160948"/>
    <w:rsid w:val="00161905"/>
    <w:rsid w:val="001630ED"/>
    <w:rsid w:val="00163B75"/>
    <w:rsid w:val="00165543"/>
    <w:rsid w:val="00170D2F"/>
    <w:rsid w:val="00172008"/>
    <w:rsid w:val="00172334"/>
    <w:rsid w:val="00172C69"/>
    <w:rsid w:val="001757B8"/>
    <w:rsid w:val="001808CD"/>
    <w:rsid w:val="001838D4"/>
    <w:rsid w:val="001A4C69"/>
    <w:rsid w:val="001B1D1E"/>
    <w:rsid w:val="001C099A"/>
    <w:rsid w:val="001C173D"/>
    <w:rsid w:val="001D0353"/>
    <w:rsid w:val="001D08B6"/>
    <w:rsid w:val="001D6F3A"/>
    <w:rsid w:val="001D7153"/>
    <w:rsid w:val="001E727D"/>
    <w:rsid w:val="00205FFC"/>
    <w:rsid w:val="00211EC6"/>
    <w:rsid w:val="00212F0A"/>
    <w:rsid w:val="002142EE"/>
    <w:rsid w:val="00223DF7"/>
    <w:rsid w:val="00225308"/>
    <w:rsid w:val="00230A69"/>
    <w:rsid w:val="00235301"/>
    <w:rsid w:val="002365DD"/>
    <w:rsid w:val="00245BCC"/>
    <w:rsid w:val="00245C05"/>
    <w:rsid w:val="0024691E"/>
    <w:rsid w:val="002608C7"/>
    <w:rsid w:val="00263610"/>
    <w:rsid w:val="002666E2"/>
    <w:rsid w:val="00271524"/>
    <w:rsid w:val="00271CB5"/>
    <w:rsid w:val="002729CE"/>
    <w:rsid w:val="00274324"/>
    <w:rsid w:val="0027640A"/>
    <w:rsid w:val="00277516"/>
    <w:rsid w:val="00280CF5"/>
    <w:rsid w:val="0028394D"/>
    <w:rsid w:val="0028617F"/>
    <w:rsid w:val="0028658B"/>
    <w:rsid w:val="00291B22"/>
    <w:rsid w:val="00291C23"/>
    <w:rsid w:val="00293377"/>
    <w:rsid w:val="00293D89"/>
    <w:rsid w:val="0029495A"/>
    <w:rsid w:val="0029593E"/>
    <w:rsid w:val="002A1686"/>
    <w:rsid w:val="002B3D12"/>
    <w:rsid w:val="002B511F"/>
    <w:rsid w:val="002B7C1E"/>
    <w:rsid w:val="002C5398"/>
    <w:rsid w:val="002D3281"/>
    <w:rsid w:val="002D330A"/>
    <w:rsid w:val="002D3B3A"/>
    <w:rsid w:val="002D72F1"/>
    <w:rsid w:val="002E0EAF"/>
    <w:rsid w:val="002E4C35"/>
    <w:rsid w:val="002E5ECC"/>
    <w:rsid w:val="002E6090"/>
    <w:rsid w:val="002E7497"/>
    <w:rsid w:val="002F0C4D"/>
    <w:rsid w:val="002F2D12"/>
    <w:rsid w:val="002F328F"/>
    <w:rsid w:val="002F4480"/>
    <w:rsid w:val="002F488B"/>
    <w:rsid w:val="002F7EC4"/>
    <w:rsid w:val="0030189B"/>
    <w:rsid w:val="00307329"/>
    <w:rsid w:val="0031094D"/>
    <w:rsid w:val="00321511"/>
    <w:rsid w:val="00321E1C"/>
    <w:rsid w:val="003239EE"/>
    <w:rsid w:val="003246F6"/>
    <w:rsid w:val="00324E47"/>
    <w:rsid w:val="003255F0"/>
    <w:rsid w:val="0033141E"/>
    <w:rsid w:val="00333972"/>
    <w:rsid w:val="00333BA1"/>
    <w:rsid w:val="00335EE5"/>
    <w:rsid w:val="00340BFC"/>
    <w:rsid w:val="00341309"/>
    <w:rsid w:val="00342126"/>
    <w:rsid w:val="00343E0C"/>
    <w:rsid w:val="00344254"/>
    <w:rsid w:val="0034678F"/>
    <w:rsid w:val="0035672F"/>
    <w:rsid w:val="003663DB"/>
    <w:rsid w:val="003725AA"/>
    <w:rsid w:val="003732E2"/>
    <w:rsid w:val="003739DD"/>
    <w:rsid w:val="00382BA3"/>
    <w:rsid w:val="0038418E"/>
    <w:rsid w:val="00385F47"/>
    <w:rsid w:val="0039245D"/>
    <w:rsid w:val="00393121"/>
    <w:rsid w:val="0039501A"/>
    <w:rsid w:val="003A196A"/>
    <w:rsid w:val="003A40D7"/>
    <w:rsid w:val="003A6D51"/>
    <w:rsid w:val="003A713A"/>
    <w:rsid w:val="003B0001"/>
    <w:rsid w:val="003B331F"/>
    <w:rsid w:val="003B6400"/>
    <w:rsid w:val="003D10AA"/>
    <w:rsid w:val="003D1557"/>
    <w:rsid w:val="003D2ED4"/>
    <w:rsid w:val="003D495D"/>
    <w:rsid w:val="003E759E"/>
    <w:rsid w:val="003F02F2"/>
    <w:rsid w:val="003F2B11"/>
    <w:rsid w:val="003F332B"/>
    <w:rsid w:val="003F4F40"/>
    <w:rsid w:val="003F6499"/>
    <w:rsid w:val="003F7B05"/>
    <w:rsid w:val="00403A72"/>
    <w:rsid w:val="00403E18"/>
    <w:rsid w:val="00404B74"/>
    <w:rsid w:val="004055AF"/>
    <w:rsid w:val="0040726A"/>
    <w:rsid w:val="00412D4E"/>
    <w:rsid w:val="00413956"/>
    <w:rsid w:val="00415EF4"/>
    <w:rsid w:val="0042007A"/>
    <w:rsid w:val="00422221"/>
    <w:rsid w:val="00422854"/>
    <w:rsid w:val="004240CB"/>
    <w:rsid w:val="00424454"/>
    <w:rsid w:val="00426EF4"/>
    <w:rsid w:val="00437DBC"/>
    <w:rsid w:val="004409A3"/>
    <w:rsid w:val="0044227F"/>
    <w:rsid w:val="00447C11"/>
    <w:rsid w:val="00451983"/>
    <w:rsid w:val="004526D5"/>
    <w:rsid w:val="00454129"/>
    <w:rsid w:val="004626D6"/>
    <w:rsid w:val="0046319F"/>
    <w:rsid w:val="0046368C"/>
    <w:rsid w:val="00463DCB"/>
    <w:rsid w:val="00471896"/>
    <w:rsid w:val="004775FF"/>
    <w:rsid w:val="00480372"/>
    <w:rsid w:val="00485E98"/>
    <w:rsid w:val="0049455B"/>
    <w:rsid w:val="00495032"/>
    <w:rsid w:val="004A2A7F"/>
    <w:rsid w:val="004A4250"/>
    <w:rsid w:val="004A5628"/>
    <w:rsid w:val="004A5AC9"/>
    <w:rsid w:val="004A7B28"/>
    <w:rsid w:val="004B183F"/>
    <w:rsid w:val="004B2A34"/>
    <w:rsid w:val="004B2CAE"/>
    <w:rsid w:val="004B7D7C"/>
    <w:rsid w:val="004C2890"/>
    <w:rsid w:val="004C4612"/>
    <w:rsid w:val="004C5C8E"/>
    <w:rsid w:val="004D3C4E"/>
    <w:rsid w:val="004D67D6"/>
    <w:rsid w:val="004E0D1F"/>
    <w:rsid w:val="004E1457"/>
    <w:rsid w:val="004E1730"/>
    <w:rsid w:val="004E2445"/>
    <w:rsid w:val="004E541D"/>
    <w:rsid w:val="004E671F"/>
    <w:rsid w:val="004E7C1E"/>
    <w:rsid w:val="004F1008"/>
    <w:rsid w:val="004F293B"/>
    <w:rsid w:val="004F4BDF"/>
    <w:rsid w:val="005042F9"/>
    <w:rsid w:val="005172E1"/>
    <w:rsid w:val="00521783"/>
    <w:rsid w:val="00521AD3"/>
    <w:rsid w:val="00527099"/>
    <w:rsid w:val="00530674"/>
    <w:rsid w:val="00531874"/>
    <w:rsid w:val="005349CF"/>
    <w:rsid w:val="005360D3"/>
    <w:rsid w:val="00536C47"/>
    <w:rsid w:val="005430FA"/>
    <w:rsid w:val="00545D39"/>
    <w:rsid w:val="00553792"/>
    <w:rsid w:val="00557DAE"/>
    <w:rsid w:val="005632B6"/>
    <w:rsid w:val="00565256"/>
    <w:rsid w:val="00566CFE"/>
    <w:rsid w:val="00571A88"/>
    <w:rsid w:val="00571BF6"/>
    <w:rsid w:val="0057312A"/>
    <w:rsid w:val="00574488"/>
    <w:rsid w:val="00577C4C"/>
    <w:rsid w:val="00580364"/>
    <w:rsid w:val="005812E6"/>
    <w:rsid w:val="005818A7"/>
    <w:rsid w:val="00587769"/>
    <w:rsid w:val="00590D5E"/>
    <w:rsid w:val="00591013"/>
    <w:rsid w:val="00592E3F"/>
    <w:rsid w:val="00593049"/>
    <w:rsid w:val="005935DE"/>
    <w:rsid w:val="00594198"/>
    <w:rsid w:val="005942D7"/>
    <w:rsid w:val="0059777D"/>
    <w:rsid w:val="00597AA5"/>
    <w:rsid w:val="005A092C"/>
    <w:rsid w:val="005A0E08"/>
    <w:rsid w:val="005A0E61"/>
    <w:rsid w:val="005A2369"/>
    <w:rsid w:val="005A38FD"/>
    <w:rsid w:val="005A3C06"/>
    <w:rsid w:val="005A4A96"/>
    <w:rsid w:val="005A4BD0"/>
    <w:rsid w:val="005A60FD"/>
    <w:rsid w:val="005A7689"/>
    <w:rsid w:val="005B0E90"/>
    <w:rsid w:val="005B49F6"/>
    <w:rsid w:val="005C0620"/>
    <w:rsid w:val="005C39F8"/>
    <w:rsid w:val="005C5C95"/>
    <w:rsid w:val="005C6448"/>
    <w:rsid w:val="005C689C"/>
    <w:rsid w:val="005C7831"/>
    <w:rsid w:val="005D2D62"/>
    <w:rsid w:val="005D5393"/>
    <w:rsid w:val="005E663E"/>
    <w:rsid w:val="005F3239"/>
    <w:rsid w:val="005F5D4A"/>
    <w:rsid w:val="005F7DCD"/>
    <w:rsid w:val="00600A5B"/>
    <w:rsid w:val="00601095"/>
    <w:rsid w:val="006029B1"/>
    <w:rsid w:val="00620CB9"/>
    <w:rsid w:val="006219D9"/>
    <w:rsid w:val="0062679B"/>
    <w:rsid w:val="006268A7"/>
    <w:rsid w:val="00634B03"/>
    <w:rsid w:val="006354AF"/>
    <w:rsid w:val="006369B0"/>
    <w:rsid w:val="00637F58"/>
    <w:rsid w:val="00641D97"/>
    <w:rsid w:val="0064208F"/>
    <w:rsid w:val="00642ACD"/>
    <w:rsid w:val="00642B16"/>
    <w:rsid w:val="0065000A"/>
    <w:rsid w:val="00650D29"/>
    <w:rsid w:val="00653C15"/>
    <w:rsid w:val="00654489"/>
    <w:rsid w:val="00655615"/>
    <w:rsid w:val="00655F93"/>
    <w:rsid w:val="00662892"/>
    <w:rsid w:val="00667F3E"/>
    <w:rsid w:val="00670880"/>
    <w:rsid w:val="006713FB"/>
    <w:rsid w:val="0068443E"/>
    <w:rsid w:val="00684A61"/>
    <w:rsid w:val="00693E4B"/>
    <w:rsid w:val="0069491B"/>
    <w:rsid w:val="006950CA"/>
    <w:rsid w:val="006953EB"/>
    <w:rsid w:val="00697C7F"/>
    <w:rsid w:val="006A7943"/>
    <w:rsid w:val="006B26CF"/>
    <w:rsid w:val="006B3AFF"/>
    <w:rsid w:val="006B69B7"/>
    <w:rsid w:val="006C70E7"/>
    <w:rsid w:val="006E6184"/>
    <w:rsid w:val="006F1119"/>
    <w:rsid w:val="006F43E1"/>
    <w:rsid w:val="006F47B3"/>
    <w:rsid w:val="006F484F"/>
    <w:rsid w:val="006F6B94"/>
    <w:rsid w:val="006F7CD4"/>
    <w:rsid w:val="007018CE"/>
    <w:rsid w:val="00703770"/>
    <w:rsid w:val="007046CD"/>
    <w:rsid w:val="00705D00"/>
    <w:rsid w:val="00710531"/>
    <w:rsid w:val="00711406"/>
    <w:rsid w:val="00712A95"/>
    <w:rsid w:val="0071345B"/>
    <w:rsid w:val="00715D9F"/>
    <w:rsid w:val="0072099A"/>
    <w:rsid w:val="00727F0B"/>
    <w:rsid w:val="00730761"/>
    <w:rsid w:val="0073132F"/>
    <w:rsid w:val="007319F1"/>
    <w:rsid w:val="00732A2E"/>
    <w:rsid w:val="00733D91"/>
    <w:rsid w:val="00740301"/>
    <w:rsid w:val="00740DAA"/>
    <w:rsid w:val="007510A6"/>
    <w:rsid w:val="00757253"/>
    <w:rsid w:val="0075732F"/>
    <w:rsid w:val="00761459"/>
    <w:rsid w:val="0076497B"/>
    <w:rsid w:val="00764DF8"/>
    <w:rsid w:val="00765776"/>
    <w:rsid w:val="00766210"/>
    <w:rsid w:val="00766295"/>
    <w:rsid w:val="007670DF"/>
    <w:rsid w:val="00767A6B"/>
    <w:rsid w:val="007777A4"/>
    <w:rsid w:val="00777AB1"/>
    <w:rsid w:val="00781029"/>
    <w:rsid w:val="00782BDA"/>
    <w:rsid w:val="00784122"/>
    <w:rsid w:val="00784E34"/>
    <w:rsid w:val="0079022A"/>
    <w:rsid w:val="00792834"/>
    <w:rsid w:val="007B3F95"/>
    <w:rsid w:val="007B601D"/>
    <w:rsid w:val="007B7965"/>
    <w:rsid w:val="007C04BF"/>
    <w:rsid w:val="007C0CAB"/>
    <w:rsid w:val="007C142C"/>
    <w:rsid w:val="007C1664"/>
    <w:rsid w:val="007C193F"/>
    <w:rsid w:val="007C2066"/>
    <w:rsid w:val="007C31AC"/>
    <w:rsid w:val="007C449C"/>
    <w:rsid w:val="007C7558"/>
    <w:rsid w:val="007D134D"/>
    <w:rsid w:val="007D1C12"/>
    <w:rsid w:val="007D30F0"/>
    <w:rsid w:val="007D32E5"/>
    <w:rsid w:val="007D4AFD"/>
    <w:rsid w:val="007D6A14"/>
    <w:rsid w:val="007E3675"/>
    <w:rsid w:val="007E7A9D"/>
    <w:rsid w:val="007F31A5"/>
    <w:rsid w:val="007F338E"/>
    <w:rsid w:val="007F4AA5"/>
    <w:rsid w:val="007F57B4"/>
    <w:rsid w:val="008026DD"/>
    <w:rsid w:val="0081029C"/>
    <w:rsid w:val="00815796"/>
    <w:rsid w:val="008201E4"/>
    <w:rsid w:val="00821EC2"/>
    <w:rsid w:val="008222F6"/>
    <w:rsid w:val="00823C18"/>
    <w:rsid w:val="008253AA"/>
    <w:rsid w:val="008321DE"/>
    <w:rsid w:val="008324BC"/>
    <w:rsid w:val="00832EE5"/>
    <w:rsid w:val="00834DFC"/>
    <w:rsid w:val="0083696E"/>
    <w:rsid w:val="00845752"/>
    <w:rsid w:val="00845A35"/>
    <w:rsid w:val="00856041"/>
    <w:rsid w:val="00856768"/>
    <w:rsid w:val="00856F23"/>
    <w:rsid w:val="0086080F"/>
    <w:rsid w:val="00861E5D"/>
    <w:rsid w:val="00862CF8"/>
    <w:rsid w:val="008632EA"/>
    <w:rsid w:val="00864640"/>
    <w:rsid w:val="00870830"/>
    <w:rsid w:val="00872125"/>
    <w:rsid w:val="00875806"/>
    <w:rsid w:val="00876CC5"/>
    <w:rsid w:val="00880909"/>
    <w:rsid w:val="008815B7"/>
    <w:rsid w:val="00883DF4"/>
    <w:rsid w:val="00884BCB"/>
    <w:rsid w:val="00891A6B"/>
    <w:rsid w:val="008967E0"/>
    <w:rsid w:val="008A1289"/>
    <w:rsid w:val="008A1DF2"/>
    <w:rsid w:val="008A2DED"/>
    <w:rsid w:val="008A3AE2"/>
    <w:rsid w:val="008B3DBE"/>
    <w:rsid w:val="008B4BFD"/>
    <w:rsid w:val="008C203F"/>
    <w:rsid w:val="008C2091"/>
    <w:rsid w:val="008C58DA"/>
    <w:rsid w:val="008D00FF"/>
    <w:rsid w:val="008D104F"/>
    <w:rsid w:val="008D24B7"/>
    <w:rsid w:val="008D47C7"/>
    <w:rsid w:val="008D7738"/>
    <w:rsid w:val="008E1397"/>
    <w:rsid w:val="008E3041"/>
    <w:rsid w:val="008E46B3"/>
    <w:rsid w:val="008E5C16"/>
    <w:rsid w:val="008E7A79"/>
    <w:rsid w:val="008F3112"/>
    <w:rsid w:val="008F6093"/>
    <w:rsid w:val="00901D34"/>
    <w:rsid w:val="00903387"/>
    <w:rsid w:val="00904442"/>
    <w:rsid w:val="00907D60"/>
    <w:rsid w:val="00911578"/>
    <w:rsid w:val="00912862"/>
    <w:rsid w:val="00914ECF"/>
    <w:rsid w:val="0092076A"/>
    <w:rsid w:val="00920AF6"/>
    <w:rsid w:val="0092275F"/>
    <w:rsid w:val="009233BF"/>
    <w:rsid w:val="009242EF"/>
    <w:rsid w:val="009244CA"/>
    <w:rsid w:val="00924A74"/>
    <w:rsid w:val="00933814"/>
    <w:rsid w:val="00934088"/>
    <w:rsid w:val="00936659"/>
    <w:rsid w:val="00943EE8"/>
    <w:rsid w:val="00945BB0"/>
    <w:rsid w:val="00947438"/>
    <w:rsid w:val="00950F45"/>
    <w:rsid w:val="00951000"/>
    <w:rsid w:val="00951529"/>
    <w:rsid w:val="00952676"/>
    <w:rsid w:val="00965434"/>
    <w:rsid w:val="00972335"/>
    <w:rsid w:val="00975F41"/>
    <w:rsid w:val="009765FD"/>
    <w:rsid w:val="00977462"/>
    <w:rsid w:val="0098309C"/>
    <w:rsid w:val="00984893"/>
    <w:rsid w:val="00986EEB"/>
    <w:rsid w:val="009901FC"/>
    <w:rsid w:val="009918A1"/>
    <w:rsid w:val="00991F92"/>
    <w:rsid w:val="00993CF9"/>
    <w:rsid w:val="00996DB4"/>
    <w:rsid w:val="009A344F"/>
    <w:rsid w:val="009A5056"/>
    <w:rsid w:val="009B01A5"/>
    <w:rsid w:val="009B0937"/>
    <w:rsid w:val="009B5DF9"/>
    <w:rsid w:val="009C2BA6"/>
    <w:rsid w:val="009C3113"/>
    <w:rsid w:val="009C565E"/>
    <w:rsid w:val="009D7D66"/>
    <w:rsid w:val="009E2230"/>
    <w:rsid w:val="009E353C"/>
    <w:rsid w:val="009E3F8E"/>
    <w:rsid w:val="009F4957"/>
    <w:rsid w:val="009F4A19"/>
    <w:rsid w:val="009F7531"/>
    <w:rsid w:val="009F7E44"/>
    <w:rsid w:val="00A03801"/>
    <w:rsid w:val="00A0499A"/>
    <w:rsid w:val="00A0521A"/>
    <w:rsid w:val="00A073D6"/>
    <w:rsid w:val="00A077BD"/>
    <w:rsid w:val="00A11787"/>
    <w:rsid w:val="00A12A02"/>
    <w:rsid w:val="00A12C13"/>
    <w:rsid w:val="00A166B3"/>
    <w:rsid w:val="00A22EEF"/>
    <w:rsid w:val="00A3044D"/>
    <w:rsid w:val="00A30DB1"/>
    <w:rsid w:val="00A349A0"/>
    <w:rsid w:val="00A3681E"/>
    <w:rsid w:val="00A3731E"/>
    <w:rsid w:val="00A400FC"/>
    <w:rsid w:val="00A44007"/>
    <w:rsid w:val="00A44FF3"/>
    <w:rsid w:val="00A50148"/>
    <w:rsid w:val="00A528C6"/>
    <w:rsid w:val="00A53D42"/>
    <w:rsid w:val="00A5400C"/>
    <w:rsid w:val="00A5456D"/>
    <w:rsid w:val="00A54B05"/>
    <w:rsid w:val="00A60892"/>
    <w:rsid w:val="00A645DF"/>
    <w:rsid w:val="00A651F4"/>
    <w:rsid w:val="00A661D3"/>
    <w:rsid w:val="00A67A49"/>
    <w:rsid w:val="00A75D0A"/>
    <w:rsid w:val="00A80627"/>
    <w:rsid w:val="00A80813"/>
    <w:rsid w:val="00A907D7"/>
    <w:rsid w:val="00A97569"/>
    <w:rsid w:val="00AA19D8"/>
    <w:rsid w:val="00AA682B"/>
    <w:rsid w:val="00AB0906"/>
    <w:rsid w:val="00AB15EB"/>
    <w:rsid w:val="00AB1DF1"/>
    <w:rsid w:val="00AB7098"/>
    <w:rsid w:val="00AC02FA"/>
    <w:rsid w:val="00AC12FA"/>
    <w:rsid w:val="00AC1F4F"/>
    <w:rsid w:val="00AC2F55"/>
    <w:rsid w:val="00AC35AD"/>
    <w:rsid w:val="00AC39C5"/>
    <w:rsid w:val="00AC4DDC"/>
    <w:rsid w:val="00AD1366"/>
    <w:rsid w:val="00AD13D6"/>
    <w:rsid w:val="00AD1B95"/>
    <w:rsid w:val="00AD2756"/>
    <w:rsid w:val="00AD76FC"/>
    <w:rsid w:val="00AE428F"/>
    <w:rsid w:val="00AE4335"/>
    <w:rsid w:val="00AE619C"/>
    <w:rsid w:val="00AF4D14"/>
    <w:rsid w:val="00AF5837"/>
    <w:rsid w:val="00B00C12"/>
    <w:rsid w:val="00B023B6"/>
    <w:rsid w:val="00B03B28"/>
    <w:rsid w:val="00B06CA8"/>
    <w:rsid w:val="00B129FA"/>
    <w:rsid w:val="00B15A7C"/>
    <w:rsid w:val="00B15F21"/>
    <w:rsid w:val="00B20D62"/>
    <w:rsid w:val="00B303E9"/>
    <w:rsid w:val="00B305E7"/>
    <w:rsid w:val="00B321D2"/>
    <w:rsid w:val="00B445B0"/>
    <w:rsid w:val="00B4511E"/>
    <w:rsid w:val="00B45D1B"/>
    <w:rsid w:val="00B4644B"/>
    <w:rsid w:val="00B540CF"/>
    <w:rsid w:val="00B55B28"/>
    <w:rsid w:val="00B62677"/>
    <w:rsid w:val="00B656AC"/>
    <w:rsid w:val="00B66FF3"/>
    <w:rsid w:val="00B67846"/>
    <w:rsid w:val="00B70303"/>
    <w:rsid w:val="00B72E56"/>
    <w:rsid w:val="00B75344"/>
    <w:rsid w:val="00B75F62"/>
    <w:rsid w:val="00B81AF5"/>
    <w:rsid w:val="00B82AC7"/>
    <w:rsid w:val="00B852D4"/>
    <w:rsid w:val="00B87089"/>
    <w:rsid w:val="00BA33B8"/>
    <w:rsid w:val="00BA4CC2"/>
    <w:rsid w:val="00BA5EB5"/>
    <w:rsid w:val="00BB20A2"/>
    <w:rsid w:val="00BB26B2"/>
    <w:rsid w:val="00BB3796"/>
    <w:rsid w:val="00BB4956"/>
    <w:rsid w:val="00BB6D9F"/>
    <w:rsid w:val="00BC1E07"/>
    <w:rsid w:val="00BC3BF9"/>
    <w:rsid w:val="00BD3356"/>
    <w:rsid w:val="00BD6F81"/>
    <w:rsid w:val="00BE0204"/>
    <w:rsid w:val="00BE767A"/>
    <w:rsid w:val="00BF3BB1"/>
    <w:rsid w:val="00BF63C7"/>
    <w:rsid w:val="00BF6C87"/>
    <w:rsid w:val="00C019E5"/>
    <w:rsid w:val="00C03B81"/>
    <w:rsid w:val="00C06525"/>
    <w:rsid w:val="00C06F79"/>
    <w:rsid w:val="00C0761D"/>
    <w:rsid w:val="00C13FE3"/>
    <w:rsid w:val="00C23347"/>
    <w:rsid w:val="00C2485E"/>
    <w:rsid w:val="00C303F8"/>
    <w:rsid w:val="00C30C83"/>
    <w:rsid w:val="00C355A0"/>
    <w:rsid w:val="00C40F09"/>
    <w:rsid w:val="00C41413"/>
    <w:rsid w:val="00C42A37"/>
    <w:rsid w:val="00C42BA8"/>
    <w:rsid w:val="00C441E0"/>
    <w:rsid w:val="00C449D2"/>
    <w:rsid w:val="00C45702"/>
    <w:rsid w:val="00C52DAF"/>
    <w:rsid w:val="00C53DA6"/>
    <w:rsid w:val="00C55370"/>
    <w:rsid w:val="00C56480"/>
    <w:rsid w:val="00C66E61"/>
    <w:rsid w:val="00C6742C"/>
    <w:rsid w:val="00C72D06"/>
    <w:rsid w:val="00C740ED"/>
    <w:rsid w:val="00C762FF"/>
    <w:rsid w:val="00C763E2"/>
    <w:rsid w:val="00C771A0"/>
    <w:rsid w:val="00C8308F"/>
    <w:rsid w:val="00C836D1"/>
    <w:rsid w:val="00C90588"/>
    <w:rsid w:val="00C907E1"/>
    <w:rsid w:val="00C92018"/>
    <w:rsid w:val="00C945D0"/>
    <w:rsid w:val="00C97FFB"/>
    <w:rsid w:val="00CA0546"/>
    <w:rsid w:val="00CA1EB8"/>
    <w:rsid w:val="00CA2140"/>
    <w:rsid w:val="00CA2C06"/>
    <w:rsid w:val="00CA720B"/>
    <w:rsid w:val="00CA7C50"/>
    <w:rsid w:val="00CB1701"/>
    <w:rsid w:val="00CB7D0C"/>
    <w:rsid w:val="00CC2A18"/>
    <w:rsid w:val="00CC4D95"/>
    <w:rsid w:val="00CD3492"/>
    <w:rsid w:val="00CE223C"/>
    <w:rsid w:val="00CE5E0C"/>
    <w:rsid w:val="00CE7B02"/>
    <w:rsid w:val="00CF1BBF"/>
    <w:rsid w:val="00CF234C"/>
    <w:rsid w:val="00CF5A03"/>
    <w:rsid w:val="00CF77E5"/>
    <w:rsid w:val="00D006A1"/>
    <w:rsid w:val="00D03D64"/>
    <w:rsid w:val="00D14673"/>
    <w:rsid w:val="00D149B9"/>
    <w:rsid w:val="00D14DF2"/>
    <w:rsid w:val="00D22B99"/>
    <w:rsid w:val="00D2479C"/>
    <w:rsid w:val="00D2646F"/>
    <w:rsid w:val="00D26E2F"/>
    <w:rsid w:val="00D31BE3"/>
    <w:rsid w:val="00D3568A"/>
    <w:rsid w:val="00D4705D"/>
    <w:rsid w:val="00D4710D"/>
    <w:rsid w:val="00D51820"/>
    <w:rsid w:val="00D52E85"/>
    <w:rsid w:val="00D5409E"/>
    <w:rsid w:val="00D56853"/>
    <w:rsid w:val="00D56E7E"/>
    <w:rsid w:val="00D616CF"/>
    <w:rsid w:val="00D62372"/>
    <w:rsid w:val="00D70E15"/>
    <w:rsid w:val="00D75AE8"/>
    <w:rsid w:val="00D80E8D"/>
    <w:rsid w:val="00D82005"/>
    <w:rsid w:val="00D8237A"/>
    <w:rsid w:val="00D8376D"/>
    <w:rsid w:val="00D85E10"/>
    <w:rsid w:val="00D9295F"/>
    <w:rsid w:val="00D92D50"/>
    <w:rsid w:val="00D93FDE"/>
    <w:rsid w:val="00D977B5"/>
    <w:rsid w:val="00DA209C"/>
    <w:rsid w:val="00DA32B8"/>
    <w:rsid w:val="00DA4162"/>
    <w:rsid w:val="00DA6F41"/>
    <w:rsid w:val="00DA7CE2"/>
    <w:rsid w:val="00DB5815"/>
    <w:rsid w:val="00DC2909"/>
    <w:rsid w:val="00DC2FAE"/>
    <w:rsid w:val="00DD19E7"/>
    <w:rsid w:val="00DD27FD"/>
    <w:rsid w:val="00DE40BF"/>
    <w:rsid w:val="00DE4631"/>
    <w:rsid w:val="00DE6189"/>
    <w:rsid w:val="00DE72AE"/>
    <w:rsid w:val="00DF2B6F"/>
    <w:rsid w:val="00E01DAB"/>
    <w:rsid w:val="00E01F40"/>
    <w:rsid w:val="00E03A7E"/>
    <w:rsid w:val="00E051DC"/>
    <w:rsid w:val="00E07214"/>
    <w:rsid w:val="00E16983"/>
    <w:rsid w:val="00E21ECF"/>
    <w:rsid w:val="00E26AA5"/>
    <w:rsid w:val="00E30415"/>
    <w:rsid w:val="00E33126"/>
    <w:rsid w:val="00E33B7F"/>
    <w:rsid w:val="00E34D86"/>
    <w:rsid w:val="00E359FD"/>
    <w:rsid w:val="00E36450"/>
    <w:rsid w:val="00E37349"/>
    <w:rsid w:val="00E448D2"/>
    <w:rsid w:val="00E45A5D"/>
    <w:rsid w:val="00E46AD1"/>
    <w:rsid w:val="00E5159E"/>
    <w:rsid w:val="00E60088"/>
    <w:rsid w:val="00E6081F"/>
    <w:rsid w:val="00E7024E"/>
    <w:rsid w:val="00E7470C"/>
    <w:rsid w:val="00E7627F"/>
    <w:rsid w:val="00E776BA"/>
    <w:rsid w:val="00E85F31"/>
    <w:rsid w:val="00E90D2F"/>
    <w:rsid w:val="00E95B7E"/>
    <w:rsid w:val="00E95CAF"/>
    <w:rsid w:val="00E95E36"/>
    <w:rsid w:val="00E96C8B"/>
    <w:rsid w:val="00E97A80"/>
    <w:rsid w:val="00EA0AAD"/>
    <w:rsid w:val="00EA110A"/>
    <w:rsid w:val="00EA1204"/>
    <w:rsid w:val="00EA13C2"/>
    <w:rsid w:val="00EA4413"/>
    <w:rsid w:val="00EA5E61"/>
    <w:rsid w:val="00EA7B05"/>
    <w:rsid w:val="00EB0905"/>
    <w:rsid w:val="00EB39CB"/>
    <w:rsid w:val="00EB39F2"/>
    <w:rsid w:val="00EB3B85"/>
    <w:rsid w:val="00EB404C"/>
    <w:rsid w:val="00EC356E"/>
    <w:rsid w:val="00ED2EB2"/>
    <w:rsid w:val="00EE4AA3"/>
    <w:rsid w:val="00EE6B9A"/>
    <w:rsid w:val="00EF43F1"/>
    <w:rsid w:val="00EF7F7C"/>
    <w:rsid w:val="00F01C56"/>
    <w:rsid w:val="00F04830"/>
    <w:rsid w:val="00F049F5"/>
    <w:rsid w:val="00F10DC7"/>
    <w:rsid w:val="00F11C1F"/>
    <w:rsid w:val="00F15211"/>
    <w:rsid w:val="00F217FC"/>
    <w:rsid w:val="00F21B43"/>
    <w:rsid w:val="00F224D1"/>
    <w:rsid w:val="00F3036A"/>
    <w:rsid w:val="00F30401"/>
    <w:rsid w:val="00F332F7"/>
    <w:rsid w:val="00F33E37"/>
    <w:rsid w:val="00F35EC2"/>
    <w:rsid w:val="00F37DF6"/>
    <w:rsid w:val="00F40228"/>
    <w:rsid w:val="00F41F5D"/>
    <w:rsid w:val="00F45C87"/>
    <w:rsid w:val="00F472A8"/>
    <w:rsid w:val="00F47FE7"/>
    <w:rsid w:val="00F50665"/>
    <w:rsid w:val="00F52A43"/>
    <w:rsid w:val="00F53509"/>
    <w:rsid w:val="00F547AD"/>
    <w:rsid w:val="00F5529F"/>
    <w:rsid w:val="00F55850"/>
    <w:rsid w:val="00F621AD"/>
    <w:rsid w:val="00F647E3"/>
    <w:rsid w:val="00F64C5A"/>
    <w:rsid w:val="00F66320"/>
    <w:rsid w:val="00F77F9E"/>
    <w:rsid w:val="00F808CC"/>
    <w:rsid w:val="00F821BD"/>
    <w:rsid w:val="00F84B08"/>
    <w:rsid w:val="00F87351"/>
    <w:rsid w:val="00F90E97"/>
    <w:rsid w:val="00F92534"/>
    <w:rsid w:val="00F961C6"/>
    <w:rsid w:val="00FA356F"/>
    <w:rsid w:val="00FA7FAC"/>
    <w:rsid w:val="00FB1AAD"/>
    <w:rsid w:val="00FB3A46"/>
    <w:rsid w:val="00FB65DF"/>
    <w:rsid w:val="00FB6C21"/>
    <w:rsid w:val="00FB74A3"/>
    <w:rsid w:val="00FC111B"/>
    <w:rsid w:val="00FC164F"/>
    <w:rsid w:val="00FC26AD"/>
    <w:rsid w:val="00FC405E"/>
    <w:rsid w:val="00FC48D1"/>
    <w:rsid w:val="00FC59F5"/>
    <w:rsid w:val="00FD0359"/>
    <w:rsid w:val="00FD069B"/>
    <w:rsid w:val="00FD4621"/>
    <w:rsid w:val="00FD66E9"/>
    <w:rsid w:val="00FE786E"/>
    <w:rsid w:val="00FE7E5A"/>
    <w:rsid w:val="00FF38D4"/>
    <w:rsid w:val="00FF4BA1"/>
    <w:rsid w:val="00FF5873"/>
    <w:rsid w:val="038A2DDC"/>
    <w:rsid w:val="0C493056"/>
    <w:rsid w:val="21669E5E"/>
    <w:rsid w:val="3BA0FCDC"/>
    <w:rsid w:val="56D3EE44"/>
    <w:rsid w:val="5F01F5E7"/>
    <w:rsid w:val="6653F0E6"/>
    <w:rsid w:val="7168A918"/>
    <w:rsid w:val="75DF26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374E28"/>
  <w15:chartTrackingRefBased/>
  <w15:docId w15:val="{A6C12A9A-12F3-4A7B-B110-254E11D7B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ne-NP"/>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5F93"/>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655F93"/>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655F93"/>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655F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5F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5F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5F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5F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5F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F93"/>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655F93"/>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655F93"/>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655F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5F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5F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5F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5F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5F93"/>
    <w:rPr>
      <w:rFonts w:eastAsiaTheme="majorEastAsia" w:cstheme="majorBidi"/>
      <w:color w:val="272727" w:themeColor="text1" w:themeTint="D8"/>
    </w:rPr>
  </w:style>
  <w:style w:type="paragraph" w:styleId="Title">
    <w:name w:val="Title"/>
    <w:basedOn w:val="Normal"/>
    <w:next w:val="Normal"/>
    <w:link w:val="TitleChar"/>
    <w:uiPriority w:val="10"/>
    <w:qFormat/>
    <w:rsid w:val="00655F93"/>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655F93"/>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655F93"/>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655F93"/>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655F93"/>
    <w:pPr>
      <w:spacing w:before="160"/>
      <w:jc w:val="center"/>
    </w:pPr>
    <w:rPr>
      <w:i/>
      <w:iCs/>
      <w:color w:val="404040" w:themeColor="text1" w:themeTint="BF"/>
    </w:rPr>
  </w:style>
  <w:style w:type="character" w:customStyle="1" w:styleId="QuoteChar">
    <w:name w:val="Quote Char"/>
    <w:basedOn w:val="DefaultParagraphFont"/>
    <w:link w:val="Quote"/>
    <w:uiPriority w:val="29"/>
    <w:rsid w:val="00655F93"/>
    <w:rPr>
      <w:i/>
      <w:iCs/>
      <w:color w:val="404040" w:themeColor="text1" w:themeTint="BF"/>
    </w:rPr>
  </w:style>
  <w:style w:type="paragraph" w:styleId="ListParagraph">
    <w:name w:val="List Paragraph"/>
    <w:basedOn w:val="Normal"/>
    <w:uiPriority w:val="34"/>
    <w:qFormat/>
    <w:rsid w:val="00655F93"/>
    <w:pPr>
      <w:ind w:left="720"/>
      <w:contextualSpacing/>
    </w:pPr>
  </w:style>
  <w:style w:type="character" w:styleId="IntenseEmphasis">
    <w:name w:val="Intense Emphasis"/>
    <w:basedOn w:val="DefaultParagraphFont"/>
    <w:uiPriority w:val="21"/>
    <w:qFormat/>
    <w:rsid w:val="00655F93"/>
    <w:rPr>
      <w:i/>
      <w:iCs/>
      <w:color w:val="0F4761" w:themeColor="accent1" w:themeShade="BF"/>
    </w:rPr>
  </w:style>
  <w:style w:type="paragraph" w:styleId="IntenseQuote">
    <w:name w:val="Intense Quote"/>
    <w:basedOn w:val="Normal"/>
    <w:next w:val="Normal"/>
    <w:link w:val="IntenseQuoteChar"/>
    <w:uiPriority w:val="30"/>
    <w:qFormat/>
    <w:rsid w:val="00655F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5F93"/>
    <w:rPr>
      <w:i/>
      <w:iCs/>
      <w:color w:val="0F4761" w:themeColor="accent1" w:themeShade="BF"/>
    </w:rPr>
  </w:style>
  <w:style w:type="character" w:styleId="IntenseReference">
    <w:name w:val="Intense Reference"/>
    <w:basedOn w:val="DefaultParagraphFont"/>
    <w:uiPriority w:val="32"/>
    <w:qFormat/>
    <w:rsid w:val="00655F93"/>
    <w:rPr>
      <w:b/>
      <w:bCs/>
      <w:smallCaps/>
      <w:color w:val="0F4761" w:themeColor="accent1" w:themeShade="BF"/>
      <w:spacing w:val="5"/>
    </w:rPr>
  </w:style>
  <w:style w:type="table" w:styleId="TableGrid">
    <w:name w:val="Table Grid"/>
    <w:basedOn w:val="TableNormal"/>
    <w:uiPriority w:val="39"/>
    <w:rsid w:val="00FF5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FF587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FF587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D616CF"/>
    <w:pPr>
      <w:spacing w:after="200" w:line="240" w:lineRule="auto"/>
    </w:pPr>
    <w:rPr>
      <w:i/>
      <w:iCs/>
      <w:color w:val="0E2841" w:themeColor="text2"/>
      <w:sz w:val="18"/>
      <w:szCs w:val="16"/>
    </w:rPr>
  </w:style>
  <w:style w:type="paragraph" w:styleId="CommentText">
    <w:name w:val="annotation text"/>
    <w:basedOn w:val="Normal"/>
    <w:link w:val="CommentTextChar"/>
    <w:uiPriority w:val="99"/>
    <w:unhideWhenUsed/>
    <w:rsid w:val="00D616CF"/>
    <w:pPr>
      <w:spacing w:line="240" w:lineRule="auto"/>
    </w:pPr>
    <w:rPr>
      <w:sz w:val="20"/>
      <w:szCs w:val="18"/>
    </w:rPr>
  </w:style>
  <w:style w:type="character" w:customStyle="1" w:styleId="CommentTextChar">
    <w:name w:val="Comment Text Char"/>
    <w:basedOn w:val="DefaultParagraphFont"/>
    <w:link w:val="CommentText"/>
    <w:uiPriority w:val="99"/>
    <w:rsid w:val="00D616CF"/>
    <w:rPr>
      <w:sz w:val="20"/>
      <w:szCs w:val="18"/>
    </w:rPr>
  </w:style>
  <w:style w:type="character" w:styleId="CommentReference">
    <w:name w:val="annotation reference"/>
    <w:basedOn w:val="DefaultParagraphFont"/>
    <w:uiPriority w:val="99"/>
    <w:semiHidden/>
    <w:unhideWhenUsed/>
    <w:rsid w:val="00D616CF"/>
    <w:rPr>
      <w:sz w:val="16"/>
      <w:szCs w:val="16"/>
    </w:rPr>
  </w:style>
  <w:style w:type="paragraph" w:styleId="Bibliography">
    <w:name w:val="Bibliography"/>
    <w:basedOn w:val="Normal"/>
    <w:next w:val="Normal"/>
    <w:uiPriority w:val="37"/>
    <w:unhideWhenUsed/>
    <w:rsid w:val="000C1EA5"/>
    <w:pPr>
      <w:spacing w:after="0" w:line="240" w:lineRule="auto"/>
      <w:ind w:left="720" w:hanging="720"/>
    </w:pPr>
  </w:style>
  <w:style w:type="character" w:styleId="LineNumber">
    <w:name w:val="line number"/>
    <w:basedOn w:val="DefaultParagraphFont"/>
    <w:uiPriority w:val="99"/>
    <w:semiHidden/>
    <w:unhideWhenUsed/>
    <w:rsid w:val="00E95E36"/>
  </w:style>
  <w:style w:type="character" w:styleId="Hyperlink">
    <w:name w:val="Hyperlink"/>
    <w:basedOn w:val="DefaultParagraphFont"/>
    <w:uiPriority w:val="99"/>
    <w:unhideWhenUsed/>
    <w:rsid w:val="00A11787"/>
    <w:rPr>
      <w:color w:val="467886"/>
      <w:u w:val="single"/>
    </w:rPr>
  </w:style>
  <w:style w:type="character" w:styleId="UnresolvedMention">
    <w:name w:val="Unresolved Mention"/>
    <w:basedOn w:val="DefaultParagraphFont"/>
    <w:uiPriority w:val="99"/>
    <w:semiHidden/>
    <w:unhideWhenUsed/>
    <w:rsid w:val="00A11787"/>
    <w:rPr>
      <w:color w:val="605E5C"/>
      <w:shd w:val="clear" w:color="auto" w:fill="E1DFDD"/>
    </w:rPr>
  </w:style>
  <w:style w:type="paragraph" w:styleId="Revision">
    <w:name w:val="Revision"/>
    <w:hidden/>
    <w:uiPriority w:val="99"/>
    <w:semiHidden/>
    <w:rsid w:val="00B66FF3"/>
    <w:pPr>
      <w:spacing w:after="0" w:line="240" w:lineRule="auto"/>
    </w:pPr>
  </w:style>
  <w:style w:type="paragraph" w:styleId="CommentSubject">
    <w:name w:val="annotation subject"/>
    <w:basedOn w:val="CommentText"/>
    <w:next w:val="CommentText"/>
    <w:link w:val="CommentSubjectChar"/>
    <w:uiPriority w:val="99"/>
    <w:semiHidden/>
    <w:unhideWhenUsed/>
    <w:rsid w:val="00CB1701"/>
    <w:rPr>
      <w:b/>
      <w:bCs/>
    </w:rPr>
  </w:style>
  <w:style w:type="character" w:customStyle="1" w:styleId="CommentSubjectChar">
    <w:name w:val="Comment Subject Char"/>
    <w:basedOn w:val="CommentTextChar"/>
    <w:link w:val="CommentSubject"/>
    <w:uiPriority w:val="99"/>
    <w:semiHidden/>
    <w:rsid w:val="00CB1701"/>
    <w:rPr>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51/agro:19961004" TargetMode="External"/><Relationship Id="rId21" Type="http://schemas.openxmlformats.org/officeDocument/2006/relationships/hyperlink" Target="https://doi.org/10.1007/s00572-008-0184-3" TargetMode="External"/><Relationship Id="rId42" Type="http://schemas.openxmlformats.org/officeDocument/2006/relationships/hyperlink" Target="https://doi.org/10.15835/nbha49112209" TargetMode="External"/><Relationship Id="rId47" Type="http://schemas.openxmlformats.org/officeDocument/2006/relationships/hyperlink" Target="https://doi.org/10.3390/su15129782" TargetMode="External"/><Relationship Id="rId63" Type="http://schemas.openxmlformats.org/officeDocument/2006/relationships/hyperlink" Target="https://doi.org/10.1023/A:1026430019738" TargetMode="External"/><Relationship Id="rId68" Type="http://schemas.openxmlformats.org/officeDocument/2006/relationships/hyperlink" Target="https://doi.org/10.1093/aob/mcw074" TargetMode="External"/><Relationship Id="rId2" Type="http://schemas.openxmlformats.org/officeDocument/2006/relationships/styles" Target="styles.xml"/><Relationship Id="rId16" Type="http://schemas.openxmlformats.org/officeDocument/2006/relationships/hyperlink" Target="https://doi.org/10.1080/17429145.2013.770928" TargetMode="External"/><Relationship Id="rId29" Type="http://schemas.openxmlformats.org/officeDocument/2006/relationships/hyperlink" Target="https://doi.org/10.1111/j.1365-2672.2009.04414.x" TargetMode="External"/><Relationship Id="rId11" Type="http://schemas.openxmlformats.org/officeDocument/2006/relationships/image" Target="media/image7.tiff"/><Relationship Id="rId24" Type="http://schemas.openxmlformats.org/officeDocument/2006/relationships/hyperlink" Target="https://doi.org/10.3390/plants11091176" TargetMode="External"/><Relationship Id="rId32" Type="http://schemas.openxmlformats.org/officeDocument/2006/relationships/hyperlink" Target="https://doi.org/10.1007/s00572-023-01126-4" TargetMode="External"/><Relationship Id="rId37" Type="http://schemas.openxmlformats.org/officeDocument/2006/relationships/hyperlink" Target="https://doi.org/10.1016/S0304-4238(01)00341-7" TargetMode="External"/><Relationship Id="rId40" Type="http://schemas.openxmlformats.org/officeDocument/2006/relationships/hyperlink" Target="https://doi.org/10.1371/journal.pone.0061329" TargetMode="External"/><Relationship Id="rId45" Type="http://schemas.openxmlformats.org/officeDocument/2006/relationships/hyperlink" Target="https://doi.org/10.1016/j.apsoil.2021.104371" TargetMode="External"/><Relationship Id="rId53" Type="http://schemas.openxmlformats.org/officeDocument/2006/relationships/hyperlink" Target="https://doi.org/10.1002/pld3.192" TargetMode="External"/><Relationship Id="rId58" Type="http://schemas.openxmlformats.org/officeDocument/2006/relationships/hyperlink" Target="https://doi.org/10.1016/j.sajb.2013.09.007" TargetMode="External"/><Relationship Id="rId66" Type="http://schemas.openxmlformats.org/officeDocument/2006/relationships/hyperlink" Target="https://doi.org/10.1111/tpj.12045" TargetMode="External"/><Relationship Id="rId74" Type="http://schemas.openxmlformats.org/officeDocument/2006/relationships/fontTable" Target="fontTable.xml"/><Relationship Id="rId5" Type="http://schemas.openxmlformats.org/officeDocument/2006/relationships/image" Target="media/image1.tiff"/><Relationship Id="rId61" Type="http://schemas.openxmlformats.org/officeDocument/2006/relationships/hyperlink" Target="https://doi.org/10.1007/s10725-023-01053-6" TargetMode="External"/><Relationship Id="rId19" Type="http://schemas.openxmlformats.org/officeDocument/2006/relationships/hyperlink" Target="https://doi.org/10.1016/j.soilbio.2012.09.024" TargetMode="External"/><Relationship Id="rId14" Type="http://schemas.openxmlformats.org/officeDocument/2006/relationships/hyperlink" Target="https://doi.org/10.1007/s00572-020-00992-6" TargetMode="External"/><Relationship Id="rId22" Type="http://schemas.openxmlformats.org/officeDocument/2006/relationships/hyperlink" Target="https://doi.org/10.3390/plants11010089" TargetMode="External"/><Relationship Id="rId27" Type="http://schemas.openxmlformats.org/officeDocument/2006/relationships/hyperlink" Target="https://doi.org/10.1002/jpln.201700228" TargetMode="External"/><Relationship Id="rId30" Type="http://schemas.openxmlformats.org/officeDocument/2006/relationships/hyperlink" Target="https://doi.org/10.1007/s00344-024-11319-6" TargetMode="External"/><Relationship Id="rId35" Type="http://schemas.openxmlformats.org/officeDocument/2006/relationships/hyperlink" Target="https://doi.org/10.1093/aob/mcad095" TargetMode="External"/><Relationship Id="rId43" Type="http://schemas.openxmlformats.org/officeDocument/2006/relationships/hyperlink" Target="https://doi.org/10.3390/plants11223105" TargetMode="External"/><Relationship Id="rId48" Type="http://schemas.openxmlformats.org/officeDocument/2006/relationships/hyperlink" Target="https://doi.org/10.1080/11263504.2020.1810802" TargetMode="External"/><Relationship Id="rId56" Type="http://schemas.openxmlformats.org/officeDocument/2006/relationships/hyperlink" Target="https://doi.org/10.3390/agronomy13082003" TargetMode="External"/><Relationship Id="rId64" Type="http://schemas.openxmlformats.org/officeDocument/2006/relationships/hyperlink" Target="https://doi.org/10.1016/j.rhisph.2017.04.008" TargetMode="External"/><Relationship Id="rId69" Type="http://schemas.openxmlformats.org/officeDocument/2006/relationships/hyperlink" Target="https://doi.org/10.1007/s11104-019-04396-0" TargetMode="External"/><Relationship Id="rId8" Type="http://schemas.openxmlformats.org/officeDocument/2006/relationships/image" Target="media/image4.tiff"/><Relationship Id="rId51" Type="http://schemas.openxmlformats.org/officeDocument/2006/relationships/hyperlink" Target="https://doi.org/10.3389/fpls.2022.975558" TargetMode="External"/><Relationship Id="rId72" Type="http://schemas.openxmlformats.org/officeDocument/2006/relationships/hyperlink" Target="https://doi.org/10.1007/s42729-023-01347-8" TargetMode="External"/><Relationship Id="rId3" Type="http://schemas.openxmlformats.org/officeDocument/2006/relationships/settings" Target="settings.xml"/><Relationship Id="rId12" Type="http://schemas.openxmlformats.org/officeDocument/2006/relationships/image" Target="media/image8.tiff"/><Relationship Id="rId17" Type="http://schemas.openxmlformats.org/officeDocument/2006/relationships/hyperlink" Target="https://doi.org/10.1186/s12870-024-05710-4" TargetMode="External"/><Relationship Id="rId25" Type="http://schemas.openxmlformats.org/officeDocument/2006/relationships/hyperlink" Target="https://doi.org/10.3390/agronomy14123006" TargetMode="External"/><Relationship Id="rId33" Type="http://schemas.openxmlformats.org/officeDocument/2006/relationships/hyperlink" Target="https://doi.org/10.1016/j.sajb.2019.09.018" TargetMode="External"/><Relationship Id="rId38" Type="http://schemas.openxmlformats.org/officeDocument/2006/relationships/hyperlink" Target="https://doi.org/10.1186/s13007-021-00798-3" TargetMode="External"/><Relationship Id="rId46" Type="http://schemas.openxmlformats.org/officeDocument/2006/relationships/hyperlink" Target="https://doi.org/10.3389/fpls.2023.1206047" TargetMode="External"/><Relationship Id="rId59" Type="http://schemas.openxmlformats.org/officeDocument/2006/relationships/hyperlink" Target="https://doi.org/10.1016/j.pmpp.2014.08.002" TargetMode="External"/><Relationship Id="rId67" Type="http://schemas.openxmlformats.org/officeDocument/2006/relationships/hyperlink" Target="https://doi.org/10.1007/s00572-010-0319-1" TargetMode="External"/><Relationship Id="rId20" Type="http://schemas.openxmlformats.org/officeDocument/2006/relationships/hyperlink" Target="https://doi.org/10.3390/ijms241210262" TargetMode="External"/><Relationship Id="rId41" Type="http://schemas.openxmlformats.org/officeDocument/2006/relationships/hyperlink" Target="https://doi.org/10.3390/agronomy12051063" TargetMode="External"/><Relationship Id="rId54" Type="http://schemas.openxmlformats.org/officeDocument/2006/relationships/hyperlink" Target="https://doi.org/10.1080/14620316.2008.11512413" TargetMode="External"/><Relationship Id="rId62" Type="http://schemas.openxmlformats.org/officeDocument/2006/relationships/hyperlink" Target="https://doi.org/10.3390/agronomy13102580" TargetMode="External"/><Relationship Id="rId70" Type="http://schemas.openxmlformats.org/officeDocument/2006/relationships/hyperlink" Target="https://doi.org/10.17660/eJHS.2022/049"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tiff"/><Relationship Id="rId15" Type="http://schemas.openxmlformats.org/officeDocument/2006/relationships/hyperlink" Target="https://doi.org/10.1007/s10658-004-4585-7" TargetMode="External"/><Relationship Id="rId23" Type="http://schemas.openxmlformats.org/officeDocument/2006/relationships/hyperlink" Target="https://doi.org/10.1139/b11-028" TargetMode="External"/><Relationship Id="rId28" Type="http://schemas.openxmlformats.org/officeDocument/2006/relationships/hyperlink" Target="https://doi.org/10.1007/s00572-003-0256-3" TargetMode="External"/><Relationship Id="rId36" Type="http://schemas.openxmlformats.org/officeDocument/2006/relationships/hyperlink" Target="https://doi.org/10.3390/agronomy11112341" TargetMode="External"/><Relationship Id="rId49" Type="http://schemas.openxmlformats.org/officeDocument/2006/relationships/hyperlink" Target="https://doi.org/10.2134/agronj2013.0275" TargetMode="External"/><Relationship Id="rId57" Type="http://schemas.openxmlformats.org/officeDocument/2006/relationships/hyperlink" Target="https://doi.org/10.1556/CRC.35.2007.4.4" TargetMode="External"/><Relationship Id="rId10" Type="http://schemas.openxmlformats.org/officeDocument/2006/relationships/image" Target="media/image6.tiff"/><Relationship Id="rId31" Type="http://schemas.openxmlformats.org/officeDocument/2006/relationships/hyperlink" Target="https://doi.org/10.1111/j.1469-8137.2009.02839.x" TargetMode="External"/><Relationship Id="rId44" Type="http://schemas.openxmlformats.org/officeDocument/2006/relationships/hyperlink" Target="https://doi.org/10.1093/aob/mcaa159" TargetMode="External"/><Relationship Id="rId52" Type="http://schemas.openxmlformats.org/officeDocument/2006/relationships/hyperlink" Target="https://doi.org/10.1016/j.chemosphere.2019.124710" TargetMode="External"/><Relationship Id="rId60" Type="http://schemas.openxmlformats.org/officeDocument/2006/relationships/hyperlink" Target="https://doi.org/10.1002/fes3.370" TargetMode="External"/><Relationship Id="rId65" Type="http://schemas.openxmlformats.org/officeDocument/2006/relationships/hyperlink" Target="https://doi.org/10.1046/j.1365-3059.2000.00473.x" TargetMode="External"/><Relationship Id="rId73" Type="http://schemas.openxmlformats.org/officeDocument/2006/relationships/hyperlink" Target="https://doi.org/10.1071/FP05005" TargetMode="External"/><Relationship Id="rId4" Type="http://schemas.openxmlformats.org/officeDocument/2006/relationships/webSettings" Target="webSettings.xml"/><Relationship Id="rId9" Type="http://schemas.openxmlformats.org/officeDocument/2006/relationships/image" Target="media/image5.tiff"/><Relationship Id="rId13" Type="http://schemas.openxmlformats.org/officeDocument/2006/relationships/hyperlink" Target="https://doi.org/10.1080/14620316.2019.1681906" TargetMode="External"/><Relationship Id="rId18" Type="http://schemas.openxmlformats.org/officeDocument/2006/relationships/hyperlink" Target="https://doi.org/10.1016/j.ecoenv.2023.115458" TargetMode="External"/><Relationship Id="rId39" Type="http://schemas.openxmlformats.org/officeDocument/2006/relationships/hyperlink" Target="https://doi.org/10.1007/s42832-020-0060-4" TargetMode="External"/><Relationship Id="rId34" Type="http://schemas.openxmlformats.org/officeDocument/2006/relationships/hyperlink" Target="https://doi.org/10.1016/j.soilbio.2007.09.026" TargetMode="External"/><Relationship Id="rId50" Type="http://schemas.openxmlformats.org/officeDocument/2006/relationships/hyperlink" Target="https://doi.org/10.3390/horticulturae8050466" TargetMode="External"/><Relationship Id="rId55" Type="http://schemas.openxmlformats.org/officeDocument/2006/relationships/hyperlink" Target="https://doi.org/10.1007/s00572-019-00927-w" TargetMode="External"/><Relationship Id="rId7" Type="http://schemas.openxmlformats.org/officeDocument/2006/relationships/image" Target="media/image3.tiff"/><Relationship Id="rId71" Type="http://schemas.openxmlformats.org/officeDocument/2006/relationships/hyperlink" Target="https://doi.org/10.3176/proc.2022.4.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2201</TotalTime>
  <Pages>20</Pages>
  <Words>4867</Words>
  <Characters>28234</Characters>
  <Application>Microsoft Office Word</Application>
  <DocSecurity>0</DocSecurity>
  <Lines>235</Lines>
  <Paragraphs>66</Paragraphs>
  <ScaleCrop>false</ScaleCrop>
  <Company/>
  <LinksUpToDate>false</LinksUpToDate>
  <CharactersWithSpaces>33035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Sarkal Jyakhwa</dc:creator>
  <cp:keywords/>
  <dc:description/>
  <cp:lastModifiedBy>Sarkal Jyakhwa</cp:lastModifiedBy>
  <cp:revision>721</cp:revision>
  <dcterms:created xsi:type="dcterms:W3CDTF">2025-05-24T19:13:00Z</dcterms:created>
  <dcterms:modified xsi:type="dcterms:W3CDTF">2026-08-28T09:09:00Z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dc6c1cab-75a7-4b10-8a49-72374269cc87</vt:lpwstr>
  </property>
  <property fmtid="{D5CDD505-2E9C-101B-9397-08002B2CF9AE}" pid="3" name="ZOTERO_PREF_1">
    <vt:lpwstr>&lt;data data-version="3" zotero-version="9.0.3"&gt;&lt;session id="OeEmECwn"/&gt;&lt;style id="http://www.zotero.org/styles/elsevier-harvard" hasBibliography="1" bibliographyStyleHasBeenSet="1"/&gt;&lt;prefs&gt;&lt;pref name="fieldType" value="Field"/&gt;&lt;pref name="automaticJournalA</vt:lpwstr>
  </property>
  <property fmtid="{D5CDD505-2E9C-101B-9397-08002B2CF9AE}" pid="4" name="ZOTERO_PREF_2">
    <vt:lpwstr>bbreviations" value="true"/&gt;&lt;/prefs&gt;&lt;/data&gt;</vt:lpwstr>
  </property>
</Properties>
</file>