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黑体"/>
          <w:b/>
          <w:sz w:val="28"/>
        </w:rPr>
        <w:t>Supplementary Material</w:t>
      </w:r>
    </w:p>
    <w:p>
      <w:pPr>
        <w:jc w:val="left"/>
      </w:pPr>
      <w:r>
        <w:rPr>
          <w:rFonts w:ascii="Times New Roman" w:hAnsi="Times New Roman" w:eastAsia="黑体"/>
          <w:b/>
          <w:sz w:val="24"/>
        </w:rPr>
        <w:t>Level and Change in a Modified 7-Component Life's Essential 8 and Incident Cardiovascular Multimorbidity in Chinese Middle-Aged and Older Adults: The China Health and Retirement Longitudinal Study</w:t>
      </w:r>
    </w:p>
    <w:p>
      <w:pPr>
        <w:spacing w:line="360" w:lineRule="auto"/>
      </w:pPr>
      <w:r>
        <w:rPr>
          <w:rFonts w:ascii="Times New Roman" w:hAnsi="Times New Roman" w:eastAsia="宋体"/>
          <w:b w:val="0"/>
          <w:sz w:val="21"/>
        </w:rPr>
        <w:t>This supplementary material contains twenty-one supplementary tables, the sensitivity-analysis definitions, and the completed STROBE checklist:</w:t>
      </w:r>
    </w:p>
    <w:p>
      <w:pPr>
        <w:pStyle w:val="ListBullet"/>
      </w:pPr>
      <w:r>
        <w:rPr>
          <w:rFonts w:ascii="Times New Roman" w:hAnsi="Times New Roman" w:eastAsia="宋体"/>
          <w:b/>
          <w:sz w:val="21"/>
        </w:rPr>
        <w:t>eTable 1</w:t>
      </w:r>
      <w:r>
        <w:rPr>
          <w:rFonts w:ascii="Times New Roman" w:hAnsi="Times New Roman" w:eastAsia="宋体"/>
          <w:b w:val="0"/>
          <w:sz w:val="21"/>
        </w:rPr>
        <w:t>: LCGM model comparison (1–5 classes)</w:t>
      </w:r>
    </w:p>
    <w:p>
      <w:pPr>
        <w:pStyle w:val="ListBullet"/>
      </w:pPr>
      <w:r>
        <w:rPr>
          <w:rFonts w:ascii="Times New Roman" w:hAnsi="Times New Roman" w:eastAsia="宋体"/>
          <w:b/>
          <w:sz w:val="21"/>
        </w:rPr>
        <w:t>eTable 2</w:t>
      </w:r>
      <w:r>
        <w:rPr>
          <w:rFonts w:ascii="Times New Roman" w:hAnsi="Times New Roman" w:eastAsia="宋体"/>
          <w:b w:val="0"/>
          <w:sz w:val="21"/>
        </w:rPr>
        <w:t>: Baseline (2011) LE8 component scores by trajectory group</w:t>
      </w:r>
    </w:p>
    <w:p>
      <w:pPr>
        <w:pStyle w:val="ListBullet"/>
      </w:pPr>
      <w:r>
        <w:rPr>
          <w:rFonts w:ascii="Times New Roman" w:hAnsi="Times New Roman" w:eastAsia="宋体"/>
          <w:b/>
          <w:sz w:val="21"/>
        </w:rPr>
        <w:t>eTable 3</w:t>
      </w:r>
      <w:r>
        <w:rPr>
          <w:rFonts w:ascii="Times New Roman" w:hAnsi="Times New Roman" w:eastAsia="宋体"/>
          <w:b w:val="0"/>
          <w:sz w:val="21"/>
        </w:rPr>
        <w:t>: Subgroup analyses (including moderate trajectory group HR; Model 3)</w:t>
      </w:r>
    </w:p>
    <w:p>
      <w:pPr>
        <w:pStyle w:val="ListBullet"/>
      </w:pPr>
      <w:r>
        <w:rPr>
          <w:rFonts w:ascii="Times New Roman" w:hAnsi="Times New Roman" w:eastAsia="宋体"/>
          <w:b/>
          <w:sz w:val="21"/>
        </w:rPr>
        <w:t>eTable 4</w:t>
      </w:r>
      <w:r>
        <w:rPr>
          <w:rFonts w:ascii="Times New Roman" w:hAnsi="Times New Roman" w:eastAsia="宋体"/>
          <w:b w:val="0"/>
          <w:sz w:val="21"/>
        </w:rPr>
        <w:t>: Competing risk analysis (Fine–Gray subdistribution hazard model)</w:t>
      </w:r>
    </w:p>
    <w:p>
      <w:pPr>
        <w:pStyle w:val="ListBullet"/>
      </w:pPr>
      <w:r>
        <w:rPr>
          <w:rFonts w:ascii="Times New Roman" w:hAnsi="Times New Roman" w:eastAsia="宋体"/>
          <w:b/>
          <w:sz w:val="21"/>
        </w:rPr>
        <w:t>eTable 5</w:t>
      </w:r>
      <w:r>
        <w:rPr>
          <w:rFonts w:ascii="Times New Roman" w:hAnsi="Times New Roman" w:eastAsia="宋体"/>
          <w:b w:val="0"/>
          <w:sz w:val="21"/>
        </w:rPr>
        <w:t>: Trajectory effects stratified by baseline blood-pressure component score</w:t>
      </w:r>
    </w:p>
    <w:p>
      <w:pPr>
        <w:pStyle w:val="ListBullet"/>
      </w:pPr>
      <w:r>
        <w:rPr>
          <w:rFonts w:ascii="Times New Roman" w:hAnsi="Times New Roman" w:eastAsia="宋体"/>
          <w:b/>
          <w:sz w:val="21"/>
        </w:rPr>
        <w:t>eTable 6</w:t>
      </w:r>
      <w:r>
        <w:rPr>
          <w:rFonts w:ascii="Times New Roman" w:hAnsi="Times New Roman" w:eastAsia="宋体"/>
          <w:b w:val="0"/>
          <w:sz w:val="21"/>
        </w:rPr>
        <w:t>: Baseline characteristics of included vs excluded participants (selection-bias assessment)</w:t>
      </w:r>
    </w:p>
    <w:p>
      <w:pPr>
        <w:pStyle w:val="ListBullet"/>
      </w:pPr>
      <w:r>
        <w:rPr>
          <w:rFonts w:ascii="Times New Roman" w:hAnsi="Times New Roman" w:eastAsia="宋体"/>
          <w:b/>
          <w:sz w:val="21"/>
        </w:rPr>
        <w:t>eTable 7</w:t>
      </w:r>
      <w:r>
        <w:rPr>
          <w:rFonts w:ascii="Times New Roman" w:hAnsi="Times New Roman" w:eastAsia="宋体"/>
          <w:b w:val="0"/>
          <w:sz w:val="21"/>
        </w:rPr>
        <w:t>: LE8 component scoring: our implementation vs the official AHA definitions</w:t>
      </w:r>
    </w:p>
    <w:p>
      <w:pPr>
        <w:pStyle w:val="ListBullet"/>
      </w:pPr>
      <w:r>
        <w:rPr>
          <w:rFonts w:ascii="Times New Roman" w:hAnsi="Times New Roman" w:eastAsia="宋体"/>
          <w:b/>
          <w:sz w:val="21"/>
        </w:rPr>
        <w:t>eTable 8</w:t>
      </w:r>
      <w:r>
        <w:rPr>
          <w:rFonts w:ascii="Times New Roman" w:hAnsi="Times New Roman" w:eastAsia="宋体"/>
          <w:b w:val="0"/>
          <w:sz w:val="21"/>
        </w:rPr>
        <w:t>: Trajectory class parameters (LCGM) and group × time interaction</w:t>
      </w:r>
    </w:p>
    <w:p>
      <w:pPr>
        <w:pStyle w:val="ListBullet"/>
      </w:pPr>
      <w:r>
        <w:rPr>
          <w:rFonts w:ascii="Times New Roman" w:hAnsi="Times New Roman" w:eastAsia="宋体"/>
          <w:b/>
          <w:sz w:val="21"/>
        </w:rPr>
        <w:t>eTable 9</w:t>
      </w:r>
      <w:r>
        <w:rPr>
          <w:rFonts w:ascii="Times New Roman" w:hAnsi="Times New Roman" w:eastAsia="宋体"/>
          <w:b w:val="0"/>
          <w:sz w:val="21"/>
        </w:rPr>
        <w:t>: Incremental value of trajectories over baseline static LE8 (details)</w:t>
      </w:r>
    </w:p>
    <w:p>
      <w:pPr>
        <w:pStyle w:val="ListBullet"/>
      </w:pPr>
      <w:r>
        <w:rPr>
          <w:rFonts w:ascii="Times New Roman" w:hAnsi="Times New Roman" w:eastAsia="宋体"/>
          <w:b/>
          <w:sz w:val="21"/>
        </w:rPr>
        <w:t>eTable 10</w:t>
      </w:r>
      <w:r>
        <w:rPr>
          <w:rFonts w:ascii="Times New Roman" w:hAnsi="Times New Roman" w:eastAsia="宋体"/>
          <w:b w:val="0"/>
          <w:sz w:val="21"/>
        </w:rPr>
        <w:t>: LE8 component availability per wave; classification quality and estimates stratified by number of available components</w:t>
      </w:r>
    </w:p>
    <w:p>
      <w:pPr>
        <w:pStyle w:val="ListBullet"/>
      </w:pPr>
      <w:r>
        <w:rPr>
          <w:rFonts w:ascii="Times New Roman" w:hAnsi="Times New Roman" w:eastAsia="宋体"/>
          <w:b/>
          <w:sz w:val="21"/>
        </w:rPr>
        <w:t>eTable 11</w:t>
      </w:r>
      <w:r>
        <w:rPr>
          <w:rFonts w:ascii="Times New Roman" w:hAnsi="Times New Roman" w:eastAsia="宋体"/>
          <w:b w:val="0"/>
          <w:sz w:val="21"/>
        </w:rPr>
        <w:t>: Trajectory associations and C-index increments within baseline-LE8 tertiles</w:t>
      </w:r>
    </w:p>
    <w:p>
      <w:pPr>
        <w:pStyle w:val="ListBullet"/>
      </w:pPr>
      <w:r>
        <w:rPr>
          <w:rFonts w:ascii="Times New Roman" w:hAnsi="Times New Roman" w:eastAsia="宋体"/>
          <w:b/>
          <w:sz w:val="21"/>
        </w:rPr>
        <w:t>eTable 12</w:t>
      </w:r>
      <w:r>
        <w:rPr>
          <w:rFonts w:ascii="Times New Roman" w:hAnsi="Times New Roman" w:eastAsia="宋体"/>
          <w:b w:val="0"/>
          <w:sz w:val="21"/>
        </w:rPr>
        <w:t>: Inverse-probability weighting: weight distributions and weighted estimates</w:t>
      </w:r>
    </w:p>
    <w:p>
      <w:pPr>
        <w:pStyle w:val="ListBullet"/>
      </w:pPr>
      <w:r>
        <w:rPr>
          <w:rFonts w:ascii="Times New Roman" w:hAnsi="Times New Roman" w:eastAsia="宋体"/>
          <w:b/>
          <w:sz w:val="21"/>
        </w:rPr>
        <w:t>eTable 13</w:t>
      </w:r>
      <w:r>
        <w:rPr>
          <w:rFonts w:ascii="Times New Roman" w:hAnsi="Times New Roman" w:eastAsia="宋体"/>
          <w:b w:val="0"/>
          <w:sz w:val="21"/>
        </w:rPr>
        <w:t>: ΔLE8 associations overall and by baseline-LE8 tertile</w:t>
      </w:r>
    </w:p>
    <w:p>
      <w:pPr>
        <w:pStyle w:val="ListBullet"/>
      </w:pPr>
      <w:r>
        <w:rPr>
          <w:rFonts w:ascii="Times New Roman" w:hAnsi="Times New Roman" w:eastAsia="宋体"/>
          <w:b/>
          <w:sz w:val="21"/>
        </w:rPr>
        <w:t>eTable 14</w:t>
      </w:r>
      <w:r>
        <w:rPr>
          <w:rFonts w:ascii="Times New Roman" w:hAnsi="Times New Roman" w:eastAsia="宋体"/>
          <w:b w:val="0"/>
          <w:sz w:val="21"/>
        </w:rPr>
        <w:t>: Joint official-AHA rescoring (S15): class enumeration and estimates</w:t>
      </w:r>
    </w:p>
    <w:p>
      <w:pPr>
        <w:pStyle w:val="ListBullet"/>
      </w:pPr>
      <w:r>
        <w:rPr>
          <w:rFonts w:ascii="Times New Roman" w:hAnsi="Times New Roman" w:eastAsia="宋体"/>
          <w:b/>
          <w:sz w:val="21"/>
        </w:rPr>
        <w:t>eTable 15</w:t>
      </w:r>
      <w:r>
        <w:rPr>
          <w:rFonts w:ascii="Times New Roman" w:hAnsi="Times New Roman" w:eastAsia="宋体"/>
          <w:b w:val="0"/>
          <w:sz w:val="21"/>
        </w:rPr>
        <w:t>: Minimum detectable subgroup interaction effect sizes (80% power)</w:t>
      </w:r>
    </w:p>
    <w:p>
      <w:pPr>
        <w:pStyle w:val="ListBullet"/>
      </w:pPr>
      <w:r>
        <w:rPr>
          <w:rFonts w:ascii="Times New Roman" w:hAnsi="Times New Roman" w:eastAsia="宋体"/>
          <w:b/>
          <w:sz w:val="21"/>
        </w:rPr>
        <w:t>eTable 16</w:t>
      </w:r>
      <w:r>
        <w:rPr>
          <w:rFonts w:ascii="Times New Roman" w:hAnsi="Times New Roman" w:eastAsia="宋体"/>
          <w:b w:val="0"/>
          <w:sz w:val="21"/>
        </w:rPr>
        <w:t>: Component-contribution decomposition of the trajectory–outcome association</w:t>
      </w:r>
    </w:p>
    <w:p>
      <w:pPr>
        <w:pStyle w:val="ListBullet"/>
      </w:pPr>
      <w:r>
        <w:rPr>
          <w:rFonts w:ascii="Times New Roman" w:hAnsi="Times New Roman" w:eastAsia="宋体"/>
          <w:b/>
          <w:sz w:val="21"/>
        </w:rPr>
        <w:t>eTable 17</w:t>
      </w:r>
      <w:r>
        <w:rPr>
          <w:rFonts w:ascii="Times New Roman" w:hAnsi="Times New Roman" w:eastAsia="宋体"/>
          <w:b w:val="0"/>
          <w:sz w:val="21"/>
        </w:rPr>
        <w:t>: Trajectory-model identification: linear versus quadratic time specification, and classification quality by class</w:t>
      </w:r>
    </w:p>
    <w:p>
      <w:pPr>
        <w:pStyle w:val="ListBullet"/>
      </w:pPr>
      <w:r>
        <w:rPr>
          <w:rFonts w:ascii="Times New Roman" w:hAnsi="Times New Roman" w:eastAsia="宋体"/>
          <w:b/>
          <w:sz w:val="21"/>
        </w:rPr>
        <w:t>eTable 18</w:t>
      </w:r>
      <w:r>
        <w:rPr>
          <w:rFonts w:ascii="Times New Roman" w:hAnsi="Times New Roman" w:eastAsia="宋体"/>
          <w:b w:val="0"/>
          <w:sz w:val="21"/>
        </w:rPr>
        <w:t>: Incremental-value (Aim 3) analysis sample flow</w:t>
      </w:r>
    </w:p>
    <w:p>
      <w:pPr>
        <w:pStyle w:val="ListBullet"/>
      </w:pPr>
      <w:r>
        <w:rPr>
          <w:rFonts w:ascii="Times New Roman" w:hAnsi="Times New Roman" w:eastAsia="宋体"/>
          <w:b/>
          <w:sz w:val="21"/>
        </w:rPr>
        <w:t>eTable 19</w:t>
      </w:r>
      <w:r>
        <w:rPr>
          <w:rFonts w:ascii="Times New Roman" w:hAnsi="Times New Roman" w:eastAsia="宋体"/>
          <w:b w:val="0"/>
          <w:sz w:val="21"/>
        </w:rPr>
        <w:t>: Undetected measured hypertension at baseline: prevalence, distribution, association, and exclusion sensitivity analyses (S17a/S17b)</w:t>
      </w:r>
    </w:p>
    <w:p>
      <w:pPr>
        <w:spacing w:line="360" w:lineRule="auto"/>
      </w:pPr>
      <w:r>
        <w:rPr>
          <w:rFonts w:ascii="Times New Roman" w:hAnsi="Times New Roman" w:eastAsia="宋体"/>
          <w:b w:val="0"/>
          <w:sz w:val="22"/>
        </w:rPr>
        <w:t xml:space="preserve">eTable 21: Independent NHANES cohort validation (LE8 and all-cause/cardiovascular mortality)</w:t>
      </w:r>
    </w:p>
    <w:p>
      <w:pPr>
        <w:spacing w:line="360" w:lineRule="auto"/>
      </w:pPr>
      <w:r>
        <w:rPr>
          <w:rFonts w:ascii="Times New Roman" w:hAnsi="Times New Roman" w:eastAsia="宋体"/>
          <w:b w:val="0"/>
          <w:sz w:val="22"/>
        </w:rPr>
        <w:t xml:space="preserve">eTable 20: Split-sample internal validation (derivation 70% vs validation 30%)</w:t>
      </w:r>
    </w:p>
    <w:p>
      <w:pPr>
        <w:pStyle w:val="ListBullet"/>
      </w:pPr>
      <w:r>
        <w:rPr>
          <w:rFonts w:ascii="Times New Roman" w:hAnsi="Times New Roman" w:eastAsia="宋体"/>
          <w:b/>
          <w:sz w:val="21"/>
        </w:rPr>
        <w:t>Sensitivity Analysis Definitions</w:t>
      </w:r>
      <w:r>
        <w:rPr>
          <w:rFonts w:ascii="Times New Roman" w:hAnsi="Times New Roman" w:eastAsia="宋体"/>
          <w:b w:val="0"/>
          <w:sz w:val="21"/>
        </w:rPr>
        <w:t>: full definitions of S1–S17</w:t>
      </w:r>
    </w:p>
    <w:p>
      <w:pPr>
        <w:pStyle w:val="ListBullet"/>
      </w:pPr>
      <w:r>
        <w:rPr>
          <w:rFonts w:ascii="Times New Roman" w:hAnsi="Times New Roman" w:eastAsia="宋体"/>
          <w:b/>
          <w:sz w:val="21"/>
        </w:rPr>
        <w:t>eFigure 1</w:t>
      </w:r>
      <w:r>
        <w:rPr>
          <w:rFonts w:ascii="Times New Roman" w:hAnsi="Times New Roman" w:eastAsia="宋体"/>
          <w:b w:val="0"/>
          <w:sz w:val="21"/>
        </w:rPr>
        <w:t>: Kaplan–Meier curves (descriptive; event timing not identifiable)</w:t>
      </w:r>
    </w:p>
    <w:p>
      <w:pPr>
        <w:spacing w:line="360" w:lineRule="auto"/>
      </w:pPr>
      <w:r>
        <w:rPr>
          <w:rFonts w:ascii="Times New Roman" w:hAnsi="Times New Roman" w:eastAsia="宋体"/>
          <w:b w:val="0"/>
          <w:sz w:val="22"/>
        </w:rPr>
        <w:t xml:space="preserve">eFigure 2: Calibration of the derivation logistic model in the validation sample</w:t>
      </w:r>
    </w:p>
    <w:p>
      <w:pPr>
        <w:pStyle w:val="ListBullet"/>
      </w:pPr>
      <w:r>
        <w:rPr>
          <w:rFonts w:ascii="Times New Roman" w:hAnsi="Times New Roman" w:eastAsia="宋体"/>
          <w:b/>
          <w:sz w:val="21"/>
        </w:rPr>
        <w:t>eAppendix A</w:t>
      </w:r>
      <w:r>
        <w:rPr>
          <w:rFonts w:ascii="Times New Roman" w:hAnsi="Times New Roman" w:eastAsia="宋体"/>
          <w:b w:val="0"/>
          <w:sz w:val="21"/>
        </w:rPr>
        <w:t>: STROBE statement checklist (STROBE–Cohort)</w:t>
      </w:r>
    </w:p>
    <w:p>
      <w:pPr>
        <w:pStyle w:val="ListBullet"/>
      </w:pPr>
      <w:r>
        <w:rPr>
          <w:rFonts w:ascii="Times New Roman" w:hAnsi="Times New Roman" w:eastAsia="宋体"/>
          <w:b/>
          <w:sz w:val="21"/>
        </w:rPr>
        <w:t>eAppendix B</w:t>
      </w:r>
      <w:r>
        <w:rPr>
          <w:rFonts w:ascii="Times New Roman" w:hAnsi="Times New Roman" w:eastAsia="宋体"/>
          <w:b w:val="0"/>
          <w:sz w:val="21"/>
        </w:rPr>
        <w:t>: ROBINS-E risk-of-bias self-assessment</w:t>
      </w:r>
    </w:p>
    <w:p>
      <w:pPr>
        <w:pStyle w:val="ListBullet"/>
      </w:pPr>
      <w:r>
        <w:rPr>
          <w:rFonts w:ascii="Times New Roman" w:hAnsi="Times New Roman" w:eastAsia="宋体"/>
          <w:b/>
          <w:sz w:val="21"/>
        </w:rPr>
        <w:t>eAppendix C</w:t>
      </w:r>
      <w:r>
        <w:rPr>
          <w:rFonts w:ascii="Times New Roman" w:hAnsi="Times New Roman" w:eastAsia="宋体"/>
          <w:b w:val="0"/>
          <w:sz w:val="21"/>
        </w:rPr>
        <w:t>: Longitudinal analysis reporting points</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1. LCGM model comparison (1–5 classes; trajectory cohort n=4,625).</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080"/>
        <w:gridCol w:w="1080"/>
        <w:gridCol w:w="1080"/>
        <w:gridCol w:w="1080"/>
        <w:gridCol w:w="1080"/>
        <w:gridCol w:w="1080"/>
        <w:gridCol w:w="1080"/>
        <w:gridCol w:w="1080"/>
      </w:tblGrid>
      <w:tr>
        <w:tc>
          <w:tcPr>
            <w:tcW w:type="dxa" w:w="1080"/>
            <w:tcBorders>
              <w:bottom w:val="single" w:sz="6" w:color="000000" w:space="0"/>
            </w:tcBorders>
          </w:tcPr>
          <w:p>
            <w:pPr>
              <w:spacing w:line="324" w:lineRule="auto" w:after="40"/>
            </w:pPr>
            <w:r>
              <w:rPr>
                <w:b/>
                <w:sz w:val="20"/>
              </w:rPr>
            </w:r>
            <w:r>
              <w:rPr>
                <w:rFonts w:ascii="Times New Roman" w:hAnsi="Times New Roman" w:eastAsia="宋体"/>
                <w:b/>
                <w:sz w:val="20"/>
              </w:rPr>
              <w:t>Classes</w:t>
            </w:r>
          </w:p>
        </w:tc>
        <w:tc>
          <w:tcPr>
            <w:tcW w:type="dxa" w:w="1080"/>
            <w:tcBorders>
              <w:bottom w:val="single" w:sz="6" w:color="000000" w:space="0"/>
            </w:tcBorders>
          </w:tcPr>
          <w:p>
            <w:pPr>
              <w:spacing w:line="324" w:lineRule="auto" w:after="40"/>
            </w:pPr>
            <w:r>
              <w:rPr>
                <w:b/>
                <w:sz w:val="20"/>
              </w:rPr>
            </w:r>
            <w:r>
              <w:rPr>
                <w:rFonts w:ascii="Times New Roman" w:hAnsi="Times New Roman" w:eastAsia="宋体"/>
                <w:b/>
                <w:sz w:val="20"/>
              </w:rPr>
              <w:t>BIC</w:t>
            </w:r>
          </w:p>
        </w:tc>
        <w:tc>
          <w:tcPr>
            <w:tcW w:type="dxa" w:w="1080"/>
            <w:tcBorders>
              <w:bottom w:val="single" w:sz="6" w:color="000000" w:space="0"/>
            </w:tcBorders>
          </w:tcPr>
          <w:p>
            <w:pPr>
              <w:spacing w:line="324" w:lineRule="auto" w:after="40"/>
            </w:pPr>
            <w:r>
              <w:rPr>
                <w:b/>
                <w:sz w:val="20"/>
              </w:rPr>
            </w:r>
            <w:r>
              <w:rPr>
                <w:rFonts w:ascii="Times New Roman" w:hAnsi="Times New Roman" w:eastAsia="宋体"/>
                <w:b/>
                <w:sz w:val="20"/>
              </w:rPr>
              <w:t>AIC</w:t>
            </w:r>
          </w:p>
        </w:tc>
        <w:tc>
          <w:tcPr>
            <w:tcW w:type="dxa" w:w="1080"/>
            <w:tcBorders>
              <w:bottom w:val="single" w:sz="6" w:color="000000" w:space="0"/>
            </w:tcBorders>
          </w:tcPr>
          <w:p>
            <w:pPr>
              <w:spacing w:line="324" w:lineRule="auto" w:after="40"/>
            </w:pPr>
            <w:r>
              <w:rPr>
                <w:b/>
                <w:sz w:val="20"/>
              </w:rPr>
            </w:r>
            <w:r>
              <w:rPr>
                <w:rFonts w:ascii="Times New Roman" w:hAnsi="Times New Roman" w:eastAsia="宋体"/>
                <w:b/>
                <w:sz w:val="20"/>
              </w:rPr>
              <w:t>loglik</w:t>
            </w:r>
          </w:p>
        </w:tc>
        <w:tc>
          <w:tcPr>
            <w:tcW w:type="dxa" w:w="1080"/>
            <w:tcBorders>
              <w:bottom w:val="single" w:sz="6" w:color="000000" w:space="0"/>
            </w:tcBorders>
          </w:tcPr>
          <w:p>
            <w:pPr>
              <w:spacing w:line="324" w:lineRule="auto" w:after="40"/>
            </w:pPr>
            <w:r>
              <w:rPr>
                <w:b/>
                <w:sz w:val="20"/>
              </w:rPr>
            </w:r>
            <w:r>
              <w:rPr>
                <w:rFonts w:ascii="Times New Roman" w:hAnsi="Times New Roman" w:eastAsia="宋体"/>
                <w:b/>
                <w:sz w:val="20"/>
              </w:rPr>
              <w:t>Parameters</w:t>
            </w:r>
          </w:p>
        </w:tc>
        <w:tc>
          <w:tcPr>
            <w:tcW w:type="dxa" w:w="1080"/>
            <w:tcBorders>
              <w:bottom w:val="single" w:sz="6" w:color="000000" w:space="0"/>
            </w:tcBorders>
          </w:tcPr>
          <w:p>
            <w:pPr>
              <w:spacing w:line="324" w:lineRule="auto" w:after="40"/>
            </w:pPr>
            <w:r>
              <w:rPr>
                <w:b/>
                <w:sz w:val="20"/>
              </w:rPr>
            </w:r>
            <w:r>
              <w:rPr>
                <w:rFonts w:ascii="Times New Roman" w:hAnsi="Times New Roman" w:eastAsia="宋体"/>
                <w:b/>
                <w:sz w:val="20"/>
              </w:rPr>
              <w:t>Entropy</w:t>
            </w:r>
          </w:p>
        </w:tc>
        <w:tc>
          <w:tcPr>
            <w:tcW w:type="dxa" w:w="1080"/>
            <w:tcBorders>
              <w:bottom w:val="single" w:sz="6" w:color="000000" w:space="0"/>
            </w:tcBorders>
          </w:tcPr>
          <w:p>
            <w:pPr>
              <w:spacing w:line="324" w:lineRule="auto" w:after="40"/>
            </w:pPr>
            <w:r>
              <w:rPr>
                <w:b/>
                <w:sz w:val="20"/>
              </w:rPr>
            </w:r>
            <w:r>
              <w:rPr>
                <w:rFonts w:ascii="Times New Roman" w:hAnsi="Times New Roman" w:eastAsia="宋体"/>
                <w:b/>
                <w:sz w:val="20"/>
              </w:rPr>
              <w:t>Mean APP</w:t>
            </w:r>
          </w:p>
        </w:tc>
        <w:tc>
          <w:tcPr>
            <w:tcW w:type="dxa" w:w="1080"/>
            <w:tcBorders>
              <w:bottom w:val="single" w:sz="6" w:color="000000" w:space="0"/>
            </w:tcBorders>
          </w:tcPr>
          <w:p>
            <w:pPr>
              <w:spacing w:line="324" w:lineRule="auto" w:after="40"/>
            </w:pPr>
            <w:r>
              <w:rPr>
                <w:b/>
                <w:sz w:val="20"/>
              </w:rPr>
            </w:r>
            <w:r>
              <w:rPr>
                <w:rFonts w:ascii="Times New Roman" w:hAnsi="Times New Roman" w:eastAsia="宋体"/>
                <w:b/>
                <w:sz w:val="20"/>
              </w:rPr>
              <w:t>Min class %</w:t>
            </w:r>
          </w:p>
        </w:tc>
      </w:tr>
      <w:tr>
        <w:tc>
          <w:tcPr>
            <w:tcW w:type="dxa" w:w="1080"/>
          </w:tcPr>
          <w:p>
            <w:pPr>
              <w:spacing w:line="324" w:lineRule="auto" w:after="40"/>
            </w:pPr>
            <w:r>
              <w:rPr>
                <w:sz w:val="20"/>
              </w:rPr>
            </w:r>
            <w:r>
              <w:rPr>
                <w:rFonts w:ascii="Times New Roman" w:hAnsi="Times New Roman" w:eastAsia="宋体"/>
                <w:b w:val="0"/>
                <w:sz w:val="20"/>
              </w:rPr>
              <w:t>1</w:t>
            </w:r>
          </w:p>
        </w:tc>
        <w:tc>
          <w:tcPr>
            <w:tcW w:type="dxa" w:w="1080"/>
          </w:tcPr>
          <w:p>
            <w:pPr>
              <w:spacing w:line="324" w:lineRule="auto" w:after="40"/>
            </w:pPr>
            <w:r>
              <w:rPr>
                <w:sz w:val="20"/>
              </w:rPr>
            </w:r>
            <w:r>
              <w:rPr>
                <w:rFonts w:ascii="Times New Roman" w:hAnsi="Times New Roman" w:eastAsia="宋体"/>
                <w:b w:val="0"/>
                <w:sz w:val="20"/>
              </w:rPr>
              <w:t>95469.6</w:t>
            </w:r>
          </w:p>
        </w:tc>
        <w:tc>
          <w:tcPr>
            <w:tcW w:type="dxa" w:w="1080"/>
          </w:tcPr>
          <w:p>
            <w:pPr>
              <w:spacing w:line="324" w:lineRule="auto" w:after="40"/>
            </w:pPr>
            <w:r>
              <w:rPr>
                <w:sz w:val="20"/>
              </w:rPr>
            </w:r>
            <w:r>
              <w:rPr>
                <w:rFonts w:ascii="Times New Roman" w:hAnsi="Times New Roman" w:eastAsia="宋体"/>
                <w:b w:val="0"/>
                <w:sz w:val="20"/>
              </w:rPr>
              <w:t>95444.5</w:t>
            </w:r>
          </w:p>
        </w:tc>
        <w:tc>
          <w:tcPr>
            <w:tcW w:type="dxa" w:w="1080"/>
          </w:tcPr>
          <w:p>
            <w:pPr>
              <w:spacing w:line="324" w:lineRule="auto" w:after="40"/>
            </w:pPr>
            <w:r>
              <w:rPr>
                <w:sz w:val="20"/>
              </w:rPr>
            </w:r>
            <w:r>
              <w:rPr>
                <w:rFonts w:ascii="Times New Roman" w:hAnsi="Times New Roman" w:eastAsia="宋体"/>
                <w:b w:val="0"/>
                <w:sz w:val="20"/>
              </w:rPr>
              <w:t>-47722.28</w:t>
            </w:r>
          </w:p>
        </w:tc>
        <w:tc>
          <w:tcPr>
            <w:tcW w:type="dxa" w:w="1080"/>
          </w:tcPr>
          <w:p>
            <w:pPr>
              <w:spacing w:line="324" w:lineRule="auto" w:after="40"/>
            </w:pPr>
            <w:r>
              <w:rPr>
                <w:sz w:val="20"/>
              </w:rPr>
            </w:r>
            <w:r>
              <w:rPr>
                <w:rFonts w:ascii="Times New Roman" w:hAnsi="Times New Roman" w:eastAsia="宋体"/>
                <w:b w:val="0"/>
                <w:sz w:val="20"/>
              </w:rPr>
              <w:t>4</w:t>
            </w:r>
          </w:p>
        </w:tc>
        <w:tc>
          <w:tcPr>
            <w:tcW w:type="dxa" w:w="1080"/>
          </w:tcPr>
          <w:p>
            <w:pPr>
              <w:spacing w:line="324" w:lineRule="auto" w:after="40"/>
            </w:pPr>
            <w:r>
              <w:rPr>
                <w:sz w:val="20"/>
              </w:rPr>
            </w:r>
            <w:r>
              <w:rPr>
                <w:rFonts w:ascii="Times New Roman" w:hAnsi="Times New Roman" w:eastAsia="宋体"/>
                <w:b w:val="0"/>
                <w:sz w:val="20"/>
              </w:rPr>
              <w:t>—</w:t>
            </w:r>
          </w:p>
        </w:tc>
        <w:tc>
          <w:tcPr>
            <w:tcW w:type="dxa" w:w="1080"/>
          </w:tcPr>
          <w:p>
            <w:pPr>
              <w:spacing w:line="324" w:lineRule="auto" w:after="40"/>
            </w:pPr>
            <w:r>
              <w:rPr>
                <w:sz w:val="20"/>
              </w:rPr>
            </w:r>
            <w:r>
              <w:rPr>
                <w:rFonts w:ascii="Times New Roman" w:hAnsi="Times New Roman" w:eastAsia="宋体"/>
                <w:b w:val="0"/>
                <w:sz w:val="20"/>
              </w:rPr>
              <w:t>—</w:t>
            </w:r>
          </w:p>
        </w:tc>
        <w:tc>
          <w:tcPr>
            <w:tcW w:type="dxa" w:w="1080"/>
          </w:tcPr>
          <w:p>
            <w:pPr>
              <w:spacing w:line="324" w:lineRule="auto" w:after="40"/>
            </w:pPr>
            <w:r>
              <w:rPr>
                <w:sz w:val="20"/>
              </w:rPr>
            </w:r>
            <w:r>
              <w:rPr>
                <w:rFonts w:ascii="Times New Roman" w:hAnsi="Times New Roman" w:eastAsia="宋体"/>
                <w:b w:val="0"/>
                <w:sz w:val="20"/>
              </w:rPr>
              <w:t>100.0</w:t>
            </w:r>
          </w:p>
        </w:tc>
      </w:tr>
      <w:tr>
        <w:tc>
          <w:tcPr>
            <w:tcW w:type="dxa" w:w="1080"/>
          </w:tcPr>
          <w:p>
            <w:pPr>
              <w:spacing w:line="324" w:lineRule="auto" w:after="40"/>
            </w:pPr>
            <w:r>
              <w:rPr>
                <w:sz w:val="20"/>
              </w:rPr>
            </w:r>
            <w:r>
              <w:rPr>
                <w:rFonts w:ascii="Times New Roman" w:hAnsi="Times New Roman" w:eastAsia="宋体"/>
                <w:b w:val="0"/>
                <w:sz w:val="20"/>
              </w:rPr>
              <w:t>2</w:t>
            </w:r>
          </w:p>
        </w:tc>
        <w:tc>
          <w:tcPr>
            <w:tcW w:type="dxa" w:w="1080"/>
          </w:tcPr>
          <w:p>
            <w:pPr>
              <w:spacing w:line="324" w:lineRule="auto" w:after="40"/>
            </w:pPr>
            <w:r>
              <w:rPr>
                <w:sz w:val="20"/>
              </w:rPr>
            </w:r>
            <w:r>
              <w:rPr>
                <w:rFonts w:ascii="Times New Roman" w:hAnsi="Times New Roman" w:eastAsia="宋体"/>
                <w:b w:val="0"/>
                <w:sz w:val="20"/>
              </w:rPr>
              <w:t>92887.6</w:t>
            </w:r>
          </w:p>
        </w:tc>
        <w:tc>
          <w:tcPr>
            <w:tcW w:type="dxa" w:w="1080"/>
          </w:tcPr>
          <w:p>
            <w:pPr>
              <w:spacing w:line="324" w:lineRule="auto" w:after="40"/>
            </w:pPr>
            <w:r>
              <w:rPr>
                <w:sz w:val="20"/>
              </w:rPr>
            </w:r>
            <w:r>
              <w:rPr>
                <w:rFonts w:ascii="Times New Roman" w:hAnsi="Times New Roman" w:eastAsia="宋体"/>
                <w:b w:val="0"/>
                <w:sz w:val="20"/>
              </w:rPr>
              <w:t>92837.4</w:t>
            </w:r>
          </w:p>
        </w:tc>
        <w:tc>
          <w:tcPr>
            <w:tcW w:type="dxa" w:w="1080"/>
          </w:tcPr>
          <w:p>
            <w:pPr>
              <w:spacing w:line="324" w:lineRule="auto" w:after="40"/>
            </w:pPr>
            <w:r>
              <w:rPr>
                <w:sz w:val="20"/>
              </w:rPr>
            </w:r>
            <w:r>
              <w:rPr>
                <w:rFonts w:ascii="Times New Roman" w:hAnsi="Times New Roman" w:eastAsia="宋体"/>
                <w:b w:val="0"/>
                <w:sz w:val="20"/>
              </w:rPr>
              <w:t>-46410.7</w:t>
            </w:r>
          </w:p>
        </w:tc>
        <w:tc>
          <w:tcPr>
            <w:tcW w:type="dxa" w:w="1080"/>
          </w:tcPr>
          <w:p>
            <w:pPr>
              <w:spacing w:line="324" w:lineRule="auto" w:after="40"/>
            </w:pPr>
            <w:r>
              <w:rPr>
                <w:sz w:val="20"/>
              </w:rPr>
            </w:r>
            <w:r>
              <w:rPr>
                <w:rFonts w:ascii="Times New Roman" w:hAnsi="Times New Roman" w:eastAsia="宋体"/>
                <w:b w:val="0"/>
                <w:sz w:val="20"/>
              </w:rPr>
              <w:t>8</w:t>
            </w:r>
          </w:p>
        </w:tc>
        <w:tc>
          <w:tcPr>
            <w:tcW w:type="dxa" w:w="1080"/>
          </w:tcPr>
          <w:p>
            <w:pPr>
              <w:spacing w:line="324" w:lineRule="auto" w:after="40"/>
            </w:pPr>
            <w:r>
              <w:rPr>
                <w:sz w:val="20"/>
              </w:rPr>
            </w:r>
            <w:r>
              <w:rPr>
                <w:rFonts w:ascii="Times New Roman" w:hAnsi="Times New Roman" w:eastAsia="宋体"/>
                <w:b w:val="0"/>
                <w:sz w:val="20"/>
              </w:rPr>
              <w:t>0.902</w:t>
            </w:r>
          </w:p>
        </w:tc>
        <w:tc>
          <w:tcPr>
            <w:tcW w:type="dxa" w:w="1080"/>
          </w:tcPr>
          <w:p>
            <w:pPr>
              <w:spacing w:line="324" w:lineRule="auto" w:after="40"/>
            </w:pPr>
            <w:r>
              <w:rPr>
                <w:sz w:val="20"/>
              </w:rPr>
            </w:r>
            <w:r>
              <w:rPr>
                <w:rFonts w:ascii="Times New Roman" w:hAnsi="Times New Roman" w:eastAsia="宋体"/>
                <w:b w:val="0"/>
                <w:sz w:val="20"/>
              </w:rPr>
              <w:t>0.917</w:t>
            </w:r>
          </w:p>
        </w:tc>
        <w:tc>
          <w:tcPr>
            <w:tcW w:type="dxa" w:w="1080"/>
          </w:tcPr>
          <w:p>
            <w:pPr>
              <w:spacing w:line="324" w:lineRule="auto" w:after="40"/>
            </w:pPr>
            <w:r>
              <w:rPr>
                <w:sz w:val="20"/>
              </w:rPr>
            </w:r>
            <w:r>
              <w:rPr>
                <w:rFonts w:ascii="Times New Roman" w:hAnsi="Times New Roman" w:eastAsia="宋体"/>
                <w:b w:val="0"/>
                <w:sz w:val="20"/>
              </w:rPr>
              <w:t>35.5</w:t>
            </w:r>
          </w:p>
        </w:tc>
      </w:tr>
      <w:tr>
        <w:tc>
          <w:tcPr>
            <w:tcW w:type="dxa" w:w="1080"/>
          </w:tcPr>
          <w:p>
            <w:pPr>
              <w:spacing w:line="324" w:lineRule="auto" w:after="40"/>
            </w:pPr>
            <w:r>
              <w:rPr>
                <w:sz w:val="20"/>
              </w:rPr>
            </w:r>
            <w:r>
              <w:rPr>
                <w:rFonts w:ascii="Times New Roman" w:hAnsi="Times New Roman" w:eastAsia="宋体"/>
                <w:b w:val="0"/>
                <w:sz w:val="20"/>
              </w:rPr>
              <w:t>3</w:t>
            </w:r>
          </w:p>
        </w:tc>
        <w:tc>
          <w:tcPr>
            <w:tcW w:type="dxa" w:w="1080"/>
          </w:tcPr>
          <w:p>
            <w:pPr>
              <w:spacing w:line="324" w:lineRule="auto" w:after="40"/>
            </w:pPr>
            <w:r>
              <w:rPr>
                <w:sz w:val="20"/>
              </w:rPr>
            </w:r>
            <w:r>
              <w:rPr>
                <w:rFonts w:ascii="Times New Roman" w:hAnsi="Times New Roman" w:eastAsia="宋体"/>
                <w:b w:val="0"/>
                <w:sz w:val="20"/>
              </w:rPr>
              <w:t>92181.7</w:t>
            </w:r>
          </w:p>
        </w:tc>
        <w:tc>
          <w:tcPr>
            <w:tcW w:type="dxa" w:w="1080"/>
          </w:tcPr>
          <w:p>
            <w:pPr>
              <w:spacing w:line="324" w:lineRule="auto" w:after="40"/>
            </w:pPr>
            <w:r>
              <w:rPr>
                <w:sz w:val="20"/>
              </w:rPr>
            </w:r>
            <w:r>
              <w:rPr>
                <w:rFonts w:ascii="Times New Roman" w:hAnsi="Times New Roman" w:eastAsia="宋体"/>
                <w:b w:val="0"/>
                <w:sz w:val="20"/>
              </w:rPr>
              <w:t>92106.5</w:t>
            </w:r>
          </w:p>
        </w:tc>
        <w:tc>
          <w:tcPr>
            <w:tcW w:type="dxa" w:w="1080"/>
          </w:tcPr>
          <w:p>
            <w:pPr>
              <w:spacing w:line="324" w:lineRule="auto" w:after="40"/>
            </w:pPr>
            <w:r>
              <w:rPr>
                <w:sz w:val="20"/>
              </w:rPr>
            </w:r>
            <w:r>
              <w:rPr>
                <w:rFonts w:ascii="Times New Roman" w:hAnsi="Times New Roman" w:eastAsia="宋体"/>
                <w:b w:val="0"/>
                <w:sz w:val="20"/>
              </w:rPr>
              <w:t>-46041.26</w:t>
            </w:r>
          </w:p>
        </w:tc>
        <w:tc>
          <w:tcPr>
            <w:tcW w:type="dxa" w:w="1080"/>
          </w:tcPr>
          <w:p>
            <w:pPr>
              <w:spacing w:line="324" w:lineRule="auto" w:after="40"/>
            </w:pPr>
            <w:r>
              <w:rPr>
                <w:sz w:val="20"/>
              </w:rPr>
            </w:r>
            <w:r>
              <w:rPr>
                <w:rFonts w:ascii="Times New Roman" w:hAnsi="Times New Roman" w:eastAsia="宋体"/>
                <w:b w:val="0"/>
                <w:sz w:val="20"/>
              </w:rPr>
              <w:t>12</w:t>
            </w:r>
          </w:p>
        </w:tc>
        <w:tc>
          <w:tcPr>
            <w:tcW w:type="dxa" w:w="1080"/>
          </w:tcPr>
          <w:p>
            <w:pPr>
              <w:spacing w:line="324" w:lineRule="auto" w:after="40"/>
            </w:pPr>
            <w:r>
              <w:rPr>
                <w:sz w:val="20"/>
              </w:rPr>
            </w:r>
            <w:r>
              <w:rPr>
                <w:rFonts w:ascii="Times New Roman" w:hAnsi="Times New Roman" w:eastAsia="宋体"/>
                <w:b w:val="0"/>
                <w:sz w:val="20"/>
              </w:rPr>
              <w:t>0.897</w:t>
            </w:r>
          </w:p>
        </w:tc>
        <w:tc>
          <w:tcPr>
            <w:tcW w:type="dxa" w:w="1080"/>
          </w:tcPr>
          <w:p>
            <w:pPr>
              <w:spacing w:line="324" w:lineRule="auto" w:after="40"/>
            </w:pPr>
            <w:r>
              <w:rPr>
                <w:sz w:val="20"/>
              </w:rPr>
            </w:r>
            <w:r>
              <w:rPr>
                <w:rFonts w:ascii="Times New Roman" w:hAnsi="Times New Roman" w:eastAsia="宋体"/>
                <w:b w:val="0"/>
                <w:sz w:val="20"/>
              </w:rPr>
              <w:t>0.866</w:t>
            </w:r>
          </w:p>
        </w:tc>
        <w:tc>
          <w:tcPr>
            <w:tcW w:type="dxa" w:w="1080"/>
          </w:tcPr>
          <w:p>
            <w:pPr>
              <w:spacing w:line="324" w:lineRule="auto" w:after="40"/>
            </w:pPr>
            <w:r>
              <w:rPr>
                <w:sz w:val="20"/>
              </w:rPr>
            </w:r>
            <w:r>
              <w:rPr>
                <w:rFonts w:ascii="Times New Roman" w:hAnsi="Times New Roman" w:eastAsia="宋体"/>
                <w:b w:val="0"/>
                <w:sz w:val="20"/>
              </w:rPr>
              <w:t>10.7</w:t>
            </w:r>
          </w:p>
        </w:tc>
      </w:tr>
      <w:tr>
        <w:tc>
          <w:tcPr>
            <w:tcW w:type="dxa" w:w="1080"/>
          </w:tcPr>
          <w:p>
            <w:pPr>
              <w:spacing w:line="324" w:lineRule="auto" w:after="40"/>
            </w:pPr>
            <w:r>
              <w:rPr>
                <w:sz w:val="20"/>
              </w:rPr>
            </w:r>
            <w:r>
              <w:rPr>
                <w:rFonts w:ascii="Times New Roman" w:hAnsi="Times New Roman" w:eastAsia="宋体"/>
                <w:b w:val="0"/>
                <w:sz w:val="20"/>
              </w:rPr>
              <w:t>4</w:t>
            </w:r>
          </w:p>
        </w:tc>
        <w:tc>
          <w:tcPr>
            <w:tcW w:type="dxa" w:w="1080"/>
          </w:tcPr>
          <w:p>
            <w:pPr>
              <w:spacing w:line="324" w:lineRule="auto" w:after="40"/>
            </w:pPr>
            <w:r>
              <w:rPr>
                <w:sz w:val="20"/>
              </w:rPr>
            </w:r>
            <w:r>
              <w:rPr>
                <w:rFonts w:ascii="Times New Roman" w:hAnsi="Times New Roman" w:eastAsia="宋体"/>
                <w:b w:val="0"/>
                <w:sz w:val="20"/>
              </w:rPr>
              <w:t>92035.9</w:t>
            </w:r>
          </w:p>
        </w:tc>
        <w:tc>
          <w:tcPr>
            <w:tcW w:type="dxa" w:w="1080"/>
          </w:tcPr>
          <w:p>
            <w:pPr>
              <w:spacing w:line="324" w:lineRule="auto" w:after="40"/>
            </w:pPr>
            <w:r>
              <w:rPr>
                <w:sz w:val="20"/>
              </w:rPr>
            </w:r>
            <w:r>
              <w:rPr>
                <w:rFonts w:ascii="Times New Roman" w:hAnsi="Times New Roman" w:eastAsia="宋体"/>
                <w:b w:val="0"/>
                <w:sz w:val="20"/>
              </w:rPr>
              <w:t>91935.7</w:t>
            </w:r>
          </w:p>
        </w:tc>
        <w:tc>
          <w:tcPr>
            <w:tcW w:type="dxa" w:w="1080"/>
          </w:tcPr>
          <w:p>
            <w:pPr>
              <w:spacing w:line="324" w:lineRule="auto" w:after="40"/>
            </w:pPr>
            <w:r>
              <w:rPr>
                <w:sz w:val="20"/>
              </w:rPr>
            </w:r>
            <w:r>
              <w:rPr>
                <w:rFonts w:ascii="Times New Roman" w:hAnsi="Times New Roman" w:eastAsia="宋体"/>
                <w:b w:val="0"/>
                <w:sz w:val="20"/>
              </w:rPr>
              <w:t>-45955.88</w:t>
            </w:r>
          </w:p>
        </w:tc>
        <w:tc>
          <w:tcPr>
            <w:tcW w:type="dxa" w:w="1080"/>
          </w:tcPr>
          <w:p>
            <w:pPr>
              <w:spacing w:line="324" w:lineRule="auto" w:after="40"/>
            </w:pPr>
            <w:r>
              <w:rPr>
                <w:sz w:val="20"/>
              </w:rPr>
            </w:r>
            <w:r>
              <w:rPr>
                <w:rFonts w:ascii="Times New Roman" w:hAnsi="Times New Roman" w:eastAsia="宋体"/>
                <w:b w:val="0"/>
                <w:sz w:val="20"/>
              </w:rPr>
              <w:t>16</w:t>
            </w:r>
          </w:p>
        </w:tc>
        <w:tc>
          <w:tcPr>
            <w:tcW w:type="dxa" w:w="1080"/>
          </w:tcPr>
          <w:p>
            <w:pPr>
              <w:spacing w:line="324" w:lineRule="auto" w:after="40"/>
            </w:pPr>
            <w:r>
              <w:rPr>
                <w:sz w:val="20"/>
              </w:rPr>
            </w:r>
            <w:r>
              <w:rPr>
                <w:rFonts w:ascii="Times New Roman" w:hAnsi="Times New Roman" w:eastAsia="宋体"/>
                <w:b w:val="0"/>
                <w:sz w:val="20"/>
              </w:rPr>
              <w:t>0.897</w:t>
            </w:r>
          </w:p>
        </w:tc>
        <w:tc>
          <w:tcPr>
            <w:tcW w:type="dxa" w:w="1080"/>
          </w:tcPr>
          <w:p>
            <w:pPr>
              <w:spacing w:line="324" w:lineRule="auto" w:after="40"/>
            </w:pPr>
            <w:r>
              <w:rPr>
                <w:sz w:val="20"/>
              </w:rPr>
            </w:r>
            <w:r>
              <w:rPr>
                <w:rFonts w:ascii="Times New Roman" w:hAnsi="Times New Roman" w:eastAsia="宋体"/>
                <w:b w:val="0"/>
                <w:sz w:val="20"/>
              </w:rPr>
              <w:t>0.828</w:t>
            </w:r>
          </w:p>
        </w:tc>
        <w:tc>
          <w:tcPr>
            <w:tcW w:type="dxa" w:w="1080"/>
          </w:tcPr>
          <w:p>
            <w:pPr>
              <w:spacing w:line="324" w:lineRule="auto" w:after="40"/>
            </w:pPr>
            <w:r>
              <w:rPr>
                <w:sz w:val="20"/>
              </w:rPr>
            </w:r>
            <w:r>
              <w:rPr>
                <w:rFonts w:ascii="Times New Roman" w:hAnsi="Times New Roman" w:eastAsia="宋体"/>
                <w:b w:val="0"/>
                <w:sz w:val="20"/>
              </w:rPr>
              <w:t>1.2</w:t>
            </w:r>
          </w:p>
        </w:tc>
      </w:tr>
      <w:tr>
        <w:tc>
          <w:tcPr>
            <w:tcW w:type="dxa" w:w="1080"/>
          </w:tcPr>
          <w:p>
            <w:pPr>
              <w:spacing w:line="324" w:lineRule="auto" w:after="40"/>
            </w:pPr>
            <w:r>
              <w:rPr>
                <w:sz w:val="20"/>
              </w:rPr>
            </w:r>
            <w:r>
              <w:rPr>
                <w:rFonts w:ascii="Times New Roman" w:hAnsi="Times New Roman" w:eastAsia="宋体"/>
                <w:b w:val="0"/>
                <w:sz w:val="20"/>
              </w:rPr>
              <w:t>5</w:t>
            </w:r>
          </w:p>
        </w:tc>
        <w:tc>
          <w:tcPr>
            <w:tcW w:type="dxa" w:w="1080"/>
          </w:tcPr>
          <w:p>
            <w:pPr>
              <w:spacing w:line="324" w:lineRule="auto" w:after="40"/>
            </w:pPr>
            <w:r>
              <w:rPr>
                <w:sz w:val="20"/>
              </w:rPr>
            </w:r>
            <w:r>
              <w:rPr>
                <w:rFonts w:ascii="Times New Roman" w:hAnsi="Times New Roman" w:eastAsia="宋体"/>
                <w:b w:val="0"/>
                <w:sz w:val="20"/>
              </w:rPr>
              <w:t>92007.2</w:t>
            </w:r>
          </w:p>
        </w:tc>
        <w:tc>
          <w:tcPr>
            <w:tcW w:type="dxa" w:w="1080"/>
          </w:tcPr>
          <w:p>
            <w:pPr>
              <w:spacing w:line="324" w:lineRule="auto" w:after="40"/>
            </w:pPr>
            <w:r>
              <w:rPr>
                <w:sz w:val="20"/>
              </w:rPr>
            </w:r>
            <w:r>
              <w:rPr>
                <w:rFonts w:ascii="Times New Roman" w:hAnsi="Times New Roman" w:eastAsia="宋体"/>
                <w:b w:val="0"/>
                <w:sz w:val="20"/>
              </w:rPr>
              <w:t>91881.6</w:t>
            </w:r>
          </w:p>
        </w:tc>
        <w:tc>
          <w:tcPr>
            <w:tcW w:type="dxa" w:w="1080"/>
          </w:tcPr>
          <w:p>
            <w:pPr>
              <w:spacing w:line="324" w:lineRule="auto" w:after="40"/>
            </w:pPr>
            <w:r>
              <w:rPr>
                <w:sz w:val="20"/>
              </w:rPr>
            </w:r>
            <w:r>
              <w:rPr>
                <w:rFonts w:ascii="Times New Roman" w:hAnsi="Times New Roman" w:eastAsia="宋体"/>
                <w:b w:val="0"/>
                <w:sz w:val="20"/>
              </w:rPr>
              <w:t>-45928.82</w:t>
            </w:r>
          </w:p>
        </w:tc>
        <w:tc>
          <w:tcPr>
            <w:tcW w:type="dxa" w:w="1080"/>
          </w:tcPr>
          <w:p>
            <w:pPr>
              <w:spacing w:line="324" w:lineRule="auto" w:after="40"/>
            </w:pPr>
            <w:r>
              <w:rPr>
                <w:sz w:val="20"/>
              </w:rPr>
            </w:r>
            <w:r>
              <w:rPr>
                <w:rFonts w:ascii="Times New Roman" w:hAnsi="Times New Roman" w:eastAsia="宋体"/>
                <w:b w:val="0"/>
                <w:sz w:val="20"/>
              </w:rPr>
              <w:t>20</w:t>
            </w:r>
          </w:p>
        </w:tc>
        <w:tc>
          <w:tcPr>
            <w:tcW w:type="dxa" w:w="1080"/>
          </w:tcPr>
          <w:p>
            <w:pPr>
              <w:spacing w:line="324" w:lineRule="auto" w:after="40"/>
            </w:pPr>
            <w:r>
              <w:rPr>
                <w:sz w:val="20"/>
              </w:rPr>
            </w:r>
            <w:r>
              <w:rPr>
                <w:rFonts w:ascii="Times New Roman" w:hAnsi="Times New Roman" w:eastAsia="宋体"/>
                <w:b w:val="0"/>
                <w:sz w:val="20"/>
              </w:rPr>
              <w:t>0.863</w:t>
            </w:r>
          </w:p>
        </w:tc>
        <w:tc>
          <w:tcPr>
            <w:tcW w:type="dxa" w:w="1080"/>
          </w:tcPr>
          <w:p>
            <w:pPr>
              <w:spacing w:line="324" w:lineRule="auto" w:after="40"/>
            </w:pPr>
            <w:r>
              <w:rPr>
                <w:sz w:val="20"/>
              </w:rPr>
            </w:r>
            <w:r>
              <w:rPr>
                <w:rFonts w:ascii="Times New Roman" w:hAnsi="Times New Roman" w:eastAsia="宋体"/>
                <w:b w:val="0"/>
                <w:sz w:val="20"/>
              </w:rPr>
              <w:t>0.726</w:t>
            </w:r>
          </w:p>
        </w:tc>
        <w:tc>
          <w:tcPr>
            <w:tcW w:type="dxa" w:w="1080"/>
          </w:tcPr>
          <w:p>
            <w:pPr>
              <w:spacing w:line="324" w:lineRule="auto" w:after="40"/>
            </w:pPr>
            <w:r>
              <w:rPr>
                <w:sz w:val="20"/>
              </w:rPr>
            </w:r>
            <w:r>
              <w:rPr>
                <w:rFonts w:ascii="Times New Roman" w:hAnsi="Times New Roman" w:eastAsia="宋体"/>
                <w:b w:val="0"/>
                <w:sz w:val="20"/>
              </w:rPr>
              <w:t>0.7</w:t>
            </w:r>
          </w:p>
        </w:tc>
      </w:tr>
    </w:tbl>
    <w:p/>
    <w:p>
      <w:pPr>
        <w:spacing w:line="360" w:lineRule="auto"/>
      </w:pPr>
      <w:r>
        <w:rPr>
          <w:rFonts w:ascii="Times New Roman" w:hAnsi="Times New Roman" w:eastAsia="宋体"/>
          <w:b w:val="0"/>
          <w:sz w:val="21"/>
        </w:rPr>
        <w:t>Note: Although four- and five-class solutions had lower BIC, their minimum class proportions were &lt;5%, rendering them clinically non-interpretable; the three-class solution was therefore selected. Parameter counts are computed as 4 × number of classes (class-specific intercept, linear, and quadratic terms + residual variance + class probabilities); all solutions converged (maxiter 300). For completeness, the four-class solution (proportions 38.3%/44.7%/15.8%/1.2%) gave the same monotonic gradient in the primary logistic model (OR vs highest class: 1.60, 95% CI 1.17–2.20; 3.55, 95% CI 2.49–5.08; 8.22, 95% CI 3.72–17.09), indicating that the three-class choice does not change the conclusions.</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2. Baseline (2011) LE8 component scores by trajectory group.</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728"/>
        <w:gridCol w:w="1728"/>
        <w:gridCol w:w="1728"/>
        <w:gridCol w:w="1728"/>
        <w:gridCol w:w="1728"/>
      </w:tblGrid>
      <w:tr>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Component</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Persistent high (n=2,048)</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Persistent moderate (n=2,084)</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Persistent low (n=493)</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P</w:t>
            </w:r>
          </w:p>
        </w:tc>
      </w:tr>
      <w:tr>
        <w:tc>
          <w:tcPr>
            <w:tcW w:type="dxa" w:w="1728"/>
          </w:tcPr>
          <w:p>
            <w:pPr>
              <w:spacing w:line="324" w:lineRule="auto" w:after="40"/>
            </w:pPr>
            <w:r>
              <w:rPr>
                <w:sz w:val="20"/>
              </w:rPr>
            </w:r>
            <w:r>
              <w:rPr>
                <w:rFonts w:ascii="Times New Roman" w:hAnsi="Times New Roman" w:eastAsia="宋体"/>
                <w:b w:val="0"/>
                <w:sz w:val="20"/>
              </w:rPr>
              <w:t>Physical activity</w:t>
            </w:r>
          </w:p>
        </w:tc>
        <w:tc>
          <w:tcPr>
            <w:tcW w:type="dxa" w:w="1728"/>
          </w:tcPr>
          <w:p>
            <w:pPr>
              <w:spacing w:line="324" w:lineRule="auto" w:after="40"/>
            </w:pPr>
            <w:r>
              <w:rPr>
                <w:sz w:val="20"/>
              </w:rPr>
            </w:r>
            <w:r>
              <w:rPr>
                <w:rFonts w:ascii="Times New Roman" w:hAnsi="Times New Roman" w:eastAsia="宋体"/>
                <w:b w:val="0"/>
                <w:sz w:val="20"/>
              </w:rPr>
              <w:t>93.0 ± 22.8</w:t>
            </w:r>
          </w:p>
        </w:tc>
        <w:tc>
          <w:tcPr>
            <w:tcW w:type="dxa" w:w="1728"/>
          </w:tcPr>
          <w:p>
            <w:pPr>
              <w:spacing w:line="324" w:lineRule="auto" w:after="40"/>
            </w:pPr>
            <w:r>
              <w:rPr>
                <w:sz w:val="20"/>
              </w:rPr>
            </w:r>
            <w:r>
              <w:rPr>
                <w:rFonts w:ascii="Times New Roman" w:hAnsi="Times New Roman" w:eastAsia="宋体"/>
                <w:b w:val="0"/>
                <w:sz w:val="20"/>
              </w:rPr>
              <w:t>84.9 ± 32.9</w:t>
            </w:r>
          </w:p>
        </w:tc>
        <w:tc>
          <w:tcPr>
            <w:tcW w:type="dxa" w:w="1728"/>
          </w:tcPr>
          <w:p>
            <w:pPr>
              <w:spacing w:line="324" w:lineRule="auto" w:after="40"/>
            </w:pPr>
            <w:r>
              <w:rPr>
                <w:sz w:val="20"/>
              </w:rPr>
            </w:r>
            <w:r>
              <w:rPr>
                <w:rFonts w:ascii="Times New Roman" w:hAnsi="Times New Roman" w:eastAsia="宋体"/>
                <w:b w:val="0"/>
                <w:sz w:val="20"/>
              </w:rPr>
              <w:t>70.4 ± 42.4</w:t>
            </w:r>
          </w:p>
        </w:tc>
        <w:tc>
          <w:tcPr>
            <w:tcW w:type="dxa" w:w="1728"/>
          </w:tcPr>
          <w:p>
            <w:pPr>
              <w:spacing w:line="324" w:lineRule="auto" w:after="40"/>
            </w:pPr>
            <w:r>
              <w:rPr>
                <w:sz w:val="20"/>
              </w:rPr>
            </w:r>
            <w:r>
              <w:rPr>
                <w:rFonts w:ascii="Times New Roman" w:hAnsi="Times New Roman" w:eastAsia="宋体"/>
                <w:b w:val="0"/>
                <w:sz w:val="20"/>
              </w:rPr>
              <w:t>&lt;0.001</w:t>
            </w:r>
          </w:p>
        </w:tc>
      </w:tr>
      <w:tr>
        <w:tc>
          <w:tcPr>
            <w:tcW w:type="dxa" w:w="1728"/>
          </w:tcPr>
          <w:p>
            <w:pPr>
              <w:spacing w:line="324" w:lineRule="auto" w:after="40"/>
            </w:pPr>
            <w:r>
              <w:rPr>
                <w:sz w:val="20"/>
              </w:rPr>
            </w:r>
            <w:r>
              <w:rPr>
                <w:rFonts w:ascii="Times New Roman" w:hAnsi="Times New Roman" w:eastAsia="宋体"/>
                <w:b w:val="0"/>
                <w:sz w:val="20"/>
              </w:rPr>
              <w:t>Nicotine exposure</w:t>
            </w:r>
          </w:p>
        </w:tc>
        <w:tc>
          <w:tcPr>
            <w:tcW w:type="dxa" w:w="1728"/>
          </w:tcPr>
          <w:p>
            <w:pPr>
              <w:spacing w:line="324" w:lineRule="auto" w:after="40"/>
            </w:pPr>
            <w:r>
              <w:rPr>
                <w:sz w:val="20"/>
              </w:rPr>
            </w:r>
            <w:r>
              <w:rPr>
                <w:rFonts w:ascii="Times New Roman" w:hAnsi="Times New Roman" w:eastAsia="宋体"/>
                <w:b w:val="0"/>
                <w:sz w:val="20"/>
              </w:rPr>
              <w:t>86.9 ± 30.2</w:t>
            </w:r>
          </w:p>
        </w:tc>
        <w:tc>
          <w:tcPr>
            <w:tcW w:type="dxa" w:w="1728"/>
          </w:tcPr>
          <w:p>
            <w:pPr>
              <w:spacing w:line="324" w:lineRule="auto" w:after="40"/>
            </w:pPr>
            <w:r>
              <w:rPr>
                <w:sz w:val="20"/>
              </w:rPr>
            </w:r>
            <w:r>
              <w:rPr>
                <w:rFonts w:ascii="Times New Roman" w:hAnsi="Times New Roman" w:eastAsia="宋体"/>
                <w:b w:val="0"/>
                <w:sz w:val="20"/>
              </w:rPr>
              <w:t>69.6 ± 41.0</w:t>
            </w:r>
          </w:p>
        </w:tc>
        <w:tc>
          <w:tcPr>
            <w:tcW w:type="dxa" w:w="1728"/>
          </w:tcPr>
          <w:p>
            <w:pPr>
              <w:spacing w:line="324" w:lineRule="auto" w:after="40"/>
            </w:pPr>
            <w:r>
              <w:rPr>
                <w:sz w:val="20"/>
              </w:rPr>
            </w:r>
            <w:r>
              <w:rPr>
                <w:rFonts w:ascii="Times New Roman" w:hAnsi="Times New Roman" w:eastAsia="宋体"/>
                <w:b w:val="0"/>
                <w:sz w:val="20"/>
              </w:rPr>
              <w:t>46.5 ± 45.2</w:t>
            </w:r>
          </w:p>
        </w:tc>
        <w:tc>
          <w:tcPr>
            <w:tcW w:type="dxa" w:w="1728"/>
          </w:tcPr>
          <w:p>
            <w:pPr>
              <w:spacing w:line="324" w:lineRule="auto" w:after="40"/>
            </w:pPr>
            <w:r>
              <w:rPr>
                <w:sz w:val="20"/>
              </w:rPr>
            </w:r>
            <w:r>
              <w:rPr>
                <w:rFonts w:ascii="Times New Roman" w:hAnsi="Times New Roman" w:eastAsia="宋体"/>
                <w:b w:val="0"/>
                <w:sz w:val="20"/>
              </w:rPr>
              <w:t>&lt;0.001</w:t>
            </w:r>
          </w:p>
        </w:tc>
      </w:tr>
      <w:tr>
        <w:tc>
          <w:tcPr>
            <w:tcW w:type="dxa" w:w="1728"/>
          </w:tcPr>
          <w:p>
            <w:pPr>
              <w:spacing w:line="324" w:lineRule="auto" w:after="40"/>
            </w:pPr>
            <w:r>
              <w:rPr>
                <w:sz w:val="20"/>
              </w:rPr>
            </w:r>
            <w:r>
              <w:rPr>
                <w:rFonts w:ascii="Times New Roman" w:hAnsi="Times New Roman" w:eastAsia="宋体"/>
                <w:b w:val="0"/>
                <w:sz w:val="20"/>
              </w:rPr>
              <w:t>Sleep health</w:t>
            </w:r>
          </w:p>
        </w:tc>
        <w:tc>
          <w:tcPr>
            <w:tcW w:type="dxa" w:w="1728"/>
          </w:tcPr>
          <w:p>
            <w:pPr>
              <w:spacing w:line="324" w:lineRule="auto" w:after="40"/>
            </w:pPr>
            <w:r>
              <w:rPr>
                <w:sz w:val="20"/>
              </w:rPr>
            </w:r>
            <w:r>
              <w:rPr>
                <w:rFonts w:ascii="Times New Roman" w:hAnsi="Times New Roman" w:eastAsia="宋体"/>
                <w:b w:val="0"/>
                <w:sz w:val="20"/>
              </w:rPr>
              <w:t>85.6 ± 20.9</w:t>
            </w:r>
          </w:p>
        </w:tc>
        <w:tc>
          <w:tcPr>
            <w:tcW w:type="dxa" w:w="1728"/>
          </w:tcPr>
          <w:p>
            <w:pPr>
              <w:spacing w:line="324" w:lineRule="auto" w:after="40"/>
            </w:pPr>
            <w:r>
              <w:rPr>
                <w:sz w:val="20"/>
              </w:rPr>
            </w:r>
            <w:r>
              <w:rPr>
                <w:rFonts w:ascii="Times New Roman" w:hAnsi="Times New Roman" w:eastAsia="宋体"/>
                <w:b w:val="0"/>
                <w:sz w:val="20"/>
              </w:rPr>
              <w:t>78.7 ± 26.3</w:t>
            </w:r>
          </w:p>
        </w:tc>
        <w:tc>
          <w:tcPr>
            <w:tcW w:type="dxa" w:w="1728"/>
          </w:tcPr>
          <w:p>
            <w:pPr>
              <w:spacing w:line="324" w:lineRule="auto" w:after="40"/>
            </w:pPr>
            <w:r>
              <w:rPr>
                <w:sz w:val="20"/>
              </w:rPr>
            </w:r>
            <w:r>
              <w:rPr>
                <w:rFonts w:ascii="Times New Roman" w:hAnsi="Times New Roman" w:eastAsia="宋体"/>
                <w:b w:val="0"/>
                <w:sz w:val="20"/>
              </w:rPr>
              <w:t>72.6 ± 29.7</w:t>
            </w:r>
          </w:p>
        </w:tc>
        <w:tc>
          <w:tcPr>
            <w:tcW w:type="dxa" w:w="1728"/>
          </w:tcPr>
          <w:p>
            <w:pPr>
              <w:spacing w:line="324" w:lineRule="auto" w:after="40"/>
            </w:pPr>
            <w:r>
              <w:rPr>
                <w:sz w:val="20"/>
              </w:rPr>
            </w:r>
            <w:r>
              <w:rPr>
                <w:rFonts w:ascii="Times New Roman" w:hAnsi="Times New Roman" w:eastAsia="宋体"/>
                <w:b w:val="0"/>
                <w:sz w:val="20"/>
              </w:rPr>
              <w:t>&lt;0.001</w:t>
            </w:r>
          </w:p>
        </w:tc>
      </w:tr>
      <w:tr>
        <w:tc>
          <w:tcPr>
            <w:tcW w:type="dxa" w:w="1728"/>
          </w:tcPr>
          <w:p>
            <w:pPr>
              <w:spacing w:line="324" w:lineRule="auto" w:after="40"/>
            </w:pPr>
            <w:r>
              <w:rPr>
                <w:sz w:val="20"/>
              </w:rPr>
            </w:r>
            <w:r>
              <w:rPr>
                <w:rFonts w:ascii="Times New Roman" w:hAnsi="Times New Roman" w:eastAsia="宋体"/>
                <w:b w:val="0"/>
                <w:sz w:val="20"/>
              </w:rPr>
              <w:t>BMI</w:t>
            </w:r>
          </w:p>
        </w:tc>
        <w:tc>
          <w:tcPr>
            <w:tcW w:type="dxa" w:w="1728"/>
          </w:tcPr>
          <w:p>
            <w:pPr>
              <w:spacing w:line="324" w:lineRule="auto" w:after="40"/>
            </w:pPr>
            <w:r>
              <w:rPr>
                <w:sz w:val="20"/>
              </w:rPr>
            </w:r>
            <w:r>
              <w:rPr>
                <w:rFonts w:ascii="Times New Roman" w:hAnsi="Times New Roman" w:eastAsia="宋体"/>
                <w:b w:val="0"/>
                <w:sz w:val="20"/>
              </w:rPr>
              <w:t>95.7 ± 11.0</w:t>
            </w:r>
          </w:p>
        </w:tc>
        <w:tc>
          <w:tcPr>
            <w:tcW w:type="dxa" w:w="1728"/>
          </w:tcPr>
          <w:p>
            <w:pPr>
              <w:spacing w:line="324" w:lineRule="auto" w:after="40"/>
            </w:pPr>
            <w:r>
              <w:rPr>
                <w:sz w:val="20"/>
              </w:rPr>
            </w:r>
            <w:r>
              <w:rPr>
                <w:rFonts w:ascii="Times New Roman" w:hAnsi="Times New Roman" w:eastAsia="宋体"/>
                <w:b w:val="0"/>
                <w:sz w:val="20"/>
              </w:rPr>
              <w:t>90.6 ± 15.2</w:t>
            </w:r>
          </w:p>
        </w:tc>
        <w:tc>
          <w:tcPr>
            <w:tcW w:type="dxa" w:w="1728"/>
          </w:tcPr>
          <w:p>
            <w:pPr>
              <w:spacing w:line="324" w:lineRule="auto" w:after="40"/>
            </w:pPr>
            <w:r>
              <w:rPr>
                <w:sz w:val="20"/>
              </w:rPr>
            </w:r>
            <w:r>
              <w:rPr>
                <w:rFonts w:ascii="Times New Roman" w:hAnsi="Times New Roman" w:eastAsia="宋体"/>
                <w:b w:val="0"/>
                <w:sz w:val="20"/>
              </w:rPr>
              <w:t>84.2 ± 17.6</w:t>
            </w:r>
          </w:p>
        </w:tc>
        <w:tc>
          <w:tcPr>
            <w:tcW w:type="dxa" w:w="1728"/>
          </w:tcPr>
          <w:p>
            <w:pPr>
              <w:spacing w:line="324" w:lineRule="auto" w:after="40"/>
            </w:pPr>
            <w:r>
              <w:rPr>
                <w:sz w:val="20"/>
              </w:rPr>
            </w:r>
            <w:r>
              <w:rPr>
                <w:rFonts w:ascii="Times New Roman" w:hAnsi="Times New Roman" w:eastAsia="宋体"/>
                <w:b w:val="0"/>
                <w:sz w:val="20"/>
              </w:rPr>
              <w:t>&lt;0.001</w:t>
            </w:r>
          </w:p>
        </w:tc>
      </w:tr>
      <w:tr>
        <w:tc>
          <w:tcPr>
            <w:tcW w:type="dxa" w:w="1728"/>
          </w:tcPr>
          <w:p>
            <w:pPr>
              <w:spacing w:line="324" w:lineRule="auto" w:after="40"/>
            </w:pPr>
            <w:r>
              <w:rPr>
                <w:sz w:val="20"/>
              </w:rPr>
            </w:r>
            <w:r>
              <w:rPr>
                <w:rFonts w:ascii="Times New Roman" w:hAnsi="Times New Roman" w:eastAsia="宋体"/>
                <w:b w:val="0"/>
                <w:sz w:val="20"/>
              </w:rPr>
              <w:t>Blood glucose</w:t>
            </w:r>
          </w:p>
        </w:tc>
        <w:tc>
          <w:tcPr>
            <w:tcW w:type="dxa" w:w="1728"/>
          </w:tcPr>
          <w:p>
            <w:pPr>
              <w:spacing w:line="324" w:lineRule="auto" w:after="40"/>
            </w:pPr>
            <w:r>
              <w:rPr>
                <w:sz w:val="20"/>
              </w:rPr>
            </w:r>
            <w:r>
              <w:rPr>
                <w:rFonts w:ascii="Times New Roman" w:hAnsi="Times New Roman" w:eastAsia="宋体"/>
                <w:b w:val="0"/>
                <w:sz w:val="20"/>
              </w:rPr>
              <w:t>98.7 ± 7.7</w:t>
            </w:r>
          </w:p>
        </w:tc>
        <w:tc>
          <w:tcPr>
            <w:tcW w:type="dxa" w:w="1728"/>
          </w:tcPr>
          <w:p>
            <w:pPr>
              <w:spacing w:line="324" w:lineRule="auto" w:after="40"/>
            </w:pPr>
            <w:r>
              <w:rPr>
                <w:sz w:val="20"/>
              </w:rPr>
            </w:r>
            <w:r>
              <w:rPr>
                <w:rFonts w:ascii="Times New Roman" w:hAnsi="Times New Roman" w:eastAsia="宋体"/>
                <w:b w:val="0"/>
                <w:sz w:val="20"/>
              </w:rPr>
              <w:t>94.1 ± 18.0</w:t>
            </w:r>
          </w:p>
        </w:tc>
        <w:tc>
          <w:tcPr>
            <w:tcW w:type="dxa" w:w="1728"/>
          </w:tcPr>
          <w:p>
            <w:pPr>
              <w:spacing w:line="324" w:lineRule="auto" w:after="40"/>
            </w:pPr>
            <w:r>
              <w:rPr>
                <w:sz w:val="20"/>
              </w:rPr>
            </w:r>
            <w:r>
              <w:rPr>
                <w:rFonts w:ascii="Times New Roman" w:hAnsi="Times New Roman" w:eastAsia="宋体"/>
                <w:b w:val="0"/>
                <w:sz w:val="20"/>
              </w:rPr>
              <w:t>79.2 ± 32.5</w:t>
            </w:r>
          </w:p>
        </w:tc>
        <w:tc>
          <w:tcPr>
            <w:tcW w:type="dxa" w:w="1728"/>
          </w:tcPr>
          <w:p>
            <w:pPr>
              <w:spacing w:line="324" w:lineRule="auto" w:after="40"/>
            </w:pPr>
            <w:r>
              <w:rPr>
                <w:sz w:val="20"/>
              </w:rPr>
            </w:r>
            <w:r>
              <w:rPr>
                <w:rFonts w:ascii="Times New Roman" w:hAnsi="Times New Roman" w:eastAsia="宋体"/>
                <w:b w:val="0"/>
                <w:sz w:val="20"/>
              </w:rPr>
              <w:t>&lt;0.001</w:t>
            </w:r>
          </w:p>
        </w:tc>
      </w:tr>
      <w:tr>
        <w:tc>
          <w:tcPr>
            <w:tcW w:type="dxa" w:w="1728"/>
          </w:tcPr>
          <w:p>
            <w:pPr>
              <w:spacing w:line="324" w:lineRule="auto" w:after="40"/>
            </w:pPr>
            <w:r>
              <w:rPr>
                <w:sz w:val="20"/>
              </w:rPr>
            </w:r>
            <w:r>
              <w:rPr>
                <w:rFonts w:ascii="Times New Roman" w:hAnsi="Times New Roman" w:eastAsia="宋体"/>
                <w:b w:val="0"/>
                <w:sz w:val="20"/>
              </w:rPr>
              <w:t>Blood lipids</w:t>
            </w:r>
          </w:p>
        </w:tc>
        <w:tc>
          <w:tcPr>
            <w:tcW w:type="dxa" w:w="1728"/>
          </w:tcPr>
          <w:p>
            <w:pPr>
              <w:spacing w:line="324" w:lineRule="auto" w:after="40"/>
            </w:pPr>
            <w:r>
              <w:rPr>
                <w:sz w:val="20"/>
              </w:rPr>
            </w:r>
            <w:r>
              <w:rPr>
                <w:rFonts w:ascii="Times New Roman" w:hAnsi="Times New Roman" w:eastAsia="宋体"/>
                <w:b w:val="0"/>
                <w:sz w:val="20"/>
              </w:rPr>
              <w:t>81.9 ± 24.0</w:t>
            </w:r>
          </w:p>
        </w:tc>
        <w:tc>
          <w:tcPr>
            <w:tcW w:type="dxa" w:w="1728"/>
          </w:tcPr>
          <w:p>
            <w:pPr>
              <w:spacing w:line="324" w:lineRule="auto" w:after="40"/>
            </w:pPr>
            <w:r>
              <w:rPr>
                <w:sz w:val="20"/>
              </w:rPr>
            </w:r>
            <w:r>
              <w:rPr>
                <w:rFonts w:ascii="Times New Roman" w:hAnsi="Times New Roman" w:eastAsia="宋体"/>
                <w:b w:val="0"/>
                <w:sz w:val="20"/>
              </w:rPr>
              <w:t>63.0 ± 28.9</w:t>
            </w:r>
          </w:p>
        </w:tc>
        <w:tc>
          <w:tcPr>
            <w:tcW w:type="dxa" w:w="1728"/>
          </w:tcPr>
          <w:p>
            <w:pPr>
              <w:spacing w:line="324" w:lineRule="auto" w:after="40"/>
            </w:pPr>
            <w:r>
              <w:rPr>
                <w:sz w:val="20"/>
              </w:rPr>
            </w:r>
            <w:r>
              <w:rPr>
                <w:rFonts w:ascii="Times New Roman" w:hAnsi="Times New Roman" w:eastAsia="宋体"/>
                <w:b w:val="0"/>
                <w:sz w:val="20"/>
              </w:rPr>
              <w:t>44.8 ± 26.8</w:t>
            </w:r>
          </w:p>
        </w:tc>
        <w:tc>
          <w:tcPr>
            <w:tcW w:type="dxa" w:w="1728"/>
          </w:tcPr>
          <w:p>
            <w:pPr>
              <w:spacing w:line="324" w:lineRule="auto" w:after="40"/>
            </w:pPr>
            <w:r>
              <w:rPr>
                <w:sz w:val="20"/>
              </w:rPr>
            </w:r>
            <w:r>
              <w:rPr>
                <w:rFonts w:ascii="Times New Roman" w:hAnsi="Times New Roman" w:eastAsia="宋体"/>
                <w:b w:val="0"/>
                <w:sz w:val="20"/>
              </w:rPr>
              <w:t>&lt;0.001</w:t>
            </w:r>
          </w:p>
        </w:tc>
      </w:tr>
      <w:tr>
        <w:tc>
          <w:tcPr>
            <w:tcW w:type="dxa" w:w="1728"/>
          </w:tcPr>
          <w:p>
            <w:pPr>
              <w:spacing w:line="324" w:lineRule="auto" w:after="40"/>
            </w:pPr>
            <w:r>
              <w:rPr>
                <w:sz w:val="20"/>
              </w:rPr>
            </w:r>
            <w:r>
              <w:rPr>
                <w:rFonts w:ascii="Times New Roman" w:hAnsi="Times New Roman" w:eastAsia="宋体"/>
                <w:b w:val="0"/>
                <w:sz w:val="20"/>
              </w:rPr>
              <w:t>Blood pressure</w:t>
            </w:r>
          </w:p>
        </w:tc>
        <w:tc>
          <w:tcPr>
            <w:tcW w:type="dxa" w:w="1728"/>
          </w:tcPr>
          <w:p>
            <w:pPr>
              <w:spacing w:line="324" w:lineRule="auto" w:after="40"/>
            </w:pPr>
            <w:r>
              <w:rPr>
                <w:sz w:val="20"/>
              </w:rPr>
            </w:r>
            <w:r>
              <w:rPr>
                <w:rFonts w:ascii="Times New Roman" w:hAnsi="Times New Roman" w:eastAsia="宋体"/>
                <w:b w:val="0"/>
                <w:sz w:val="20"/>
              </w:rPr>
              <w:t>83.4 ± 24.7</w:t>
            </w:r>
          </w:p>
        </w:tc>
        <w:tc>
          <w:tcPr>
            <w:tcW w:type="dxa" w:w="1728"/>
          </w:tcPr>
          <w:p>
            <w:pPr>
              <w:spacing w:line="324" w:lineRule="auto" w:after="40"/>
            </w:pPr>
            <w:r>
              <w:rPr>
                <w:sz w:val="20"/>
              </w:rPr>
            </w:r>
            <w:r>
              <w:rPr>
                <w:rFonts w:ascii="Times New Roman" w:hAnsi="Times New Roman" w:eastAsia="宋体"/>
                <w:b w:val="0"/>
                <w:sz w:val="20"/>
              </w:rPr>
              <w:t>64.9 ± 31.8</w:t>
            </w:r>
          </w:p>
        </w:tc>
        <w:tc>
          <w:tcPr>
            <w:tcW w:type="dxa" w:w="1728"/>
          </w:tcPr>
          <w:p>
            <w:pPr>
              <w:spacing w:line="324" w:lineRule="auto" w:after="40"/>
            </w:pPr>
            <w:r>
              <w:rPr>
                <w:sz w:val="20"/>
              </w:rPr>
            </w:r>
            <w:r>
              <w:rPr>
                <w:rFonts w:ascii="Times New Roman" w:hAnsi="Times New Roman" w:eastAsia="宋体"/>
                <w:b w:val="0"/>
                <w:sz w:val="20"/>
              </w:rPr>
              <w:t>43.9 ± 31.9</w:t>
            </w:r>
          </w:p>
        </w:tc>
        <w:tc>
          <w:tcPr>
            <w:tcW w:type="dxa" w:w="1728"/>
          </w:tcPr>
          <w:p>
            <w:pPr>
              <w:spacing w:line="324" w:lineRule="auto" w:after="40"/>
            </w:pPr>
            <w:r>
              <w:rPr>
                <w:sz w:val="20"/>
              </w:rPr>
            </w:r>
            <w:r>
              <w:rPr>
                <w:rFonts w:ascii="Times New Roman" w:hAnsi="Times New Roman" w:eastAsia="宋体"/>
                <w:b w:val="0"/>
                <w:sz w:val="20"/>
              </w:rPr>
              <w:t>&lt;0.001</w:t>
            </w:r>
          </w:p>
        </w:tc>
      </w:tr>
    </w:tbl>
    <w:p/>
    <w:p>
      <w:pPr>
        <w:spacing w:line="360" w:lineRule="auto"/>
      </w:pPr>
      <w:r>
        <w:rPr>
          <w:rFonts w:ascii="Times New Roman" w:hAnsi="Times New Roman" w:eastAsia="宋体"/>
          <w:b w:val="0"/>
          <w:sz w:val="21"/>
        </w:rPr>
        <w:t>Note: Each component scored 0–100; mean ± SD; Kruskal–Wallis test. All components showed significant gradients across groups (P&lt;0.001), with the largest gradients for nicotine exposure, lipids, and blood pressure.</w:t>
      </w:r>
    </w:p>
    <w:p>
      <w:pPr>
        <w:spacing w:line="360" w:lineRule="auto"/>
      </w:pPr>
      <w:r>
        <w:rPr>
          <w:rFonts w:ascii="Times New Roman" w:hAnsi="Times New Roman" w:eastAsia="宋体"/>
          <w:b/>
          <w:sz w:val="21"/>
        </w:rPr>
        <w:t>eTable 2 (continued). LE8 component scores at the 2015 wave by trajectory group.</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728"/>
        <w:gridCol w:w="1728"/>
        <w:gridCol w:w="1728"/>
        <w:gridCol w:w="1728"/>
        <w:gridCol w:w="1728"/>
      </w:tblGrid>
      <w:tr>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Component</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Persistent high (n=2,048)</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Persistent moderate (n=2,084)</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Persistent low (n=493)</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P</w:t>
            </w:r>
          </w:p>
        </w:tc>
      </w:tr>
      <w:tr>
        <w:tc>
          <w:tcPr>
            <w:tcW w:type="dxa" w:w="1728"/>
          </w:tcPr>
          <w:p>
            <w:pPr>
              <w:spacing w:line="324" w:lineRule="auto" w:after="40"/>
            </w:pPr>
            <w:r>
              <w:rPr>
                <w:sz w:val="20"/>
              </w:rPr>
            </w:r>
            <w:r>
              <w:rPr>
                <w:rFonts w:ascii="Times New Roman" w:hAnsi="Times New Roman" w:eastAsia="宋体"/>
                <w:b w:val="0"/>
                <w:sz w:val="20"/>
              </w:rPr>
              <w:t>Physical activity</w:t>
            </w:r>
          </w:p>
        </w:tc>
        <w:tc>
          <w:tcPr>
            <w:tcW w:type="dxa" w:w="1728"/>
          </w:tcPr>
          <w:p>
            <w:pPr>
              <w:spacing w:line="324" w:lineRule="auto" w:after="40"/>
            </w:pPr>
            <w:r>
              <w:rPr>
                <w:sz w:val="20"/>
              </w:rPr>
            </w:r>
            <w:r>
              <w:rPr>
                <w:rFonts w:ascii="Times New Roman" w:hAnsi="Times New Roman" w:eastAsia="宋体"/>
                <w:b w:val="0"/>
                <w:sz w:val="20"/>
              </w:rPr>
              <w:t>92.9 ± 23.1</w:t>
            </w:r>
          </w:p>
        </w:tc>
        <w:tc>
          <w:tcPr>
            <w:tcW w:type="dxa" w:w="1728"/>
          </w:tcPr>
          <w:p>
            <w:pPr>
              <w:spacing w:line="324" w:lineRule="auto" w:after="40"/>
            </w:pPr>
            <w:r>
              <w:rPr>
                <w:sz w:val="20"/>
              </w:rPr>
            </w:r>
            <w:r>
              <w:rPr>
                <w:rFonts w:ascii="Times New Roman" w:hAnsi="Times New Roman" w:eastAsia="宋体"/>
                <w:b w:val="0"/>
                <w:sz w:val="20"/>
              </w:rPr>
              <w:t>82.0 ± 35.6</w:t>
            </w:r>
          </w:p>
        </w:tc>
        <w:tc>
          <w:tcPr>
            <w:tcW w:type="dxa" w:w="1728"/>
          </w:tcPr>
          <w:p>
            <w:pPr>
              <w:spacing w:line="324" w:lineRule="auto" w:after="40"/>
            </w:pPr>
            <w:r>
              <w:rPr>
                <w:sz w:val="20"/>
              </w:rPr>
            </w:r>
            <w:r>
              <w:rPr>
                <w:rFonts w:ascii="Times New Roman" w:hAnsi="Times New Roman" w:eastAsia="宋体"/>
                <w:b w:val="0"/>
                <w:sz w:val="20"/>
              </w:rPr>
              <w:t>74.6 ± 41.9</w:t>
            </w:r>
          </w:p>
        </w:tc>
        <w:tc>
          <w:tcPr>
            <w:tcW w:type="dxa" w:w="1728"/>
          </w:tcPr>
          <w:p>
            <w:pPr>
              <w:spacing w:line="324" w:lineRule="auto" w:after="40"/>
            </w:pPr>
            <w:r>
              <w:rPr>
                <w:sz w:val="20"/>
              </w:rPr>
            </w:r>
            <w:r>
              <w:rPr>
                <w:rFonts w:ascii="Times New Roman" w:hAnsi="Times New Roman" w:eastAsia="宋体"/>
                <w:b w:val="0"/>
                <w:sz w:val="20"/>
              </w:rPr>
              <w:t>&lt;0.001</w:t>
            </w:r>
          </w:p>
        </w:tc>
      </w:tr>
      <w:tr>
        <w:tc>
          <w:tcPr>
            <w:tcW w:type="dxa" w:w="1728"/>
          </w:tcPr>
          <w:p>
            <w:pPr>
              <w:spacing w:line="324" w:lineRule="auto" w:after="40"/>
            </w:pPr>
            <w:r>
              <w:rPr>
                <w:sz w:val="20"/>
              </w:rPr>
            </w:r>
            <w:r>
              <w:rPr>
                <w:rFonts w:ascii="Times New Roman" w:hAnsi="Times New Roman" w:eastAsia="宋体"/>
                <w:b w:val="0"/>
                <w:sz w:val="20"/>
              </w:rPr>
              <w:t>Nicotine exposure</w:t>
            </w:r>
          </w:p>
        </w:tc>
        <w:tc>
          <w:tcPr>
            <w:tcW w:type="dxa" w:w="1728"/>
          </w:tcPr>
          <w:p>
            <w:pPr>
              <w:spacing w:line="324" w:lineRule="auto" w:after="40"/>
            </w:pPr>
            <w:r>
              <w:rPr>
                <w:sz w:val="20"/>
              </w:rPr>
            </w:r>
            <w:r>
              <w:rPr>
                <w:rFonts w:ascii="Times New Roman" w:hAnsi="Times New Roman" w:eastAsia="宋体"/>
                <w:b w:val="0"/>
                <w:sz w:val="20"/>
              </w:rPr>
              <w:t>83.4 ± 30.8</w:t>
            </w:r>
          </w:p>
        </w:tc>
        <w:tc>
          <w:tcPr>
            <w:tcW w:type="dxa" w:w="1728"/>
          </w:tcPr>
          <w:p>
            <w:pPr>
              <w:spacing w:line="324" w:lineRule="auto" w:after="40"/>
            </w:pPr>
            <w:r>
              <w:rPr>
                <w:sz w:val="20"/>
              </w:rPr>
            </w:r>
            <w:r>
              <w:rPr>
                <w:rFonts w:ascii="Times New Roman" w:hAnsi="Times New Roman" w:eastAsia="宋体"/>
                <w:b w:val="0"/>
                <w:sz w:val="20"/>
              </w:rPr>
              <w:t>65.3 ± 40.4</w:t>
            </w:r>
          </w:p>
        </w:tc>
        <w:tc>
          <w:tcPr>
            <w:tcW w:type="dxa" w:w="1728"/>
          </w:tcPr>
          <w:p>
            <w:pPr>
              <w:spacing w:line="324" w:lineRule="auto" w:after="40"/>
            </w:pPr>
            <w:r>
              <w:rPr>
                <w:sz w:val="20"/>
              </w:rPr>
            </w:r>
            <w:r>
              <w:rPr>
                <w:rFonts w:ascii="Times New Roman" w:hAnsi="Times New Roman" w:eastAsia="宋体"/>
                <w:b w:val="0"/>
                <w:sz w:val="20"/>
              </w:rPr>
              <w:t>48.3 ± 42.4</w:t>
            </w:r>
          </w:p>
        </w:tc>
        <w:tc>
          <w:tcPr>
            <w:tcW w:type="dxa" w:w="1728"/>
          </w:tcPr>
          <w:p>
            <w:pPr>
              <w:spacing w:line="324" w:lineRule="auto" w:after="40"/>
            </w:pPr>
            <w:r>
              <w:rPr>
                <w:sz w:val="20"/>
              </w:rPr>
            </w:r>
            <w:r>
              <w:rPr>
                <w:rFonts w:ascii="Times New Roman" w:hAnsi="Times New Roman" w:eastAsia="宋体"/>
                <w:b w:val="0"/>
                <w:sz w:val="20"/>
              </w:rPr>
              <w:t>&lt;0.001</w:t>
            </w:r>
          </w:p>
        </w:tc>
      </w:tr>
      <w:tr>
        <w:tc>
          <w:tcPr>
            <w:tcW w:type="dxa" w:w="1728"/>
          </w:tcPr>
          <w:p>
            <w:pPr>
              <w:spacing w:line="324" w:lineRule="auto" w:after="40"/>
            </w:pPr>
            <w:r>
              <w:rPr>
                <w:sz w:val="20"/>
              </w:rPr>
            </w:r>
            <w:r>
              <w:rPr>
                <w:rFonts w:ascii="Times New Roman" w:hAnsi="Times New Roman" w:eastAsia="宋体"/>
                <w:b w:val="0"/>
                <w:sz w:val="20"/>
              </w:rPr>
              <w:t>Sleep health</w:t>
            </w:r>
          </w:p>
        </w:tc>
        <w:tc>
          <w:tcPr>
            <w:tcW w:type="dxa" w:w="1728"/>
          </w:tcPr>
          <w:p>
            <w:pPr>
              <w:spacing w:line="324" w:lineRule="auto" w:after="40"/>
            </w:pPr>
            <w:r>
              <w:rPr>
                <w:sz w:val="20"/>
              </w:rPr>
            </w:r>
            <w:r>
              <w:rPr>
                <w:rFonts w:ascii="Times New Roman" w:hAnsi="Times New Roman" w:eastAsia="宋体"/>
                <w:b w:val="0"/>
                <w:sz w:val="20"/>
              </w:rPr>
              <w:t>84.2 ± 22.4</w:t>
            </w:r>
          </w:p>
        </w:tc>
        <w:tc>
          <w:tcPr>
            <w:tcW w:type="dxa" w:w="1728"/>
          </w:tcPr>
          <w:p>
            <w:pPr>
              <w:spacing w:line="324" w:lineRule="auto" w:after="40"/>
            </w:pPr>
            <w:r>
              <w:rPr>
                <w:sz w:val="20"/>
              </w:rPr>
            </w:r>
            <w:r>
              <w:rPr>
                <w:rFonts w:ascii="Times New Roman" w:hAnsi="Times New Roman" w:eastAsia="宋体"/>
                <w:b w:val="0"/>
                <w:sz w:val="20"/>
              </w:rPr>
              <w:t>75.9 ± 27.6</w:t>
            </w:r>
          </w:p>
        </w:tc>
        <w:tc>
          <w:tcPr>
            <w:tcW w:type="dxa" w:w="1728"/>
          </w:tcPr>
          <w:p>
            <w:pPr>
              <w:spacing w:line="324" w:lineRule="auto" w:after="40"/>
            </w:pPr>
            <w:r>
              <w:rPr>
                <w:sz w:val="20"/>
              </w:rPr>
            </w:r>
            <w:r>
              <w:rPr>
                <w:rFonts w:ascii="Times New Roman" w:hAnsi="Times New Roman" w:eastAsia="宋体"/>
                <w:b w:val="0"/>
                <w:sz w:val="20"/>
              </w:rPr>
              <w:t>71.4 ± 28.8</w:t>
            </w:r>
          </w:p>
        </w:tc>
        <w:tc>
          <w:tcPr>
            <w:tcW w:type="dxa" w:w="1728"/>
          </w:tcPr>
          <w:p>
            <w:pPr>
              <w:spacing w:line="324" w:lineRule="auto" w:after="40"/>
            </w:pPr>
            <w:r>
              <w:rPr>
                <w:sz w:val="20"/>
              </w:rPr>
            </w:r>
            <w:r>
              <w:rPr>
                <w:rFonts w:ascii="Times New Roman" w:hAnsi="Times New Roman" w:eastAsia="宋体"/>
                <w:b w:val="0"/>
                <w:sz w:val="20"/>
              </w:rPr>
              <w:t>&lt;0.001</w:t>
            </w:r>
          </w:p>
        </w:tc>
      </w:tr>
      <w:tr>
        <w:tc>
          <w:tcPr>
            <w:tcW w:type="dxa" w:w="1728"/>
          </w:tcPr>
          <w:p>
            <w:pPr>
              <w:spacing w:line="324" w:lineRule="auto" w:after="40"/>
            </w:pPr>
            <w:r>
              <w:rPr>
                <w:sz w:val="20"/>
              </w:rPr>
            </w:r>
            <w:r>
              <w:rPr>
                <w:rFonts w:ascii="Times New Roman" w:hAnsi="Times New Roman" w:eastAsia="宋体"/>
                <w:b w:val="0"/>
                <w:sz w:val="20"/>
              </w:rPr>
              <w:t>BMI</w:t>
            </w:r>
          </w:p>
        </w:tc>
        <w:tc>
          <w:tcPr>
            <w:tcW w:type="dxa" w:w="1728"/>
          </w:tcPr>
          <w:p>
            <w:pPr>
              <w:spacing w:line="324" w:lineRule="auto" w:after="40"/>
            </w:pPr>
            <w:r>
              <w:rPr>
                <w:sz w:val="20"/>
              </w:rPr>
            </w:r>
            <w:r>
              <w:rPr>
                <w:rFonts w:ascii="Times New Roman" w:hAnsi="Times New Roman" w:eastAsia="宋体"/>
                <w:b w:val="0"/>
                <w:sz w:val="20"/>
              </w:rPr>
              <w:t>95.0 ± 11.6</w:t>
            </w:r>
          </w:p>
        </w:tc>
        <w:tc>
          <w:tcPr>
            <w:tcW w:type="dxa" w:w="1728"/>
          </w:tcPr>
          <w:p>
            <w:pPr>
              <w:spacing w:line="324" w:lineRule="auto" w:after="40"/>
            </w:pPr>
            <w:r>
              <w:rPr>
                <w:sz w:val="20"/>
              </w:rPr>
            </w:r>
            <w:r>
              <w:rPr>
                <w:rFonts w:ascii="Times New Roman" w:hAnsi="Times New Roman" w:eastAsia="宋体"/>
                <w:b w:val="0"/>
                <w:sz w:val="20"/>
              </w:rPr>
              <w:t>89.4 ± 15.8</w:t>
            </w:r>
          </w:p>
        </w:tc>
        <w:tc>
          <w:tcPr>
            <w:tcW w:type="dxa" w:w="1728"/>
          </w:tcPr>
          <w:p>
            <w:pPr>
              <w:spacing w:line="324" w:lineRule="auto" w:after="40"/>
            </w:pPr>
            <w:r>
              <w:rPr>
                <w:sz w:val="20"/>
              </w:rPr>
            </w:r>
            <w:r>
              <w:rPr>
                <w:rFonts w:ascii="Times New Roman" w:hAnsi="Times New Roman" w:eastAsia="宋体"/>
                <w:b w:val="0"/>
                <w:sz w:val="20"/>
              </w:rPr>
              <w:t>83.3 ± 17.7</w:t>
            </w:r>
          </w:p>
        </w:tc>
        <w:tc>
          <w:tcPr>
            <w:tcW w:type="dxa" w:w="1728"/>
          </w:tcPr>
          <w:p>
            <w:pPr>
              <w:spacing w:line="324" w:lineRule="auto" w:after="40"/>
            </w:pPr>
            <w:r>
              <w:rPr>
                <w:sz w:val="20"/>
              </w:rPr>
            </w:r>
            <w:r>
              <w:rPr>
                <w:rFonts w:ascii="Times New Roman" w:hAnsi="Times New Roman" w:eastAsia="宋体"/>
                <w:b w:val="0"/>
                <w:sz w:val="20"/>
              </w:rPr>
              <w:t>&lt;0.001</w:t>
            </w:r>
          </w:p>
        </w:tc>
      </w:tr>
      <w:tr>
        <w:tc>
          <w:tcPr>
            <w:tcW w:type="dxa" w:w="1728"/>
          </w:tcPr>
          <w:p>
            <w:pPr>
              <w:spacing w:line="324" w:lineRule="auto" w:after="40"/>
            </w:pPr>
            <w:r>
              <w:rPr>
                <w:sz w:val="20"/>
              </w:rPr>
            </w:r>
            <w:r>
              <w:rPr>
                <w:rFonts w:ascii="Times New Roman" w:hAnsi="Times New Roman" w:eastAsia="宋体"/>
                <w:b w:val="0"/>
                <w:sz w:val="20"/>
              </w:rPr>
              <w:t>Blood glucose</w:t>
            </w:r>
          </w:p>
        </w:tc>
        <w:tc>
          <w:tcPr>
            <w:tcW w:type="dxa" w:w="1728"/>
          </w:tcPr>
          <w:p>
            <w:pPr>
              <w:spacing w:line="324" w:lineRule="auto" w:after="40"/>
            </w:pPr>
            <w:r>
              <w:rPr>
                <w:sz w:val="20"/>
              </w:rPr>
            </w:r>
            <w:r>
              <w:rPr>
                <w:rFonts w:ascii="Times New Roman" w:hAnsi="Times New Roman" w:eastAsia="宋体"/>
                <w:b w:val="0"/>
                <w:sz w:val="20"/>
              </w:rPr>
              <w:t>79.8 ± 21.0</w:t>
            </w:r>
          </w:p>
        </w:tc>
        <w:tc>
          <w:tcPr>
            <w:tcW w:type="dxa" w:w="1728"/>
          </w:tcPr>
          <w:p>
            <w:pPr>
              <w:spacing w:line="324" w:lineRule="auto" w:after="40"/>
            </w:pPr>
            <w:r>
              <w:rPr>
                <w:sz w:val="20"/>
              </w:rPr>
            </w:r>
            <w:r>
              <w:rPr>
                <w:rFonts w:ascii="Times New Roman" w:hAnsi="Times New Roman" w:eastAsia="宋体"/>
                <w:b w:val="0"/>
                <w:sz w:val="20"/>
              </w:rPr>
              <w:t>67.1 ± 23.5</w:t>
            </w:r>
          </w:p>
        </w:tc>
        <w:tc>
          <w:tcPr>
            <w:tcW w:type="dxa" w:w="1728"/>
          </w:tcPr>
          <w:p>
            <w:pPr>
              <w:spacing w:line="324" w:lineRule="auto" w:after="40"/>
            </w:pPr>
            <w:r>
              <w:rPr>
                <w:sz w:val="20"/>
              </w:rPr>
            </w:r>
            <w:r>
              <w:rPr>
                <w:rFonts w:ascii="Times New Roman" w:hAnsi="Times New Roman" w:eastAsia="宋体"/>
                <w:b w:val="0"/>
                <w:sz w:val="20"/>
              </w:rPr>
              <w:t>50.9 ± 28.0</w:t>
            </w:r>
          </w:p>
        </w:tc>
        <w:tc>
          <w:tcPr>
            <w:tcW w:type="dxa" w:w="1728"/>
          </w:tcPr>
          <w:p>
            <w:pPr>
              <w:spacing w:line="324" w:lineRule="auto" w:after="40"/>
            </w:pPr>
            <w:r>
              <w:rPr>
                <w:sz w:val="20"/>
              </w:rPr>
            </w:r>
            <w:r>
              <w:rPr>
                <w:rFonts w:ascii="Times New Roman" w:hAnsi="Times New Roman" w:eastAsia="宋体"/>
                <w:b w:val="0"/>
                <w:sz w:val="20"/>
              </w:rPr>
              <w:t>&lt;0.001</w:t>
            </w:r>
          </w:p>
        </w:tc>
      </w:tr>
      <w:tr>
        <w:tc>
          <w:tcPr>
            <w:tcW w:type="dxa" w:w="1728"/>
          </w:tcPr>
          <w:p>
            <w:pPr>
              <w:spacing w:line="324" w:lineRule="auto" w:after="40"/>
            </w:pPr>
            <w:r>
              <w:rPr>
                <w:sz w:val="20"/>
              </w:rPr>
            </w:r>
            <w:r>
              <w:rPr>
                <w:rFonts w:ascii="Times New Roman" w:hAnsi="Times New Roman" w:eastAsia="宋体"/>
                <w:b w:val="0"/>
                <w:sz w:val="20"/>
              </w:rPr>
              <w:t>Blood lipids</w:t>
            </w:r>
          </w:p>
        </w:tc>
        <w:tc>
          <w:tcPr>
            <w:tcW w:type="dxa" w:w="1728"/>
          </w:tcPr>
          <w:p>
            <w:pPr>
              <w:spacing w:line="324" w:lineRule="auto" w:after="40"/>
            </w:pPr>
            <w:r>
              <w:rPr>
                <w:sz w:val="20"/>
              </w:rPr>
            </w:r>
            <w:r>
              <w:rPr>
                <w:rFonts w:ascii="Times New Roman" w:hAnsi="Times New Roman" w:eastAsia="宋体"/>
                <w:b w:val="0"/>
                <w:sz w:val="20"/>
              </w:rPr>
              <w:t>86.4 ± 21.3</w:t>
            </w:r>
          </w:p>
        </w:tc>
        <w:tc>
          <w:tcPr>
            <w:tcW w:type="dxa" w:w="1728"/>
          </w:tcPr>
          <w:p>
            <w:pPr>
              <w:spacing w:line="324" w:lineRule="auto" w:after="40"/>
            </w:pPr>
            <w:r>
              <w:rPr>
                <w:sz w:val="20"/>
              </w:rPr>
            </w:r>
            <w:r>
              <w:rPr>
                <w:rFonts w:ascii="Times New Roman" w:hAnsi="Times New Roman" w:eastAsia="宋体"/>
                <w:b w:val="0"/>
                <w:sz w:val="20"/>
              </w:rPr>
              <w:t>70.2 ± 27.4</w:t>
            </w:r>
          </w:p>
        </w:tc>
        <w:tc>
          <w:tcPr>
            <w:tcW w:type="dxa" w:w="1728"/>
          </w:tcPr>
          <w:p>
            <w:pPr>
              <w:spacing w:line="324" w:lineRule="auto" w:after="40"/>
            </w:pPr>
            <w:r>
              <w:rPr>
                <w:sz w:val="20"/>
              </w:rPr>
            </w:r>
            <w:r>
              <w:rPr>
                <w:rFonts w:ascii="Times New Roman" w:hAnsi="Times New Roman" w:eastAsia="宋体"/>
                <w:b w:val="0"/>
                <w:sz w:val="20"/>
              </w:rPr>
              <w:t>55.2 ± 28.2</w:t>
            </w:r>
          </w:p>
        </w:tc>
        <w:tc>
          <w:tcPr>
            <w:tcW w:type="dxa" w:w="1728"/>
          </w:tcPr>
          <w:p>
            <w:pPr>
              <w:spacing w:line="324" w:lineRule="auto" w:after="40"/>
            </w:pPr>
            <w:r>
              <w:rPr>
                <w:sz w:val="20"/>
              </w:rPr>
            </w:r>
            <w:r>
              <w:rPr>
                <w:rFonts w:ascii="Times New Roman" w:hAnsi="Times New Roman" w:eastAsia="宋体"/>
                <w:b w:val="0"/>
                <w:sz w:val="20"/>
              </w:rPr>
              <w:t>&lt;0.001</w:t>
            </w:r>
          </w:p>
        </w:tc>
      </w:tr>
      <w:tr>
        <w:tc>
          <w:tcPr>
            <w:tcW w:type="dxa" w:w="1728"/>
          </w:tcPr>
          <w:p>
            <w:pPr>
              <w:spacing w:line="324" w:lineRule="auto" w:after="40"/>
            </w:pPr>
            <w:r>
              <w:rPr>
                <w:sz w:val="20"/>
              </w:rPr>
            </w:r>
            <w:r>
              <w:rPr>
                <w:rFonts w:ascii="Times New Roman" w:hAnsi="Times New Roman" w:eastAsia="宋体"/>
                <w:b w:val="0"/>
                <w:sz w:val="20"/>
              </w:rPr>
              <w:t>Blood pressure</w:t>
            </w:r>
          </w:p>
        </w:tc>
        <w:tc>
          <w:tcPr>
            <w:tcW w:type="dxa" w:w="1728"/>
          </w:tcPr>
          <w:p>
            <w:pPr>
              <w:spacing w:line="324" w:lineRule="auto" w:after="40"/>
            </w:pPr>
            <w:r>
              <w:rPr>
                <w:sz w:val="20"/>
              </w:rPr>
            </w:r>
            <w:r>
              <w:rPr>
                <w:rFonts w:ascii="Times New Roman" w:hAnsi="Times New Roman" w:eastAsia="宋体"/>
                <w:b w:val="0"/>
                <w:sz w:val="20"/>
              </w:rPr>
              <w:t>83.7 ± 24.5</w:t>
            </w:r>
          </w:p>
        </w:tc>
        <w:tc>
          <w:tcPr>
            <w:tcW w:type="dxa" w:w="1728"/>
          </w:tcPr>
          <w:p>
            <w:pPr>
              <w:spacing w:line="324" w:lineRule="auto" w:after="40"/>
            </w:pPr>
            <w:r>
              <w:rPr>
                <w:sz w:val="20"/>
              </w:rPr>
            </w:r>
            <w:r>
              <w:rPr>
                <w:rFonts w:ascii="Times New Roman" w:hAnsi="Times New Roman" w:eastAsia="宋体"/>
                <w:b w:val="0"/>
                <w:sz w:val="20"/>
              </w:rPr>
              <w:t>62.6 ± 32.4</w:t>
            </w:r>
          </w:p>
        </w:tc>
        <w:tc>
          <w:tcPr>
            <w:tcW w:type="dxa" w:w="1728"/>
          </w:tcPr>
          <w:p>
            <w:pPr>
              <w:spacing w:line="324" w:lineRule="auto" w:after="40"/>
            </w:pPr>
            <w:r>
              <w:rPr>
                <w:sz w:val="20"/>
              </w:rPr>
            </w:r>
            <w:r>
              <w:rPr>
                <w:rFonts w:ascii="Times New Roman" w:hAnsi="Times New Roman" w:eastAsia="宋体"/>
                <w:b w:val="0"/>
                <w:sz w:val="20"/>
              </w:rPr>
              <w:t>43.7 ± 30.8</w:t>
            </w:r>
          </w:p>
        </w:tc>
        <w:tc>
          <w:tcPr>
            <w:tcW w:type="dxa" w:w="1728"/>
          </w:tcPr>
          <w:p>
            <w:pPr>
              <w:spacing w:line="324" w:lineRule="auto" w:after="40"/>
            </w:pPr>
            <w:r>
              <w:rPr>
                <w:sz w:val="20"/>
              </w:rPr>
            </w:r>
            <w:r>
              <w:rPr>
                <w:rFonts w:ascii="Times New Roman" w:hAnsi="Times New Roman" w:eastAsia="宋体"/>
                <w:b w:val="0"/>
                <w:sz w:val="20"/>
              </w:rPr>
              <w:t>&lt;0.001</w:t>
            </w:r>
          </w:p>
        </w:tc>
      </w:tr>
      <w:tr>
        <w:tc>
          <w:tcPr>
            <w:tcW w:type="dxa" w:w="1728"/>
          </w:tcPr>
          <w:p>
            <w:pPr>
              <w:spacing w:line="324" w:lineRule="auto" w:after="40"/>
            </w:pPr>
            <w:r>
              <w:rPr>
                <w:sz w:val="20"/>
              </w:rPr>
            </w:r>
            <w:r>
              <w:rPr>
                <w:rFonts w:ascii="Times New Roman" w:hAnsi="Times New Roman" w:eastAsia="宋体"/>
                <w:b w:val="0"/>
                <w:sz w:val="20"/>
              </w:rPr>
              <w:t>LE8 total</w:t>
            </w:r>
          </w:p>
        </w:tc>
        <w:tc>
          <w:tcPr>
            <w:tcW w:type="dxa" w:w="1728"/>
          </w:tcPr>
          <w:p>
            <w:pPr>
              <w:spacing w:line="324" w:lineRule="auto" w:after="40"/>
            </w:pPr>
            <w:r>
              <w:rPr>
                <w:sz w:val="20"/>
              </w:rPr>
            </w:r>
            <w:r>
              <w:rPr>
                <w:rFonts w:ascii="Times New Roman" w:hAnsi="Times New Roman" w:eastAsia="宋体"/>
                <w:b w:val="0"/>
                <w:sz w:val="20"/>
              </w:rPr>
              <w:t>86.2 ± 7.3</w:t>
            </w:r>
          </w:p>
        </w:tc>
        <w:tc>
          <w:tcPr>
            <w:tcW w:type="dxa" w:w="1728"/>
          </w:tcPr>
          <w:p>
            <w:pPr>
              <w:spacing w:line="324" w:lineRule="auto" w:after="40"/>
            </w:pPr>
            <w:r>
              <w:rPr>
                <w:sz w:val="20"/>
              </w:rPr>
            </w:r>
            <w:r>
              <w:rPr>
                <w:rFonts w:ascii="Times New Roman" w:hAnsi="Times New Roman" w:eastAsia="宋体"/>
                <w:b w:val="0"/>
                <w:sz w:val="20"/>
              </w:rPr>
              <w:t>72.6 ± 7.8</w:t>
            </w:r>
          </w:p>
        </w:tc>
        <w:tc>
          <w:tcPr>
            <w:tcW w:type="dxa" w:w="1728"/>
          </w:tcPr>
          <w:p>
            <w:pPr>
              <w:spacing w:line="324" w:lineRule="auto" w:after="40"/>
            </w:pPr>
            <w:r>
              <w:rPr>
                <w:sz w:val="20"/>
              </w:rPr>
            </w:r>
            <w:r>
              <w:rPr>
                <w:rFonts w:ascii="Times New Roman" w:hAnsi="Times New Roman" w:eastAsia="宋体"/>
                <w:b w:val="0"/>
                <w:sz w:val="20"/>
              </w:rPr>
              <w:t>59.9 ± 9.0</w:t>
            </w:r>
          </w:p>
        </w:tc>
        <w:tc>
          <w:tcPr>
            <w:tcW w:type="dxa" w:w="1728"/>
          </w:tcPr>
          <w:p>
            <w:pPr>
              <w:spacing w:line="324" w:lineRule="auto" w:after="40"/>
            </w:pPr>
            <w:r>
              <w:rPr>
                <w:sz w:val="20"/>
              </w:rPr>
            </w:r>
            <w:r>
              <w:rPr>
                <w:rFonts w:ascii="Times New Roman" w:hAnsi="Times New Roman" w:eastAsia="宋体"/>
                <w:b w:val="0"/>
                <w:sz w:val="20"/>
              </w:rPr>
              <w:t>&lt;0.001</w:t>
            </w:r>
          </w:p>
        </w:tc>
      </w:tr>
    </w:tbl>
    <w:p/>
    <w:p>
      <w:pPr>
        <w:spacing w:line="360" w:lineRule="auto"/>
      </w:pPr>
      <w:r>
        <w:rPr>
          <w:rFonts w:ascii="Times New Roman" w:hAnsi="Times New Roman" w:eastAsia="宋体"/>
          <w:b w:val="0"/>
          <w:sz w:val="21"/>
        </w:rPr>
        <w:t>Note: The between-group separation persisted at the 2015 wave, supporting the stability of the trajectory classification.</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3. Subgroup analyses (Model 3; reference: persistent high).</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234"/>
        <w:gridCol w:w="1234"/>
        <w:gridCol w:w="1234"/>
        <w:gridCol w:w="1234"/>
        <w:gridCol w:w="1234"/>
        <w:gridCol w:w="1234"/>
        <w:gridCol w:w="1234"/>
      </w:tblGrid>
      <w:tr>
        <w:tc>
          <w:tcPr>
            <w:tcW w:type="dxa" w:w="1234"/>
            <w:tcBorders>
              <w:bottom w:val="single" w:sz="6" w:color="000000" w:space="0"/>
            </w:tcBorders>
          </w:tcPr>
          <w:p>
            <w:pPr>
              <w:spacing w:line="324" w:lineRule="auto" w:after="40"/>
            </w:pPr>
            <w:r>
              <w:rPr>
                <w:b/>
                <w:sz w:val="20"/>
              </w:rPr>
            </w:r>
            <w:r>
              <w:rPr>
                <w:rFonts w:ascii="Times New Roman" w:hAnsi="Times New Roman" w:eastAsia="宋体"/>
                <w:b/>
                <w:sz w:val="20"/>
              </w:rPr>
              <w:t>Subgroup</w:t>
            </w:r>
          </w:p>
        </w:tc>
        <w:tc>
          <w:tcPr>
            <w:tcW w:type="dxa" w:w="1234"/>
            <w:tcBorders>
              <w:bottom w:val="single" w:sz="6" w:color="000000" w:space="0"/>
            </w:tcBorders>
          </w:tcPr>
          <w:p>
            <w:pPr>
              <w:spacing w:line="324" w:lineRule="auto" w:after="40"/>
            </w:pPr>
            <w:r>
              <w:rPr>
                <w:b/>
                <w:sz w:val="20"/>
              </w:rPr>
            </w:r>
            <w:r>
              <w:rPr>
                <w:rFonts w:ascii="Times New Roman" w:hAnsi="Times New Roman" w:eastAsia="宋体"/>
                <w:b/>
                <w:sz w:val="20"/>
              </w:rPr>
              <w:t>Level</w:t>
            </w:r>
          </w:p>
        </w:tc>
        <w:tc>
          <w:tcPr>
            <w:tcW w:type="dxa" w:w="1234"/>
            <w:tcBorders>
              <w:bottom w:val="single" w:sz="6" w:color="000000" w:space="0"/>
            </w:tcBorders>
          </w:tcPr>
          <w:p>
            <w:pPr>
              <w:spacing w:line="324" w:lineRule="auto" w:after="40"/>
            </w:pPr>
            <w:r>
              <w:rPr>
                <w:b/>
                <w:sz w:val="20"/>
              </w:rPr>
            </w:r>
            <w:r>
              <w:rPr>
                <w:rFonts w:ascii="Times New Roman" w:hAnsi="Times New Roman" w:eastAsia="宋体"/>
                <w:b/>
                <w:sz w:val="20"/>
              </w:rPr>
              <w:t>n</w:t>
            </w:r>
          </w:p>
        </w:tc>
        <w:tc>
          <w:tcPr>
            <w:tcW w:type="dxa" w:w="1234"/>
            <w:tcBorders>
              <w:bottom w:val="single" w:sz="6" w:color="000000" w:space="0"/>
            </w:tcBorders>
          </w:tcPr>
          <w:p>
            <w:pPr>
              <w:spacing w:line="324" w:lineRule="auto" w:after="40"/>
            </w:pPr>
            <w:r>
              <w:rPr>
                <w:b/>
                <w:sz w:val="20"/>
              </w:rPr>
            </w:r>
            <w:r>
              <w:rPr>
                <w:rFonts w:ascii="Times New Roman" w:hAnsi="Times New Roman" w:eastAsia="宋体"/>
                <w:b/>
                <w:sz w:val="20"/>
              </w:rPr>
              <w:t>Events</w:t>
            </w:r>
          </w:p>
        </w:tc>
        <w:tc>
          <w:tcPr>
            <w:tcW w:type="dxa" w:w="1234"/>
            <w:tcBorders>
              <w:bottom w:val="single" w:sz="6" w:color="000000" w:space="0"/>
            </w:tcBorders>
          </w:tcPr>
          <w:p>
            <w:pPr>
              <w:spacing w:line="324" w:lineRule="auto" w:after="40"/>
            </w:pPr>
            <w:r>
              <w:rPr>
                <w:b/>
                <w:sz w:val="20"/>
              </w:rPr>
            </w:r>
            <w:r>
              <w:rPr>
                <w:rFonts w:ascii="Times New Roman" w:hAnsi="Times New Roman" w:eastAsia="宋体"/>
                <w:b/>
                <w:sz w:val="20"/>
              </w:rPr>
              <w:t>Moderate HR (95% CI)</w:t>
            </w:r>
          </w:p>
        </w:tc>
        <w:tc>
          <w:tcPr>
            <w:tcW w:type="dxa" w:w="1234"/>
            <w:tcBorders>
              <w:bottom w:val="single" w:sz="6" w:color="000000" w:space="0"/>
            </w:tcBorders>
          </w:tcPr>
          <w:p>
            <w:pPr>
              <w:spacing w:line="324" w:lineRule="auto" w:after="40"/>
            </w:pPr>
            <w:r>
              <w:rPr>
                <w:b/>
                <w:sz w:val="20"/>
              </w:rPr>
            </w:r>
            <w:r>
              <w:rPr>
                <w:rFonts w:ascii="Times New Roman" w:hAnsi="Times New Roman" w:eastAsia="宋体"/>
                <w:b/>
                <w:sz w:val="20"/>
              </w:rPr>
              <w:t>Low HR (95% CI)</w:t>
            </w:r>
          </w:p>
        </w:tc>
        <w:tc>
          <w:tcPr>
            <w:tcW w:type="dxa" w:w="1234"/>
            <w:tcBorders>
              <w:bottom w:val="single" w:sz="6" w:color="000000" w:space="0"/>
            </w:tcBorders>
          </w:tcPr>
          <w:p>
            <w:pPr>
              <w:spacing w:line="324" w:lineRule="auto" w:after="40"/>
            </w:pPr>
            <w:r>
              <w:rPr>
                <w:b/>
                <w:sz w:val="20"/>
              </w:rPr>
            </w:r>
            <w:r>
              <w:rPr>
                <w:rFonts w:ascii="Times New Roman" w:hAnsi="Times New Roman" w:eastAsia="宋体"/>
                <w:b/>
                <w:sz w:val="20"/>
              </w:rPr>
              <w:t>P interaction</w:t>
            </w:r>
          </w:p>
        </w:tc>
      </w:tr>
      <w:tr>
        <w:tc>
          <w:tcPr>
            <w:tcW w:type="dxa" w:w="1234"/>
          </w:tcPr>
          <w:p>
            <w:pPr>
              <w:spacing w:line="324" w:lineRule="auto" w:after="40"/>
            </w:pPr>
            <w:r>
              <w:rPr>
                <w:sz w:val="20"/>
              </w:rPr>
            </w:r>
            <w:r>
              <w:rPr>
                <w:rFonts w:ascii="Times New Roman" w:hAnsi="Times New Roman" w:eastAsia="宋体"/>
                <w:b w:val="0"/>
                <w:sz w:val="20"/>
              </w:rPr>
              <w:t>Sex</w:t>
            </w:r>
          </w:p>
        </w:tc>
        <w:tc>
          <w:tcPr>
            <w:tcW w:type="dxa" w:w="1234"/>
          </w:tcPr>
          <w:p>
            <w:pPr>
              <w:spacing w:line="324" w:lineRule="auto" w:after="40"/>
            </w:pPr>
            <w:r>
              <w:rPr>
                <w:sz w:val="20"/>
              </w:rPr>
            </w:r>
            <w:r>
              <w:rPr>
                <w:rFonts w:ascii="Times New Roman" w:hAnsi="Times New Roman" w:eastAsia="宋体"/>
                <w:b w:val="0"/>
                <w:sz w:val="20"/>
              </w:rPr>
              <w:t>Female</w:t>
            </w:r>
          </w:p>
        </w:tc>
        <w:tc>
          <w:tcPr>
            <w:tcW w:type="dxa" w:w="1234"/>
          </w:tcPr>
          <w:p>
            <w:pPr>
              <w:spacing w:line="324" w:lineRule="auto" w:after="40"/>
            </w:pPr>
            <w:r>
              <w:rPr>
                <w:sz w:val="20"/>
              </w:rPr>
            </w:r>
            <w:r>
              <w:rPr>
                <w:rFonts w:ascii="Times New Roman" w:hAnsi="Times New Roman" w:eastAsia="宋体"/>
                <w:b w:val="0"/>
                <w:sz w:val="20"/>
              </w:rPr>
              <w:t>1992</w:t>
            </w:r>
          </w:p>
        </w:tc>
        <w:tc>
          <w:tcPr>
            <w:tcW w:type="dxa" w:w="1234"/>
          </w:tcPr>
          <w:p>
            <w:pPr>
              <w:spacing w:line="324" w:lineRule="auto" w:after="40"/>
            </w:pPr>
            <w:r>
              <w:rPr>
                <w:sz w:val="20"/>
              </w:rPr>
            </w:r>
            <w:r>
              <w:rPr>
                <w:rFonts w:ascii="Times New Roman" w:hAnsi="Times New Roman" w:eastAsia="宋体"/>
                <w:b w:val="0"/>
                <w:sz w:val="20"/>
              </w:rPr>
              <w:t>162</w:t>
            </w:r>
          </w:p>
        </w:tc>
        <w:tc>
          <w:tcPr>
            <w:tcW w:type="dxa" w:w="1234"/>
          </w:tcPr>
          <w:p>
            <w:pPr>
              <w:spacing w:line="324" w:lineRule="auto" w:after="40"/>
            </w:pPr>
            <w:r>
              <w:rPr>
                <w:sz w:val="20"/>
              </w:rPr>
            </w:r>
            <w:r>
              <w:rPr>
                <w:rFonts w:ascii="Times New Roman" w:hAnsi="Times New Roman" w:eastAsia="宋体"/>
                <w:b w:val="0"/>
                <w:sz w:val="20"/>
              </w:rPr>
              <w:t>2.18 (1.52–3.14)</w:t>
            </w:r>
          </w:p>
        </w:tc>
        <w:tc>
          <w:tcPr>
            <w:tcW w:type="dxa" w:w="1234"/>
          </w:tcPr>
          <w:p>
            <w:pPr>
              <w:spacing w:line="324" w:lineRule="auto" w:after="40"/>
            </w:pPr>
            <w:r>
              <w:rPr>
                <w:sz w:val="20"/>
              </w:rPr>
            </w:r>
            <w:r>
              <w:rPr>
                <w:rFonts w:ascii="Times New Roman" w:hAnsi="Times New Roman" w:eastAsia="宋体"/>
                <w:b w:val="0"/>
                <w:sz w:val="20"/>
              </w:rPr>
              <w:t>3.70 (2.25–6.10)</w:t>
            </w:r>
          </w:p>
        </w:tc>
        <w:tc>
          <w:tcPr>
            <w:tcW w:type="dxa" w:w="1234"/>
          </w:tcPr>
          <w:p>
            <w:pPr>
              <w:spacing w:line="324" w:lineRule="auto" w:after="40"/>
            </w:pPr>
            <w:r>
              <w:rPr>
                <w:sz w:val="20"/>
              </w:rPr>
            </w:r>
            <w:r>
              <w:rPr>
                <w:rFonts w:ascii="Times New Roman" w:hAnsi="Times New Roman" w:eastAsia="宋体"/>
                <w:b w:val="0"/>
                <w:sz w:val="20"/>
              </w:rPr>
              <w:t>0.297</w:t>
            </w:r>
          </w:p>
        </w:tc>
      </w:tr>
      <w:tr>
        <w:tc>
          <w:tcPr>
            <w:tcW w:type="dxa" w:w="1234"/>
          </w:tcPr>
          <w:p>
            <w:pPr>
              <w:spacing w:line="324" w:lineRule="auto" w:after="40"/>
            </w:pPr>
            <w:r>
              <w:rPr>
                <w:sz w:val="20"/>
              </w:rPr>
            </w:r>
            <w:r>
              <w:rPr>
                <w:rFonts w:ascii="Times New Roman" w:hAnsi="Times New Roman" w:eastAsia="宋体"/>
                <w:b w:val="0"/>
                <w:sz w:val="20"/>
              </w:rPr>
              <w:t>Sex</w:t>
            </w:r>
          </w:p>
        </w:tc>
        <w:tc>
          <w:tcPr>
            <w:tcW w:type="dxa" w:w="1234"/>
          </w:tcPr>
          <w:p>
            <w:pPr>
              <w:spacing w:line="324" w:lineRule="auto" w:after="40"/>
            </w:pPr>
            <w:r>
              <w:rPr>
                <w:sz w:val="20"/>
              </w:rPr>
            </w:r>
            <w:r>
              <w:rPr>
                <w:rFonts w:ascii="Times New Roman" w:hAnsi="Times New Roman" w:eastAsia="宋体"/>
                <w:b w:val="0"/>
                <w:sz w:val="20"/>
              </w:rPr>
              <w:t>Male</w:t>
            </w:r>
          </w:p>
        </w:tc>
        <w:tc>
          <w:tcPr>
            <w:tcW w:type="dxa" w:w="1234"/>
          </w:tcPr>
          <w:p>
            <w:pPr>
              <w:spacing w:line="324" w:lineRule="auto" w:after="40"/>
            </w:pPr>
            <w:r>
              <w:rPr>
                <w:sz w:val="20"/>
              </w:rPr>
            </w:r>
            <w:r>
              <w:rPr>
                <w:rFonts w:ascii="Times New Roman" w:hAnsi="Times New Roman" w:eastAsia="宋体"/>
                <w:b w:val="0"/>
                <w:sz w:val="20"/>
              </w:rPr>
              <w:t>1856</w:t>
            </w:r>
          </w:p>
        </w:tc>
        <w:tc>
          <w:tcPr>
            <w:tcW w:type="dxa" w:w="1234"/>
          </w:tcPr>
          <w:p>
            <w:pPr>
              <w:spacing w:line="324" w:lineRule="auto" w:after="40"/>
            </w:pPr>
            <w:r>
              <w:rPr>
                <w:sz w:val="20"/>
              </w:rPr>
            </w:r>
            <w:r>
              <w:rPr>
                <w:rFonts w:ascii="Times New Roman" w:hAnsi="Times New Roman" w:eastAsia="宋体"/>
                <w:b w:val="0"/>
                <w:sz w:val="20"/>
              </w:rPr>
              <w:t>116</w:t>
            </w:r>
          </w:p>
        </w:tc>
        <w:tc>
          <w:tcPr>
            <w:tcW w:type="dxa" w:w="1234"/>
          </w:tcPr>
          <w:p>
            <w:pPr>
              <w:spacing w:line="324" w:lineRule="auto" w:after="40"/>
            </w:pPr>
            <w:r>
              <w:rPr>
                <w:sz w:val="20"/>
              </w:rPr>
            </w:r>
            <w:r>
              <w:rPr>
                <w:rFonts w:ascii="Times New Roman" w:hAnsi="Times New Roman" w:eastAsia="宋体"/>
                <w:b w:val="0"/>
                <w:sz w:val="20"/>
              </w:rPr>
              <w:t>1.45 (0.92–2.28)</w:t>
            </w:r>
          </w:p>
        </w:tc>
        <w:tc>
          <w:tcPr>
            <w:tcW w:type="dxa" w:w="1234"/>
          </w:tcPr>
          <w:p>
            <w:pPr>
              <w:spacing w:line="324" w:lineRule="auto" w:after="40"/>
            </w:pPr>
            <w:r>
              <w:rPr>
                <w:sz w:val="20"/>
              </w:rPr>
            </w:r>
            <w:r>
              <w:rPr>
                <w:rFonts w:ascii="Times New Roman" w:hAnsi="Times New Roman" w:eastAsia="宋体"/>
                <w:b w:val="0"/>
                <w:sz w:val="20"/>
              </w:rPr>
              <w:t>3.32 (2.00–5.54)</w:t>
            </w:r>
          </w:p>
        </w:tc>
        <w:tc>
          <w:tcPr>
            <w:tcW w:type="dxa" w:w="1234"/>
          </w:tcPr>
          <w:p>
            <w:pPr>
              <w:spacing w:line="324" w:lineRule="auto" w:after="40"/>
            </w:pPr>
            <w:r>
              <w:rPr>
                <w:sz w:val="20"/>
              </w:rPr>
            </w:r>
            <w:r>
              <w:rPr>
                <w:rFonts w:ascii="Times New Roman" w:hAnsi="Times New Roman" w:eastAsia="宋体"/>
                <w:b w:val="0"/>
                <w:sz w:val="20"/>
              </w:rPr>
              <w:t>0.297</w:t>
            </w:r>
          </w:p>
        </w:tc>
      </w:tr>
      <w:tr>
        <w:tc>
          <w:tcPr>
            <w:tcW w:type="dxa" w:w="1234"/>
          </w:tcPr>
          <w:p>
            <w:pPr>
              <w:spacing w:line="324" w:lineRule="auto" w:after="40"/>
            </w:pPr>
            <w:r>
              <w:rPr>
                <w:sz w:val="20"/>
              </w:rPr>
            </w:r>
            <w:r>
              <w:rPr>
                <w:rFonts w:ascii="Times New Roman" w:hAnsi="Times New Roman" w:eastAsia="宋体"/>
                <w:b w:val="0"/>
                <w:sz w:val="20"/>
              </w:rPr>
              <w:t>Age</w:t>
            </w:r>
          </w:p>
        </w:tc>
        <w:tc>
          <w:tcPr>
            <w:tcW w:type="dxa" w:w="1234"/>
          </w:tcPr>
          <w:p>
            <w:pPr>
              <w:spacing w:line="324" w:lineRule="auto" w:after="40"/>
            </w:pPr>
            <w:r>
              <w:rPr>
                <w:sz w:val="20"/>
              </w:rPr>
            </w:r>
            <w:r>
              <w:rPr>
                <w:rFonts w:ascii="Times New Roman" w:hAnsi="Times New Roman" w:eastAsia="宋体"/>
                <w:b w:val="0"/>
                <w:sz w:val="20"/>
              </w:rPr>
              <w:t>45–59</w:t>
            </w:r>
          </w:p>
        </w:tc>
        <w:tc>
          <w:tcPr>
            <w:tcW w:type="dxa" w:w="1234"/>
          </w:tcPr>
          <w:p>
            <w:pPr>
              <w:spacing w:line="324" w:lineRule="auto" w:after="40"/>
            </w:pPr>
            <w:r>
              <w:rPr>
                <w:sz w:val="20"/>
              </w:rPr>
            </w:r>
            <w:r>
              <w:rPr>
                <w:rFonts w:ascii="Times New Roman" w:hAnsi="Times New Roman" w:eastAsia="宋体"/>
                <w:b w:val="0"/>
                <w:sz w:val="20"/>
              </w:rPr>
              <w:t>2279</w:t>
            </w:r>
          </w:p>
        </w:tc>
        <w:tc>
          <w:tcPr>
            <w:tcW w:type="dxa" w:w="1234"/>
          </w:tcPr>
          <w:p>
            <w:pPr>
              <w:spacing w:line="324" w:lineRule="auto" w:after="40"/>
            </w:pPr>
            <w:r>
              <w:rPr>
                <w:sz w:val="20"/>
              </w:rPr>
            </w:r>
            <w:r>
              <w:rPr>
                <w:rFonts w:ascii="Times New Roman" w:hAnsi="Times New Roman" w:eastAsia="宋体"/>
                <w:b w:val="0"/>
                <w:sz w:val="20"/>
              </w:rPr>
              <w:t>129</w:t>
            </w:r>
          </w:p>
        </w:tc>
        <w:tc>
          <w:tcPr>
            <w:tcW w:type="dxa" w:w="1234"/>
          </w:tcPr>
          <w:p>
            <w:pPr>
              <w:spacing w:line="324" w:lineRule="auto" w:after="40"/>
            </w:pPr>
            <w:r>
              <w:rPr>
                <w:sz w:val="20"/>
              </w:rPr>
            </w:r>
            <w:r>
              <w:rPr>
                <w:rFonts w:ascii="Times New Roman" w:hAnsi="Times New Roman" w:eastAsia="宋体"/>
                <w:b w:val="0"/>
                <w:sz w:val="20"/>
              </w:rPr>
              <w:t>1.94 (1.30–2.91)</w:t>
            </w:r>
          </w:p>
        </w:tc>
        <w:tc>
          <w:tcPr>
            <w:tcW w:type="dxa" w:w="1234"/>
          </w:tcPr>
          <w:p>
            <w:pPr>
              <w:spacing w:line="324" w:lineRule="auto" w:after="40"/>
            </w:pPr>
            <w:r>
              <w:rPr>
                <w:sz w:val="20"/>
              </w:rPr>
            </w:r>
            <w:r>
              <w:rPr>
                <w:rFonts w:ascii="Times New Roman" w:hAnsi="Times New Roman" w:eastAsia="宋体"/>
                <w:b w:val="0"/>
                <w:sz w:val="20"/>
              </w:rPr>
              <w:t>3.97 (2.35–6.73)</w:t>
            </w:r>
          </w:p>
        </w:tc>
        <w:tc>
          <w:tcPr>
            <w:tcW w:type="dxa" w:w="1234"/>
          </w:tcPr>
          <w:p>
            <w:pPr>
              <w:spacing w:line="324" w:lineRule="auto" w:after="40"/>
            </w:pPr>
            <w:r>
              <w:rPr>
                <w:sz w:val="20"/>
              </w:rPr>
            </w:r>
            <w:r>
              <w:rPr>
                <w:rFonts w:ascii="Times New Roman" w:hAnsi="Times New Roman" w:eastAsia="宋体"/>
                <w:b w:val="0"/>
                <w:sz w:val="20"/>
              </w:rPr>
              <w:t>0.685</w:t>
            </w:r>
          </w:p>
        </w:tc>
      </w:tr>
      <w:tr>
        <w:tc>
          <w:tcPr>
            <w:tcW w:type="dxa" w:w="1234"/>
          </w:tcPr>
          <w:p>
            <w:pPr>
              <w:spacing w:line="324" w:lineRule="auto" w:after="40"/>
            </w:pPr>
            <w:r>
              <w:rPr>
                <w:sz w:val="20"/>
              </w:rPr>
            </w:r>
            <w:r>
              <w:rPr>
                <w:rFonts w:ascii="Times New Roman" w:hAnsi="Times New Roman" w:eastAsia="宋体"/>
                <w:b w:val="0"/>
                <w:sz w:val="20"/>
              </w:rPr>
              <w:t>Age</w:t>
            </w:r>
          </w:p>
        </w:tc>
        <w:tc>
          <w:tcPr>
            <w:tcW w:type="dxa" w:w="1234"/>
          </w:tcPr>
          <w:p>
            <w:pPr>
              <w:spacing w:line="324" w:lineRule="auto" w:after="40"/>
            </w:pPr>
            <w:r>
              <w:rPr>
                <w:sz w:val="20"/>
              </w:rPr>
            </w:r>
            <w:r>
              <w:rPr>
                <w:rFonts w:ascii="Times New Roman" w:hAnsi="Times New Roman" w:eastAsia="宋体"/>
                <w:b w:val="0"/>
                <w:sz w:val="20"/>
              </w:rPr>
              <w:t>60+</w:t>
            </w:r>
          </w:p>
        </w:tc>
        <w:tc>
          <w:tcPr>
            <w:tcW w:type="dxa" w:w="1234"/>
          </w:tcPr>
          <w:p>
            <w:pPr>
              <w:spacing w:line="324" w:lineRule="auto" w:after="40"/>
            </w:pPr>
            <w:r>
              <w:rPr>
                <w:sz w:val="20"/>
              </w:rPr>
            </w:r>
            <w:r>
              <w:rPr>
                <w:rFonts w:ascii="Times New Roman" w:hAnsi="Times New Roman" w:eastAsia="宋体"/>
                <w:b w:val="0"/>
                <w:sz w:val="20"/>
              </w:rPr>
              <w:t>1569</w:t>
            </w:r>
          </w:p>
        </w:tc>
        <w:tc>
          <w:tcPr>
            <w:tcW w:type="dxa" w:w="1234"/>
          </w:tcPr>
          <w:p>
            <w:pPr>
              <w:spacing w:line="324" w:lineRule="auto" w:after="40"/>
            </w:pPr>
            <w:r>
              <w:rPr>
                <w:sz w:val="20"/>
              </w:rPr>
            </w:r>
            <w:r>
              <w:rPr>
                <w:rFonts w:ascii="Times New Roman" w:hAnsi="Times New Roman" w:eastAsia="宋体"/>
                <w:b w:val="0"/>
                <w:sz w:val="20"/>
              </w:rPr>
              <w:t>149</w:t>
            </w:r>
          </w:p>
        </w:tc>
        <w:tc>
          <w:tcPr>
            <w:tcW w:type="dxa" w:w="1234"/>
          </w:tcPr>
          <w:p>
            <w:pPr>
              <w:spacing w:line="324" w:lineRule="auto" w:after="40"/>
            </w:pPr>
            <w:r>
              <w:rPr>
                <w:sz w:val="20"/>
              </w:rPr>
            </w:r>
            <w:r>
              <w:rPr>
                <w:rFonts w:ascii="Times New Roman" w:hAnsi="Times New Roman" w:eastAsia="宋体"/>
                <w:b w:val="0"/>
                <w:sz w:val="20"/>
              </w:rPr>
              <w:t>1.85 (1.24–2.76)</w:t>
            </w:r>
          </w:p>
        </w:tc>
        <w:tc>
          <w:tcPr>
            <w:tcW w:type="dxa" w:w="1234"/>
          </w:tcPr>
          <w:p>
            <w:pPr>
              <w:spacing w:line="324" w:lineRule="auto" w:after="40"/>
            </w:pPr>
            <w:r>
              <w:rPr>
                <w:sz w:val="20"/>
              </w:rPr>
            </w:r>
            <w:r>
              <w:rPr>
                <w:rFonts w:ascii="Times New Roman" w:hAnsi="Times New Roman" w:eastAsia="宋体"/>
                <w:b w:val="0"/>
                <w:sz w:val="20"/>
              </w:rPr>
              <w:t>3.44 (2.13–5.56)</w:t>
            </w:r>
          </w:p>
        </w:tc>
        <w:tc>
          <w:tcPr>
            <w:tcW w:type="dxa" w:w="1234"/>
          </w:tcPr>
          <w:p>
            <w:pPr>
              <w:spacing w:line="324" w:lineRule="auto" w:after="40"/>
            </w:pPr>
            <w:r>
              <w:rPr>
                <w:sz w:val="20"/>
              </w:rPr>
            </w:r>
            <w:r>
              <w:rPr>
                <w:rFonts w:ascii="Times New Roman" w:hAnsi="Times New Roman" w:eastAsia="宋体"/>
                <w:b w:val="0"/>
                <w:sz w:val="20"/>
              </w:rPr>
              <w:t>0.685</w:t>
            </w:r>
          </w:p>
        </w:tc>
      </w:tr>
      <w:tr>
        <w:tc>
          <w:tcPr>
            <w:tcW w:type="dxa" w:w="1234"/>
          </w:tcPr>
          <w:p>
            <w:pPr>
              <w:spacing w:line="324" w:lineRule="auto" w:after="40"/>
            </w:pPr>
            <w:r>
              <w:rPr>
                <w:sz w:val="20"/>
              </w:rPr>
            </w:r>
            <w:r>
              <w:rPr>
                <w:rFonts w:ascii="Times New Roman" w:hAnsi="Times New Roman" w:eastAsia="宋体"/>
                <w:b w:val="0"/>
                <w:sz w:val="20"/>
              </w:rPr>
              <w:t>Residence</w:t>
            </w:r>
          </w:p>
        </w:tc>
        <w:tc>
          <w:tcPr>
            <w:tcW w:type="dxa" w:w="1234"/>
          </w:tcPr>
          <w:p>
            <w:pPr>
              <w:spacing w:line="324" w:lineRule="auto" w:after="40"/>
            </w:pPr>
            <w:r>
              <w:rPr>
                <w:sz w:val="20"/>
              </w:rPr>
            </w:r>
            <w:r>
              <w:rPr>
                <w:rFonts w:ascii="Times New Roman" w:hAnsi="Times New Roman" w:eastAsia="宋体"/>
                <w:b w:val="0"/>
                <w:sz w:val="20"/>
              </w:rPr>
              <w:t>Rural</w:t>
            </w:r>
          </w:p>
        </w:tc>
        <w:tc>
          <w:tcPr>
            <w:tcW w:type="dxa" w:w="1234"/>
          </w:tcPr>
          <w:p>
            <w:pPr>
              <w:spacing w:line="324" w:lineRule="auto" w:after="40"/>
            </w:pPr>
            <w:r>
              <w:rPr>
                <w:sz w:val="20"/>
              </w:rPr>
            </w:r>
            <w:r>
              <w:rPr>
                <w:rFonts w:ascii="Times New Roman" w:hAnsi="Times New Roman" w:eastAsia="宋体"/>
                <w:b w:val="0"/>
                <w:sz w:val="20"/>
              </w:rPr>
              <w:t>2750</w:t>
            </w:r>
          </w:p>
        </w:tc>
        <w:tc>
          <w:tcPr>
            <w:tcW w:type="dxa" w:w="1234"/>
          </w:tcPr>
          <w:p>
            <w:pPr>
              <w:spacing w:line="324" w:lineRule="auto" w:after="40"/>
            </w:pPr>
            <w:r>
              <w:rPr>
                <w:sz w:val="20"/>
              </w:rPr>
            </w:r>
            <w:r>
              <w:rPr>
                <w:rFonts w:ascii="Times New Roman" w:hAnsi="Times New Roman" w:eastAsia="宋体"/>
                <w:b w:val="0"/>
                <w:sz w:val="20"/>
              </w:rPr>
              <w:t>216</w:t>
            </w:r>
          </w:p>
        </w:tc>
        <w:tc>
          <w:tcPr>
            <w:tcW w:type="dxa" w:w="1234"/>
          </w:tcPr>
          <w:p>
            <w:pPr>
              <w:spacing w:line="324" w:lineRule="auto" w:after="40"/>
            </w:pPr>
            <w:r>
              <w:rPr>
                <w:sz w:val="20"/>
              </w:rPr>
            </w:r>
            <w:r>
              <w:rPr>
                <w:rFonts w:ascii="Times New Roman" w:hAnsi="Times New Roman" w:eastAsia="宋体"/>
                <w:b w:val="0"/>
                <w:sz w:val="20"/>
              </w:rPr>
              <w:t>1.55 (1.13–2.11)</w:t>
            </w:r>
          </w:p>
        </w:tc>
        <w:tc>
          <w:tcPr>
            <w:tcW w:type="dxa" w:w="1234"/>
          </w:tcPr>
          <w:p>
            <w:pPr>
              <w:spacing w:line="324" w:lineRule="auto" w:after="40"/>
            </w:pPr>
            <w:r>
              <w:rPr>
                <w:sz w:val="20"/>
              </w:rPr>
            </w:r>
            <w:r>
              <w:rPr>
                <w:rFonts w:ascii="Times New Roman" w:hAnsi="Times New Roman" w:eastAsia="宋体"/>
                <w:b w:val="0"/>
                <w:sz w:val="20"/>
              </w:rPr>
              <w:t>3.51 (2.38–5.17)</w:t>
            </w:r>
          </w:p>
        </w:tc>
        <w:tc>
          <w:tcPr>
            <w:tcW w:type="dxa" w:w="1234"/>
          </w:tcPr>
          <w:p>
            <w:pPr>
              <w:spacing w:line="324" w:lineRule="auto" w:after="40"/>
            </w:pPr>
            <w:r>
              <w:rPr>
                <w:sz w:val="20"/>
              </w:rPr>
            </w:r>
            <w:r>
              <w:rPr>
                <w:rFonts w:ascii="Times New Roman" w:hAnsi="Times New Roman" w:eastAsia="宋体"/>
                <w:b w:val="0"/>
                <w:sz w:val="20"/>
              </w:rPr>
              <w:t>0.023</w:t>
            </w:r>
          </w:p>
        </w:tc>
      </w:tr>
      <w:tr>
        <w:tc>
          <w:tcPr>
            <w:tcW w:type="dxa" w:w="1234"/>
          </w:tcPr>
          <w:p>
            <w:pPr>
              <w:spacing w:line="324" w:lineRule="auto" w:after="40"/>
            </w:pPr>
            <w:r>
              <w:rPr>
                <w:sz w:val="20"/>
              </w:rPr>
            </w:r>
            <w:r>
              <w:rPr>
                <w:rFonts w:ascii="Times New Roman" w:hAnsi="Times New Roman" w:eastAsia="宋体"/>
                <w:b w:val="0"/>
                <w:sz w:val="20"/>
              </w:rPr>
              <w:t>Residence</w:t>
            </w:r>
          </w:p>
        </w:tc>
        <w:tc>
          <w:tcPr>
            <w:tcW w:type="dxa" w:w="1234"/>
          </w:tcPr>
          <w:p>
            <w:pPr>
              <w:spacing w:line="324" w:lineRule="auto" w:after="40"/>
            </w:pPr>
            <w:r>
              <w:rPr>
                <w:sz w:val="20"/>
              </w:rPr>
            </w:r>
            <w:r>
              <w:rPr>
                <w:rFonts w:ascii="Times New Roman" w:hAnsi="Times New Roman" w:eastAsia="宋体"/>
                <w:b w:val="0"/>
                <w:sz w:val="20"/>
              </w:rPr>
              <w:t>Urban</w:t>
            </w:r>
          </w:p>
        </w:tc>
        <w:tc>
          <w:tcPr>
            <w:tcW w:type="dxa" w:w="1234"/>
          </w:tcPr>
          <w:p>
            <w:pPr>
              <w:spacing w:line="324" w:lineRule="auto" w:after="40"/>
            </w:pPr>
            <w:r>
              <w:rPr>
                <w:sz w:val="20"/>
              </w:rPr>
            </w:r>
            <w:r>
              <w:rPr>
                <w:rFonts w:ascii="Times New Roman" w:hAnsi="Times New Roman" w:eastAsia="宋体"/>
                <w:b w:val="0"/>
                <w:sz w:val="20"/>
              </w:rPr>
              <w:t>1098</w:t>
            </w:r>
          </w:p>
        </w:tc>
        <w:tc>
          <w:tcPr>
            <w:tcW w:type="dxa" w:w="1234"/>
          </w:tcPr>
          <w:p>
            <w:pPr>
              <w:spacing w:line="324" w:lineRule="auto" w:after="40"/>
            </w:pPr>
            <w:r>
              <w:rPr>
                <w:sz w:val="20"/>
              </w:rPr>
            </w:r>
            <w:r>
              <w:rPr>
                <w:rFonts w:ascii="Times New Roman" w:hAnsi="Times New Roman" w:eastAsia="宋体"/>
                <w:b w:val="0"/>
                <w:sz w:val="20"/>
              </w:rPr>
              <w:t>62</w:t>
            </w:r>
          </w:p>
        </w:tc>
        <w:tc>
          <w:tcPr>
            <w:tcW w:type="dxa" w:w="1234"/>
          </w:tcPr>
          <w:p>
            <w:pPr>
              <w:spacing w:line="324" w:lineRule="auto" w:after="40"/>
            </w:pPr>
            <w:r>
              <w:rPr>
                <w:sz w:val="20"/>
              </w:rPr>
            </w:r>
            <w:r>
              <w:rPr>
                <w:rFonts w:ascii="Times New Roman" w:hAnsi="Times New Roman" w:eastAsia="宋体"/>
                <w:b w:val="0"/>
                <w:sz w:val="20"/>
              </w:rPr>
              <w:t>4.53 (2.16–9.50)</w:t>
            </w:r>
          </w:p>
        </w:tc>
        <w:tc>
          <w:tcPr>
            <w:tcW w:type="dxa" w:w="1234"/>
          </w:tcPr>
          <w:p>
            <w:pPr>
              <w:spacing w:line="324" w:lineRule="auto" w:after="40"/>
            </w:pPr>
            <w:r>
              <w:rPr>
                <w:sz w:val="20"/>
              </w:rPr>
            </w:r>
            <w:r>
              <w:rPr>
                <w:rFonts w:ascii="Times New Roman" w:hAnsi="Times New Roman" w:eastAsia="宋体"/>
                <w:b w:val="0"/>
                <w:sz w:val="20"/>
              </w:rPr>
              <w:t>6.17 (2.54–14.97)</w:t>
            </w:r>
          </w:p>
        </w:tc>
        <w:tc>
          <w:tcPr>
            <w:tcW w:type="dxa" w:w="1234"/>
          </w:tcPr>
          <w:p>
            <w:pPr>
              <w:spacing w:line="324" w:lineRule="auto" w:after="40"/>
            </w:pPr>
            <w:r>
              <w:rPr>
                <w:sz w:val="20"/>
              </w:rPr>
            </w:r>
            <w:r>
              <w:rPr>
                <w:rFonts w:ascii="Times New Roman" w:hAnsi="Times New Roman" w:eastAsia="宋体"/>
                <w:b w:val="0"/>
                <w:sz w:val="20"/>
              </w:rPr>
              <w:t>0.023</w:t>
            </w:r>
          </w:p>
        </w:tc>
      </w:tr>
    </w:tbl>
    <w:p/>
    <w:p>
      <w:pPr>
        <w:spacing w:line="360" w:lineRule="auto"/>
      </w:pPr>
      <w:r>
        <w:rPr>
          <w:rFonts w:ascii="Times New Roman" w:hAnsi="Times New Roman" w:eastAsia="宋体"/>
          <w:b w:val="0"/>
          <w:sz w:val="21"/>
        </w:rPr>
        <w:t>Note: n and events refer to the Model 3 complete-case sample within each subgroup; interaction tested by "trajectory × subgroup" likelihood ratio tests (with full covariate set). The residence interaction was nominally significant (P=0.023; FDR-adjusted P=0.069) and, given the small number of urban events (62), should be regarded as exploratory.</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4. Competing risk analysis (Fine–Gray subdistribution hazard model; death as competing event).</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2880"/>
        <w:gridCol w:w="2880"/>
        <w:gridCol w:w="2880"/>
      </w:tblGrid>
      <w:tr>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Trajectory group</w:t>
            </w:r>
          </w:p>
        </w:tc>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sHR (95% CI)</w:t>
            </w:r>
          </w:p>
        </w:tc>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P</w:t>
            </w:r>
          </w:p>
        </w:tc>
      </w:tr>
      <w:tr>
        <w:tc>
          <w:tcPr>
            <w:tcW w:type="dxa" w:w="2880"/>
          </w:tcPr>
          <w:p>
            <w:pPr>
              <w:spacing w:line="324" w:lineRule="auto" w:after="40"/>
            </w:pPr>
            <w:r>
              <w:rPr>
                <w:sz w:val="20"/>
              </w:rPr>
            </w:r>
            <w:r>
              <w:rPr>
                <w:rFonts w:ascii="Times New Roman" w:hAnsi="Times New Roman" w:eastAsia="宋体"/>
                <w:b w:val="0"/>
                <w:sz w:val="20"/>
              </w:rPr>
              <w:t>Persistent high (reference)</w:t>
            </w:r>
          </w:p>
        </w:tc>
        <w:tc>
          <w:tcPr>
            <w:tcW w:type="dxa" w:w="2880"/>
          </w:tcPr>
          <w:p>
            <w:pPr>
              <w:spacing w:line="324" w:lineRule="auto" w:after="40"/>
            </w:pPr>
            <w:r>
              <w:rPr>
                <w:sz w:val="20"/>
              </w:rPr>
            </w:r>
            <w:r>
              <w:rPr>
                <w:rFonts w:ascii="Times New Roman" w:hAnsi="Times New Roman" w:eastAsia="宋体"/>
                <w:b w:val="0"/>
                <w:sz w:val="20"/>
              </w:rPr>
              <w:t>1.00</w:t>
            </w:r>
          </w:p>
        </w:tc>
        <w:tc>
          <w:tcPr>
            <w:tcW w:type="dxa" w:w="2880"/>
          </w:tcPr>
          <w:p>
            <w:pPr>
              <w:spacing w:line="324" w:lineRule="auto" w:after="40"/>
            </w:pPr>
            <w:r>
              <w:rPr>
                <w:sz w:val="20"/>
              </w:rPr>
            </w:r>
            <w:r>
              <w:rPr>
                <w:rFonts w:ascii="Times New Roman" w:hAnsi="Times New Roman" w:eastAsia="宋体"/>
                <w:b w:val="0"/>
                <w:sz w:val="20"/>
              </w:rPr>
              <w:t>—</w:t>
            </w:r>
          </w:p>
        </w:tc>
      </w:tr>
      <w:tr>
        <w:tc>
          <w:tcPr>
            <w:tcW w:type="dxa" w:w="2880"/>
          </w:tcPr>
          <w:p>
            <w:pPr>
              <w:spacing w:line="324" w:lineRule="auto" w:after="40"/>
            </w:pPr>
            <w:r>
              <w:rPr>
                <w:sz w:val="20"/>
              </w:rPr>
            </w:r>
            <w:r>
              <w:rPr>
                <w:rFonts w:ascii="Times New Roman" w:hAnsi="Times New Roman" w:eastAsia="宋体"/>
                <w:b w:val="0"/>
                <w:sz w:val="20"/>
              </w:rPr>
              <w:t>Persistent moderate</w:t>
            </w:r>
          </w:p>
        </w:tc>
        <w:tc>
          <w:tcPr>
            <w:tcW w:type="dxa" w:w="2880"/>
          </w:tcPr>
          <w:p>
            <w:pPr>
              <w:spacing w:line="324" w:lineRule="auto" w:after="40"/>
            </w:pPr>
            <w:r>
              <w:rPr>
                <w:sz w:val="20"/>
              </w:rPr>
            </w:r>
            <w:r>
              <w:rPr>
                <w:rFonts w:ascii="Times New Roman" w:hAnsi="Times New Roman" w:eastAsia="宋体"/>
                <w:b w:val="0"/>
                <w:sz w:val="20"/>
              </w:rPr>
              <w:t>1.86 (1.41–2.46)</w:t>
            </w:r>
          </w:p>
        </w:tc>
        <w:tc>
          <w:tcPr>
            <w:tcW w:type="dxa" w:w="2880"/>
          </w:tcPr>
          <w:p>
            <w:pPr>
              <w:spacing w:line="324" w:lineRule="auto" w:after="40"/>
            </w:pPr>
            <w:r>
              <w:rPr>
                <w:sz w:val="20"/>
              </w:rPr>
            </w:r>
            <w:r>
              <w:rPr>
                <w:rFonts w:ascii="Times New Roman" w:hAnsi="Times New Roman" w:eastAsia="宋体"/>
                <w:b w:val="0"/>
                <w:sz w:val="20"/>
              </w:rPr>
              <w:t>&lt;0.001</w:t>
            </w:r>
          </w:p>
        </w:tc>
      </w:tr>
      <w:tr>
        <w:tc>
          <w:tcPr>
            <w:tcW w:type="dxa" w:w="2880"/>
          </w:tcPr>
          <w:p>
            <w:pPr>
              <w:spacing w:line="324" w:lineRule="auto" w:after="40"/>
            </w:pPr>
            <w:r>
              <w:rPr>
                <w:sz w:val="20"/>
              </w:rPr>
            </w:r>
            <w:r>
              <w:rPr>
                <w:rFonts w:ascii="Times New Roman" w:hAnsi="Times New Roman" w:eastAsia="宋体"/>
                <w:b w:val="0"/>
                <w:sz w:val="20"/>
              </w:rPr>
              <w:t>Persistent low</w:t>
            </w:r>
          </w:p>
        </w:tc>
        <w:tc>
          <w:tcPr>
            <w:tcW w:type="dxa" w:w="2880"/>
          </w:tcPr>
          <w:p>
            <w:pPr>
              <w:spacing w:line="324" w:lineRule="auto" w:after="40"/>
            </w:pPr>
            <w:r>
              <w:rPr>
                <w:sz w:val="20"/>
              </w:rPr>
            </w:r>
            <w:r>
              <w:rPr>
                <w:rFonts w:ascii="Times New Roman" w:hAnsi="Times New Roman" w:eastAsia="宋体"/>
                <w:b w:val="0"/>
                <w:sz w:val="20"/>
              </w:rPr>
              <w:t>3.52 (2.51–4.93)</w:t>
            </w:r>
          </w:p>
        </w:tc>
        <w:tc>
          <w:tcPr>
            <w:tcW w:type="dxa" w:w="2880"/>
          </w:tcPr>
          <w:p>
            <w:pPr>
              <w:spacing w:line="324" w:lineRule="auto" w:after="40"/>
            </w:pPr>
            <w:r>
              <w:rPr>
                <w:sz w:val="20"/>
              </w:rPr>
            </w:r>
            <w:r>
              <w:rPr>
                <w:rFonts w:ascii="Times New Roman" w:hAnsi="Times New Roman" w:eastAsia="宋体"/>
                <w:b w:val="0"/>
                <w:sz w:val="20"/>
              </w:rPr>
              <w:t>&lt;0.001</w:t>
            </w:r>
          </w:p>
        </w:tc>
      </w:tr>
    </w:tbl>
    <w:p/>
    <w:p>
      <w:pPr>
        <w:spacing w:line="360" w:lineRule="auto"/>
      </w:pPr>
      <w:r>
        <w:rPr>
          <w:rFonts w:ascii="Times New Roman" w:hAnsi="Times New Roman" w:eastAsia="宋体"/>
          <w:b w:val="0"/>
          <w:sz w:val="21"/>
        </w:rPr>
        <w:t>Note: n=3,848 (Model 3 complete cases); 278 CVM events; death treated as a competing event (identified via radyear/radmonth). Covariates identical to Model 3. The Cox models correspond to the cause-specific hazard model for CVM (deaths censored); the Fine–Gray subdistribution model additionally treats death as a competing event. The similarity of the sHRs (3.52) to the cause-specific HRs (3.75) indicates that the competing-risk interpretation does not change the conclusions.</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5. Trajectory effects stratified by baseline blood-pressure component score (Model 3; reference: persistent high).</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440"/>
        <w:gridCol w:w="1440"/>
        <w:gridCol w:w="1440"/>
        <w:gridCol w:w="1440"/>
        <w:gridCol w:w="1440"/>
        <w:gridCol w:w="1440"/>
      </w:tblGrid>
      <w:tr>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Blood-pressure stratum</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n</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Events</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Moderate HR (95% CI)</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Low HR (95% CI)</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P interaction</w:t>
            </w:r>
          </w:p>
        </w:tc>
      </w:tr>
      <w:tr>
        <w:tc>
          <w:tcPr>
            <w:tcW w:type="dxa" w:w="1440"/>
          </w:tcPr>
          <w:p>
            <w:pPr>
              <w:spacing w:line="324" w:lineRule="auto" w:after="40"/>
            </w:pPr>
            <w:r>
              <w:rPr>
                <w:sz w:val="20"/>
              </w:rPr>
            </w:r>
            <w:r>
              <w:rPr>
                <w:rFonts w:ascii="Times New Roman" w:hAnsi="Times New Roman" w:eastAsia="宋体"/>
                <w:b w:val="0"/>
                <w:sz w:val="20"/>
              </w:rPr>
              <w:t>Low (&lt;50)</w:t>
            </w:r>
          </w:p>
        </w:tc>
        <w:tc>
          <w:tcPr>
            <w:tcW w:type="dxa" w:w="1440"/>
          </w:tcPr>
          <w:p>
            <w:pPr>
              <w:spacing w:line="324" w:lineRule="auto" w:after="40"/>
            </w:pPr>
            <w:r>
              <w:rPr>
                <w:sz w:val="20"/>
              </w:rPr>
            </w:r>
            <w:r>
              <w:rPr>
                <w:rFonts w:ascii="Times New Roman" w:hAnsi="Times New Roman" w:eastAsia="宋体"/>
                <w:b w:val="0"/>
                <w:sz w:val="20"/>
              </w:rPr>
              <w:t>1452</w:t>
            </w:r>
          </w:p>
        </w:tc>
        <w:tc>
          <w:tcPr>
            <w:tcW w:type="dxa" w:w="1440"/>
          </w:tcPr>
          <w:p>
            <w:pPr>
              <w:spacing w:line="324" w:lineRule="auto" w:after="40"/>
            </w:pPr>
            <w:r>
              <w:rPr>
                <w:sz w:val="20"/>
              </w:rPr>
            </w:r>
            <w:r>
              <w:rPr>
                <w:rFonts w:ascii="Times New Roman" w:hAnsi="Times New Roman" w:eastAsia="宋体"/>
                <w:b w:val="0"/>
                <w:sz w:val="20"/>
              </w:rPr>
              <w:t>171</w:t>
            </w:r>
          </w:p>
        </w:tc>
        <w:tc>
          <w:tcPr>
            <w:tcW w:type="dxa" w:w="1440"/>
          </w:tcPr>
          <w:p>
            <w:pPr>
              <w:spacing w:line="324" w:lineRule="auto" w:after="40"/>
            </w:pPr>
            <w:r>
              <w:rPr>
                <w:sz w:val="20"/>
              </w:rPr>
            </w:r>
            <w:r>
              <w:rPr>
                <w:rFonts w:ascii="Times New Roman" w:hAnsi="Times New Roman" w:eastAsia="宋体"/>
                <w:b w:val="0"/>
                <w:sz w:val="20"/>
              </w:rPr>
              <w:t>1.88 (1.19–2.95)</w:t>
            </w:r>
          </w:p>
        </w:tc>
        <w:tc>
          <w:tcPr>
            <w:tcW w:type="dxa" w:w="1440"/>
          </w:tcPr>
          <w:p>
            <w:pPr>
              <w:spacing w:line="324" w:lineRule="auto" w:after="40"/>
            </w:pPr>
            <w:r>
              <w:rPr>
                <w:sz w:val="20"/>
              </w:rPr>
            </w:r>
            <w:r>
              <w:rPr>
                <w:rFonts w:ascii="Times New Roman" w:hAnsi="Times New Roman" w:eastAsia="宋体"/>
                <w:b w:val="0"/>
                <w:sz w:val="20"/>
              </w:rPr>
              <w:t>3.11 (1.88–5.14)</w:t>
            </w:r>
          </w:p>
        </w:tc>
        <w:tc>
          <w:tcPr>
            <w:tcW w:type="dxa" w:w="1440"/>
          </w:tcPr>
          <w:p>
            <w:pPr>
              <w:spacing w:line="324" w:lineRule="auto" w:after="40"/>
            </w:pPr>
            <w:r>
              <w:rPr>
                <w:sz w:val="20"/>
              </w:rPr>
            </w:r>
            <w:r>
              <w:rPr>
                <w:rFonts w:ascii="Times New Roman" w:hAnsi="Times New Roman" w:eastAsia="宋体"/>
                <w:b w:val="0"/>
                <w:sz w:val="20"/>
              </w:rPr>
              <w:t>0.716</w:t>
            </w:r>
          </w:p>
        </w:tc>
      </w:tr>
      <w:tr>
        <w:tc>
          <w:tcPr>
            <w:tcW w:type="dxa" w:w="1440"/>
          </w:tcPr>
          <w:p>
            <w:pPr>
              <w:spacing w:line="324" w:lineRule="auto" w:after="40"/>
            </w:pPr>
            <w:r>
              <w:rPr>
                <w:sz w:val="20"/>
              </w:rPr>
            </w:r>
            <w:r>
              <w:rPr>
                <w:rFonts w:ascii="Times New Roman" w:hAnsi="Times New Roman" w:eastAsia="宋体"/>
                <w:b w:val="0"/>
                <w:sz w:val="20"/>
              </w:rPr>
              <w:t>Middle (50–74)</w:t>
            </w:r>
          </w:p>
        </w:tc>
        <w:tc>
          <w:tcPr>
            <w:tcW w:type="dxa" w:w="1440"/>
          </w:tcPr>
          <w:p>
            <w:pPr>
              <w:spacing w:line="324" w:lineRule="auto" w:after="40"/>
            </w:pPr>
            <w:r>
              <w:rPr>
                <w:sz w:val="20"/>
              </w:rPr>
            </w:r>
            <w:r>
              <w:rPr>
                <w:rFonts w:ascii="Times New Roman" w:hAnsi="Times New Roman" w:eastAsia="宋体"/>
                <w:b w:val="0"/>
                <w:sz w:val="20"/>
              </w:rPr>
              <w:t>618</w:t>
            </w:r>
          </w:p>
        </w:tc>
        <w:tc>
          <w:tcPr>
            <w:tcW w:type="dxa" w:w="1440"/>
          </w:tcPr>
          <w:p>
            <w:pPr>
              <w:spacing w:line="324" w:lineRule="auto" w:after="40"/>
            </w:pPr>
            <w:r>
              <w:rPr>
                <w:sz w:val="20"/>
              </w:rPr>
            </w:r>
            <w:r>
              <w:rPr>
                <w:rFonts w:ascii="Times New Roman" w:hAnsi="Times New Roman" w:eastAsia="宋体"/>
                <w:b w:val="0"/>
                <w:sz w:val="20"/>
              </w:rPr>
              <w:t>42</w:t>
            </w:r>
          </w:p>
        </w:tc>
        <w:tc>
          <w:tcPr>
            <w:tcW w:type="dxa" w:w="1440"/>
          </w:tcPr>
          <w:p>
            <w:pPr>
              <w:spacing w:line="324" w:lineRule="auto" w:after="40"/>
            </w:pPr>
            <w:r>
              <w:rPr>
                <w:sz w:val="20"/>
              </w:rPr>
            </w:r>
            <w:r>
              <w:rPr>
                <w:rFonts w:ascii="Times New Roman" w:hAnsi="Times New Roman" w:eastAsia="宋体"/>
                <w:b w:val="0"/>
                <w:sz w:val="20"/>
              </w:rPr>
              <w:t>1.30 (0.66–2.55)</w:t>
            </w:r>
          </w:p>
        </w:tc>
        <w:tc>
          <w:tcPr>
            <w:tcW w:type="dxa" w:w="1440"/>
          </w:tcPr>
          <w:p>
            <w:pPr>
              <w:spacing w:line="324" w:lineRule="auto" w:after="40"/>
            </w:pPr>
            <w:r>
              <w:rPr>
                <w:sz w:val="20"/>
              </w:rPr>
            </w:r>
            <w:r>
              <w:rPr>
                <w:rFonts w:ascii="Times New Roman" w:hAnsi="Times New Roman" w:eastAsia="宋体"/>
                <w:b w:val="0"/>
                <w:sz w:val="20"/>
              </w:rPr>
              <w:t>1.84 (0.65–5.19)</w:t>
            </w:r>
          </w:p>
        </w:tc>
        <w:tc>
          <w:tcPr>
            <w:tcW w:type="dxa" w:w="1440"/>
          </w:tcPr>
          <w:p>
            <w:pPr>
              <w:spacing w:line="324" w:lineRule="auto" w:after="40"/>
            </w:pPr>
            <w:r>
              <w:rPr>
                <w:sz w:val="20"/>
              </w:rPr>
            </w:r>
            <w:r>
              <w:rPr>
                <w:rFonts w:ascii="Times New Roman" w:hAnsi="Times New Roman" w:eastAsia="宋体"/>
                <w:b w:val="0"/>
                <w:sz w:val="20"/>
              </w:rPr>
              <w:t>0.716</w:t>
            </w:r>
          </w:p>
        </w:tc>
      </w:tr>
      <w:tr>
        <w:tc>
          <w:tcPr>
            <w:tcW w:type="dxa" w:w="1440"/>
          </w:tcPr>
          <w:p>
            <w:pPr>
              <w:spacing w:line="324" w:lineRule="auto" w:after="40"/>
            </w:pPr>
            <w:r>
              <w:rPr>
                <w:sz w:val="20"/>
              </w:rPr>
            </w:r>
            <w:r>
              <w:rPr>
                <w:rFonts w:ascii="Times New Roman" w:hAnsi="Times New Roman" w:eastAsia="宋体"/>
                <w:b w:val="0"/>
                <w:sz w:val="20"/>
              </w:rPr>
              <w:t>High (≥75)</w:t>
            </w:r>
          </w:p>
        </w:tc>
        <w:tc>
          <w:tcPr>
            <w:tcW w:type="dxa" w:w="1440"/>
          </w:tcPr>
          <w:p>
            <w:pPr>
              <w:spacing w:line="324" w:lineRule="auto" w:after="40"/>
            </w:pPr>
            <w:r>
              <w:rPr>
                <w:sz w:val="20"/>
              </w:rPr>
            </w:r>
            <w:r>
              <w:rPr>
                <w:rFonts w:ascii="Times New Roman" w:hAnsi="Times New Roman" w:eastAsia="宋体"/>
                <w:b w:val="0"/>
                <w:sz w:val="20"/>
              </w:rPr>
              <w:t>1769</w:t>
            </w:r>
          </w:p>
        </w:tc>
        <w:tc>
          <w:tcPr>
            <w:tcW w:type="dxa" w:w="1440"/>
          </w:tcPr>
          <w:p>
            <w:pPr>
              <w:spacing w:line="324" w:lineRule="auto" w:after="40"/>
            </w:pPr>
            <w:r>
              <w:rPr>
                <w:sz w:val="20"/>
              </w:rPr>
            </w:r>
            <w:r>
              <w:rPr>
                <w:rFonts w:ascii="Times New Roman" w:hAnsi="Times New Roman" w:eastAsia="宋体"/>
                <w:b w:val="0"/>
                <w:sz w:val="20"/>
              </w:rPr>
              <w:t>64</w:t>
            </w:r>
          </w:p>
        </w:tc>
        <w:tc>
          <w:tcPr>
            <w:tcW w:type="dxa" w:w="1440"/>
          </w:tcPr>
          <w:p>
            <w:pPr>
              <w:spacing w:line="324" w:lineRule="auto" w:after="40"/>
            </w:pPr>
            <w:r>
              <w:rPr>
                <w:sz w:val="20"/>
              </w:rPr>
            </w:r>
            <w:r>
              <w:rPr>
                <w:rFonts w:ascii="Times New Roman" w:hAnsi="Times New Roman" w:eastAsia="宋体"/>
                <w:b w:val="0"/>
                <w:sz w:val="20"/>
              </w:rPr>
              <w:t>1.00 (0.58–1.71)</w:t>
            </w:r>
          </w:p>
        </w:tc>
        <w:tc>
          <w:tcPr>
            <w:tcW w:type="dxa" w:w="1440"/>
          </w:tcPr>
          <w:p>
            <w:pPr>
              <w:spacing w:line="324" w:lineRule="auto" w:after="40"/>
            </w:pPr>
            <w:r>
              <w:rPr>
                <w:sz w:val="20"/>
              </w:rPr>
            </w:r>
            <w:r>
              <w:rPr>
                <w:rFonts w:ascii="Times New Roman" w:hAnsi="Times New Roman" w:eastAsia="宋体"/>
                <w:b w:val="0"/>
                <w:sz w:val="20"/>
              </w:rPr>
              <w:t>2.22 (0.85–5.82)</w:t>
            </w:r>
          </w:p>
        </w:tc>
        <w:tc>
          <w:tcPr>
            <w:tcW w:type="dxa" w:w="1440"/>
          </w:tcPr>
          <w:p>
            <w:pPr>
              <w:spacing w:line="324" w:lineRule="auto" w:after="40"/>
            </w:pPr>
            <w:r>
              <w:rPr>
                <w:sz w:val="20"/>
              </w:rPr>
            </w:r>
            <w:r>
              <w:rPr>
                <w:rFonts w:ascii="Times New Roman" w:hAnsi="Times New Roman" w:eastAsia="宋体"/>
                <w:b w:val="0"/>
                <w:sz w:val="20"/>
              </w:rPr>
              <w:t>0.716</w:t>
            </w:r>
          </w:p>
        </w:tc>
      </w:tr>
    </w:tbl>
    <w:p/>
    <w:p>
      <w:pPr>
        <w:spacing w:line="360" w:lineRule="auto"/>
      </w:pPr>
      <w:r>
        <w:rPr>
          <w:rFonts w:ascii="Times New Roman" w:hAnsi="Times New Roman" w:eastAsia="宋体"/>
          <w:b w:val="0"/>
          <w:sz w:val="21"/>
        </w:rPr>
        <w:t>Note: Stratification by AHA blood-pressure score categories (0–100); strata total 3,839 (9 participants missing baseline blood-pressure component among the 3,848 Model 3 complete cases, including 1 event; hence 277 vs 278 events). Interaction tested by "trajectory × stratum" likelihood ratio tests (with the full Model 3 covariate set). The interaction was not significant (P=0.716), and the effect was strongest in the lowest blood-pressure stratum; together with S11/S12 in the main text, these results indicate that the trajectory effect is not driven by mechanical amplification through the hypertension component.</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6. Baseline characteristics of included vs excluded participants (selection-bias assessment).</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728"/>
        <w:gridCol w:w="1728"/>
        <w:gridCol w:w="1728"/>
        <w:gridCol w:w="1728"/>
        <w:gridCol w:w="1728"/>
      </w:tblGrid>
      <w:tr>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Variable</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Included (n=4,646)</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Excluded (n=13,062)</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P</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SMD</w:t>
            </w:r>
          </w:p>
        </w:tc>
      </w:tr>
      <w:tr>
        <w:tc>
          <w:tcPr>
            <w:tcW w:type="dxa" w:w="1728"/>
          </w:tcPr>
          <w:p>
            <w:pPr>
              <w:spacing w:line="324" w:lineRule="auto" w:after="40"/>
            </w:pPr>
            <w:r>
              <w:rPr>
                <w:sz w:val="20"/>
              </w:rPr>
            </w:r>
            <w:r>
              <w:rPr>
                <w:rFonts w:ascii="Times New Roman" w:hAnsi="Times New Roman" w:eastAsia="宋体"/>
                <w:b w:val="0"/>
                <w:sz w:val="20"/>
              </w:rPr>
              <w:t>Age (years)</w:t>
            </w:r>
          </w:p>
        </w:tc>
        <w:tc>
          <w:tcPr>
            <w:tcW w:type="dxa" w:w="1728"/>
          </w:tcPr>
          <w:p>
            <w:pPr>
              <w:spacing w:line="324" w:lineRule="auto" w:after="40"/>
            </w:pPr>
            <w:r>
              <w:rPr>
                <w:sz w:val="20"/>
              </w:rPr>
            </w:r>
            <w:r>
              <w:rPr>
                <w:rFonts w:ascii="Times New Roman" w:hAnsi="Times New Roman" w:eastAsia="宋体"/>
                <w:b w:val="0"/>
                <w:sz w:val="20"/>
              </w:rPr>
              <w:t>58.4 ± 8.8</w:t>
            </w:r>
          </w:p>
        </w:tc>
        <w:tc>
          <w:tcPr>
            <w:tcW w:type="dxa" w:w="1728"/>
          </w:tcPr>
          <w:p>
            <w:pPr>
              <w:spacing w:line="324" w:lineRule="auto" w:after="40"/>
            </w:pPr>
            <w:r>
              <w:rPr>
                <w:sz w:val="20"/>
              </w:rPr>
            </w:r>
            <w:r>
              <w:rPr>
                <w:rFonts w:ascii="Times New Roman" w:hAnsi="Times New Roman" w:eastAsia="宋体"/>
                <w:b w:val="0"/>
                <w:sz w:val="20"/>
              </w:rPr>
              <w:t>59.0 ± 10.6</w:t>
            </w:r>
          </w:p>
        </w:tc>
        <w:tc>
          <w:tcPr>
            <w:tcW w:type="dxa" w:w="1728"/>
          </w:tcPr>
          <w:p>
            <w:pPr>
              <w:spacing w:line="324" w:lineRule="auto" w:after="40"/>
            </w:pPr>
            <w:r>
              <w:rPr>
                <w:sz w:val="20"/>
              </w:rPr>
            </w:r>
            <w:r>
              <w:rPr>
                <w:rFonts w:ascii="Times New Roman" w:hAnsi="Times New Roman" w:eastAsia="宋体"/>
                <w:b w:val="0"/>
                <w:sz w:val="20"/>
              </w:rPr>
              <w:t>0.072</w:t>
            </w:r>
          </w:p>
        </w:tc>
        <w:tc>
          <w:tcPr>
            <w:tcW w:type="dxa" w:w="1728"/>
          </w:tcPr>
          <w:p>
            <w:pPr>
              <w:spacing w:line="324" w:lineRule="auto" w:after="40"/>
            </w:pPr>
            <w:r>
              <w:rPr>
                <w:sz w:val="20"/>
              </w:rPr>
            </w:r>
            <w:r>
              <w:rPr>
                <w:rFonts w:ascii="Times New Roman" w:hAnsi="Times New Roman" w:eastAsia="宋体"/>
                <w:b w:val="0"/>
                <w:sz w:val="20"/>
              </w:rPr>
              <w:t>−0.064</w:t>
            </w:r>
          </w:p>
        </w:tc>
      </w:tr>
      <w:tr>
        <w:tc>
          <w:tcPr>
            <w:tcW w:type="dxa" w:w="1728"/>
          </w:tcPr>
          <w:p>
            <w:pPr>
              <w:spacing w:line="324" w:lineRule="auto" w:after="40"/>
            </w:pPr>
            <w:r>
              <w:rPr>
                <w:sz w:val="20"/>
              </w:rPr>
            </w:r>
            <w:r>
              <w:rPr>
                <w:rFonts w:ascii="Times New Roman" w:hAnsi="Times New Roman" w:eastAsia="宋体"/>
                <w:b w:val="0"/>
                <w:sz w:val="20"/>
              </w:rPr>
              <w:t>Male</w:t>
            </w:r>
          </w:p>
        </w:tc>
        <w:tc>
          <w:tcPr>
            <w:tcW w:type="dxa" w:w="1728"/>
          </w:tcPr>
          <w:p>
            <w:pPr>
              <w:spacing w:line="324" w:lineRule="auto" w:after="40"/>
            </w:pPr>
            <w:r>
              <w:rPr>
                <w:sz w:val="20"/>
              </w:rPr>
            </w:r>
            <w:r>
              <w:rPr>
                <w:rFonts w:ascii="Times New Roman" w:hAnsi="Times New Roman" w:eastAsia="宋体"/>
                <w:b w:val="0"/>
                <w:sz w:val="20"/>
              </w:rPr>
              <w:t>2241 (48.2%)</w:t>
            </w:r>
          </w:p>
        </w:tc>
        <w:tc>
          <w:tcPr>
            <w:tcW w:type="dxa" w:w="1728"/>
          </w:tcPr>
          <w:p>
            <w:pPr>
              <w:spacing w:line="324" w:lineRule="auto" w:after="40"/>
            </w:pPr>
            <w:r>
              <w:rPr>
                <w:sz w:val="20"/>
              </w:rPr>
            </w:r>
            <w:r>
              <w:rPr>
                <w:rFonts w:ascii="Times New Roman" w:hAnsi="Times New Roman" w:eastAsia="宋体"/>
                <w:b w:val="0"/>
                <w:sz w:val="20"/>
              </w:rPr>
              <w:t>6238 (47.8%)</w:t>
            </w:r>
          </w:p>
        </w:tc>
        <w:tc>
          <w:tcPr>
            <w:tcW w:type="dxa" w:w="1728"/>
          </w:tcPr>
          <w:p>
            <w:pPr>
              <w:spacing w:line="324" w:lineRule="auto" w:after="40"/>
            </w:pPr>
            <w:r>
              <w:rPr>
                <w:sz w:val="20"/>
              </w:rPr>
            </w:r>
            <w:r>
              <w:rPr>
                <w:rFonts w:ascii="Times New Roman" w:hAnsi="Times New Roman" w:eastAsia="宋体"/>
                <w:b w:val="0"/>
                <w:sz w:val="20"/>
              </w:rPr>
              <w:t>0.593</w:t>
            </w:r>
          </w:p>
        </w:tc>
        <w:tc>
          <w:tcPr>
            <w:tcW w:type="dxa" w:w="1728"/>
          </w:tcPr>
          <w:p>
            <w:pPr>
              <w:spacing w:line="324" w:lineRule="auto" w:after="40"/>
            </w:pPr>
            <w:r>
              <w:rPr>
                <w:sz w:val="20"/>
              </w:rPr>
            </w:r>
            <w:r>
              <w:rPr>
                <w:rFonts w:ascii="Times New Roman" w:hAnsi="Times New Roman" w:eastAsia="宋体"/>
                <w:b w:val="0"/>
                <w:sz w:val="20"/>
              </w:rPr>
              <w:t>0.009</w:t>
            </w:r>
          </w:p>
        </w:tc>
      </w:tr>
      <w:tr>
        <w:tc>
          <w:tcPr>
            <w:tcW w:type="dxa" w:w="1728"/>
          </w:tcPr>
          <w:p>
            <w:pPr>
              <w:spacing w:line="324" w:lineRule="auto" w:after="40"/>
            </w:pPr>
            <w:r>
              <w:rPr>
                <w:sz w:val="20"/>
              </w:rPr>
            </w:r>
            <w:r>
              <w:rPr>
                <w:rFonts w:ascii="Times New Roman" w:hAnsi="Times New Roman" w:eastAsia="宋体"/>
                <w:b w:val="0"/>
                <w:sz w:val="20"/>
              </w:rPr>
              <w:t>Education 2/3</w:t>
            </w:r>
          </w:p>
        </w:tc>
        <w:tc>
          <w:tcPr>
            <w:tcW w:type="dxa" w:w="1728"/>
          </w:tcPr>
          <w:p>
            <w:pPr>
              <w:spacing w:line="324" w:lineRule="auto" w:after="40"/>
            </w:pPr>
            <w:r>
              <w:rPr>
                <w:sz w:val="20"/>
              </w:rPr>
            </w:r>
            <w:r>
              <w:rPr>
                <w:rFonts w:ascii="Times New Roman" w:hAnsi="Times New Roman" w:eastAsia="宋体"/>
                <w:b w:val="0"/>
                <w:sz w:val="20"/>
              </w:rPr>
              <w:t>405 (8.7%)</w:t>
            </w:r>
          </w:p>
        </w:tc>
        <w:tc>
          <w:tcPr>
            <w:tcW w:type="dxa" w:w="1728"/>
          </w:tcPr>
          <w:p>
            <w:pPr>
              <w:spacing w:line="324" w:lineRule="auto" w:after="40"/>
            </w:pPr>
            <w:r>
              <w:rPr>
                <w:sz w:val="20"/>
              </w:rPr>
            </w:r>
            <w:r>
              <w:rPr>
                <w:rFonts w:ascii="Times New Roman" w:hAnsi="Times New Roman" w:eastAsia="宋体"/>
                <w:b w:val="0"/>
                <w:sz w:val="20"/>
              </w:rPr>
              <w:t>1763 (13.5%)</w:t>
            </w:r>
          </w:p>
        </w:tc>
        <w:tc>
          <w:tcPr>
            <w:tcW w:type="dxa" w:w="1728"/>
          </w:tcPr>
          <w:p>
            <w:pPr>
              <w:spacing w:line="324" w:lineRule="auto" w:after="40"/>
            </w:pPr>
            <w:r>
              <w:rPr>
                <w:sz w:val="20"/>
              </w:rPr>
            </w:r>
            <w:r>
              <w:rPr>
                <w:rFonts w:ascii="Times New Roman" w:hAnsi="Times New Roman" w:eastAsia="宋体"/>
                <w:b w:val="0"/>
                <w:sz w:val="20"/>
              </w:rPr>
              <w:t>&lt;0.001</w:t>
            </w:r>
          </w:p>
        </w:tc>
        <w:tc>
          <w:tcPr>
            <w:tcW w:type="dxa" w:w="1728"/>
          </w:tcPr>
          <w:p>
            <w:pPr>
              <w:spacing w:line="324" w:lineRule="auto" w:after="40"/>
            </w:pPr>
            <w:r>
              <w:rPr>
                <w:sz w:val="20"/>
              </w:rPr>
            </w:r>
            <w:r>
              <w:rPr>
                <w:rFonts w:ascii="Times New Roman" w:hAnsi="Times New Roman" w:eastAsia="宋体"/>
                <w:b w:val="0"/>
                <w:sz w:val="20"/>
              </w:rPr>
              <w:t>−0.153</w:t>
            </w:r>
          </w:p>
        </w:tc>
      </w:tr>
      <w:tr>
        <w:tc>
          <w:tcPr>
            <w:tcW w:type="dxa" w:w="1728"/>
          </w:tcPr>
          <w:p>
            <w:pPr>
              <w:spacing w:line="324" w:lineRule="auto" w:after="40"/>
            </w:pPr>
            <w:r>
              <w:rPr>
                <w:sz w:val="20"/>
              </w:rPr>
            </w:r>
            <w:r>
              <w:rPr>
                <w:rFonts w:ascii="Times New Roman" w:hAnsi="Times New Roman" w:eastAsia="宋体"/>
                <w:b w:val="0"/>
                <w:sz w:val="20"/>
              </w:rPr>
              <w:t>Married</w:t>
            </w:r>
          </w:p>
        </w:tc>
        <w:tc>
          <w:tcPr>
            <w:tcW w:type="dxa" w:w="1728"/>
          </w:tcPr>
          <w:p>
            <w:pPr>
              <w:spacing w:line="324" w:lineRule="auto" w:after="40"/>
            </w:pPr>
            <w:r>
              <w:rPr>
                <w:sz w:val="20"/>
              </w:rPr>
            </w:r>
            <w:r>
              <w:rPr>
                <w:rFonts w:ascii="Times New Roman" w:hAnsi="Times New Roman" w:eastAsia="宋体"/>
                <w:b w:val="0"/>
                <w:sz w:val="20"/>
              </w:rPr>
              <w:t>3961 (85.3%)</w:t>
            </w:r>
          </w:p>
        </w:tc>
        <w:tc>
          <w:tcPr>
            <w:tcW w:type="dxa" w:w="1728"/>
          </w:tcPr>
          <w:p>
            <w:pPr>
              <w:spacing w:line="324" w:lineRule="auto" w:after="40"/>
            </w:pPr>
            <w:r>
              <w:rPr>
                <w:sz w:val="20"/>
              </w:rPr>
            </w:r>
            <w:r>
              <w:rPr>
                <w:rFonts w:ascii="Times New Roman" w:hAnsi="Times New Roman" w:eastAsia="宋体"/>
                <w:b w:val="0"/>
                <w:sz w:val="20"/>
              </w:rPr>
              <w:t>10209 (78.4%)</w:t>
            </w:r>
          </w:p>
        </w:tc>
        <w:tc>
          <w:tcPr>
            <w:tcW w:type="dxa" w:w="1728"/>
          </w:tcPr>
          <w:p>
            <w:pPr>
              <w:spacing w:line="324" w:lineRule="auto" w:after="40"/>
            </w:pPr>
            <w:r>
              <w:rPr>
                <w:sz w:val="20"/>
              </w:rPr>
            </w:r>
            <w:r>
              <w:rPr>
                <w:rFonts w:ascii="Times New Roman" w:hAnsi="Times New Roman" w:eastAsia="宋体"/>
                <w:b w:val="0"/>
                <w:sz w:val="20"/>
              </w:rPr>
              <w:t>&lt;0.001</w:t>
            </w:r>
          </w:p>
        </w:tc>
        <w:tc>
          <w:tcPr>
            <w:tcW w:type="dxa" w:w="1728"/>
          </w:tcPr>
          <w:p>
            <w:pPr>
              <w:spacing w:line="324" w:lineRule="auto" w:after="40"/>
            </w:pPr>
            <w:r>
              <w:rPr>
                <w:sz w:val="20"/>
              </w:rPr>
            </w:r>
            <w:r>
              <w:rPr>
                <w:rFonts w:ascii="Times New Roman" w:hAnsi="Times New Roman" w:eastAsia="宋体"/>
                <w:b w:val="0"/>
                <w:sz w:val="20"/>
              </w:rPr>
              <w:t>0.180</w:t>
            </w:r>
          </w:p>
        </w:tc>
      </w:tr>
      <w:tr>
        <w:tc>
          <w:tcPr>
            <w:tcW w:type="dxa" w:w="1728"/>
          </w:tcPr>
          <w:p>
            <w:pPr>
              <w:spacing w:line="324" w:lineRule="auto" w:after="40"/>
            </w:pPr>
            <w:r>
              <w:rPr>
                <w:sz w:val="20"/>
              </w:rPr>
            </w:r>
            <w:r>
              <w:rPr>
                <w:rFonts w:ascii="Times New Roman" w:hAnsi="Times New Roman" w:eastAsia="宋体"/>
                <w:b w:val="0"/>
                <w:sz w:val="20"/>
              </w:rPr>
              <w:t>Rural</w:t>
            </w:r>
          </w:p>
        </w:tc>
        <w:tc>
          <w:tcPr>
            <w:tcW w:type="dxa" w:w="1728"/>
          </w:tcPr>
          <w:p>
            <w:pPr>
              <w:spacing w:line="324" w:lineRule="auto" w:after="40"/>
            </w:pPr>
            <w:r>
              <w:rPr>
                <w:sz w:val="20"/>
              </w:rPr>
            </w:r>
            <w:r>
              <w:rPr>
                <w:rFonts w:ascii="Times New Roman" w:hAnsi="Times New Roman" w:eastAsia="宋体"/>
                <w:b w:val="0"/>
                <w:sz w:val="20"/>
              </w:rPr>
              <w:t>3285 (70.7%)</w:t>
            </w:r>
          </w:p>
        </w:tc>
        <w:tc>
          <w:tcPr>
            <w:tcW w:type="dxa" w:w="1728"/>
          </w:tcPr>
          <w:p>
            <w:pPr>
              <w:spacing w:line="324" w:lineRule="auto" w:after="40"/>
            </w:pPr>
            <w:r>
              <w:rPr>
                <w:sz w:val="20"/>
              </w:rPr>
            </w:r>
            <w:r>
              <w:rPr>
                <w:rFonts w:ascii="Times New Roman" w:hAnsi="Times New Roman" w:eastAsia="宋体"/>
                <w:b w:val="0"/>
                <w:sz w:val="20"/>
              </w:rPr>
              <w:t>7252 (55.5%)</w:t>
            </w:r>
          </w:p>
        </w:tc>
        <w:tc>
          <w:tcPr>
            <w:tcW w:type="dxa" w:w="1728"/>
          </w:tcPr>
          <w:p>
            <w:pPr>
              <w:spacing w:line="324" w:lineRule="auto" w:after="40"/>
            </w:pPr>
            <w:r>
              <w:rPr>
                <w:sz w:val="20"/>
              </w:rPr>
            </w:r>
            <w:r>
              <w:rPr>
                <w:rFonts w:ascii="Times New Roman" w:hAnsi="Times New Roman" w:eastAsia="宋体"/>
                <w:b w:val="0"/>
                <w:sz w:val="20"/>
              </w:rPr>
              <w:t>&lt;0.001</w:t>
            </w:r>
          </w:p>
        </w:tc>
        <w:tc>
          <w:tcPr>
            <w:tcW w:type="dxa" w:w="1728"/>
          </w:tcPr>
          <w:p>
            <w:pPr>
              <w:spacing w:line="324" w:lineRule="auto" w:after="40"/>
            </w:pPr>
            <w:r>
              <w:rPr>
                <w:sz w:val="20"/>
              </w:rPr>
            </w:r>
            <w:r>
              <w:rPr>
                <w:rFonts w:ascii="Times New Roman" w:hAnsi="Times New Roman" w:eastAsia="宋体"/>
                <w:b w:val="0"/>
                <w:sz w:val="20"/>
              </w:rPr>
              <w:t>0.319</w:t>
            </w:r>
          </w:p>
        </w:tc>
      </w:tr>
      <w:tr>
        <w:tc>
          <w:tcPr>
            <w:tcW w:type="dxa" w:w="1728"/>
          </w:tcPr>
          <w:p>
            <w:pPr>
              <w:spacing w:line="324" w:lineRule="auto" w:after="40"/>
            </w:pPr>
            <w:r>
              <w:rPr>
                <w:sz w:val="20"/>
              </w:rPr>
            </w:r>
            <w:r>
              <w:rPr>
                <w:rFonts w:ascii="Times New Roman" w:hAnsi="Times New Roman" w:eastAsia="宋体"/>
                <w:b w:val="0"/>
                <w:sz w:val="20"/>
              </w:rPr>
              <w:t>Drinking</w:t>
            </w:r>
          </w:p>
        </w:tc>
        <w:tc>
          <w:tcPr>
            <w:tcW w:type="dxa" w:w="1728"/>
          </w:tcPr>
          <w:p>
            <w:pPr>
              <w:spacing w:line="324" w:lineRule="auto" w:after="40"/>
            </w:pPr>
            <w:r>
              <w:rPr>
                <w:sz w:val="20"/>
              </w:rPr>
            </w:r>
            <w:r>
              <w:rPr>
                <w:rFonts w:ascii="Times New Roman" w:hAnsi="Times New Roman" w:eastAsia="宋体"/>
                <w:b w:val="0"/>
                <w:sz w:val="20"/>
              </w:rPr>
              <w:t>1621 (34.9%)</w:t>
            </w:r>
          </w:p>
        </w:tc>
        <w:tc>
          <w:tcPr>
            <w:tcW w:type="dxa" w:w="1728"/>
          </w:tcPr>
          <w:p>
            <w:pPr>
              <w:spacing w:line="324" w:lineRule="auto" w:after="40"/>
            </w:pPr>
            <w:r>
              <w:rPr>
                <w:sz w:val="20"/>
              </w:rPr>
            </w:r>
            <w:r>
              <w:rPr>
                <w:rFonts w:ascii="Times New Roman" w:hAnsi="Times New Roman" w:eastAsia="宋体"/>
                <w:b w:val="0"/>
                <w:sz w:val="20"/>
              </w:rPr>
              <w:t>4146 (32.1%)</w:t>
            </w:r>
          </w:p>
        </w:tc>
        <w:tc>
          <w:tcPr>
            <w:tcW w:type="dxa" w:w="1728"/>
          </w:tcPr>
          <w:p>
            <w:pPr>
              <w:spacing w:line="324" w:lineRule="auto" w:after="40"/>
            </w:pPr>
            <w:r>
              <w:rPr>
                <w:sz w:val="20"/>
              </w:rPr>
            </w:r>
            <w:r>
              <w:rPr>
                <w:rFonts w:ascii="Times New Roman" w:hAnsi="Times New Roman" w:eastAsia="宋体"/>
                <w:b w:val="0"/>
                <w:sz w:val="20"/>
              </w:rPr>
              <w:t>0.001</w:t>
            </w:r>
          </w:p>
        </w:tc>
        <w:tc>
          <w:tcPr>
            <w:tcW w:type="dxa" w:w="1728"/>
          </w:tcPr>
          <w:p>
            <w:pPr>
              <w:spacing w:line="324" w:lineRule="auto" w:after="40"/>
            </w:pPr>
            <w:r>
              <w:rPr>
                <w:sz w:val="20"/>
              </w:rPr>
            </w:r>
            <w:r>
              <w:rPr>
                <w:rFonts w:ascii="Times New Roman" w:hAnsi="Times New Roman" w:eastAsia="宋体"/>
                <w:b w:val="0"/>
                <w:sz w:val="20"/>
              </w:rPr>
              <w:t>0.059</w:t>
            </w:r>
          </w:p>
        </w:tc>
      </w:tr>
      <w:tr>
        <w:tc>
          <w:tcPr>
            <w:tcW w:type="dxa" w:w="1728"/>
          </w:tcPr>
          <w:p>
            <w:pPr>
              <w:spacing w:line="324" w:lineRule="auto" w:after="40"/>
            </w:pPr>
            <w:r>
              <w:rPr>
                <w:sz w:val="20"/>
              </w:rPr>
            </w:r>
            <w:r>
              <w:rPr>
                <w:rFonts w:ascii="Times New Roman" w:hAnsi="Times New Roman" w:eastAsia="宋体"/>
                <w:b w:val="0"/>
                <w:sz w:val="20"/>
              </w:rPr>
              <w:t>Diabetes</w:t>
            </w:r>
          </w:p>
        </w:tc>
        <w:tc>
          <w:tcPr>
            <w:tcW w:type="dxa" w:w="1728"/>
          </w:tcPr>
          <w:p>
            <w:pPr>
              <w:spacing w:line="324" w:lineRule="auto" w:after="40"/>
            </w:pPr>
            <w:r>
              <w:rPr>
                <w:sz w:val="20"/>
              </w:rPr>
            </w:r>
            <w:r>
              <w:rPr>
                <w:rFonts w:ascii="Times New Roman" w:hAnsi="Times New Roman" w:eastAsia="宋体"/>
                <w:b w:val="0"/>
                <w:sz w:val="20"/>
              </w:rPr>
              <w:t>165 (3.6%)</w:t>
            </w:r>
          </w:p>
        </w:tc>
        <w:tc>
          <w:tcPr>
            <w:tcW w:type="dxa" w:w="1728"/>
          </w:tcPr>
          <w:p>
            <w:pPr>
              <w:spacing w:line="324" w:lineRule="auto" w:after="40"/>
            </w:pPr>
            <w:r>
              <w:rPr>
                <w:sz w:val="20"/>
              </w:rPr>
            </w:r>
            <w:r>
              <w:rPr>
                <w:rFonts w:ascii="Times New Roman" w:hAnsi="Times New Roman" w:eastAsia="宋体"/>
                <w:b w:val="0"/>
                <w:sz w:val="20"/>
              </w:rPr>
              <w:t>897 (7.0%)</w:t>
            </w:r>
          </w:p>
        </w:tc>
        <w:tc>
          <w:tcPr>
            <w:tcW w:type="dxa" w:w="1728"/>
          </w:tcPr>
          <w:p>
            <w:pPr>
              <w:spacing w:line="324" w:lineRule="auto" w:after="40"/>
            </w:pPr>
            <w:r>
              <w:rPr>
                <w:sz w:val="20"/>
              </w:rPr>
            </w:r>
            <w:r>
              <w:rPr>
                <w:rFonts w:ascii="Times New Roman" w:hAnsi="Times New Roman" w:eastAsia="宋体"/>
                <w:b w:val="0"/>
                <w:sz w:val="20"/>
              </w:rPr>
              <w:t>&lt;0.001</w:t>
            </w:r>
          </w:p>
        </w:tc>
        <w:tc>
          <w:tcPr>
            <w:tcW w:type="dxa" w:w="1728"/>
          </w:tcPr>
          <w:p>
            <w:pPr>
              <w:spacing w:line="324" w:lineRule="auto" w:after="40"/>
            </w:pPr>
            <w:r>
              <w:rPr>
                <w:sz w:val="20"/>
              </w:rPr>
            </w:r>
            <w:r>
              <w:rPr>
                <w:rFonts w:ascii="Times New Roman" w:hAnsi="Times New Roman" w:eastAsia="宋体"/>
                <w:b w:val="0"/>
                <w:sz w:val="20"/>
              </w:rPr>
              <w:t>−0.153</w:t>
            </w:r>
          </w:p>
        </w:tc>
      </w:tr>
      <w:tr>
        <w:tc>
          <w:tcPr>
            <w:tcW w:type="dxa" w:w="1728"/>
          </w:tcPr>
          <w:p>
            <w:pPr>
              <w:spacing w:line="324" w:lineRule="auto" w:after="40"/>
            </w:pPr>
            <w:r>
              <w:rPr>
                <w:sz w:val="20"/>
              </w:rPr>
            </w:r>
            <w:r>
              <w:rPr>
                <w:rFonts w:ascii="Times New Roman" w:hAnsi="Times New Roman" w:eastAsia="宋体"/>
                <w:b w:val="0"/>
                <w:sz w:val="20"/>
              </w:rPr>
              <w:t>Dyslipidemia</w:t>
            </w:r>
          </w:p>
        </w:tc>
        <w:tc>
          <w:tcPr>
            <w:tcW w:type="dxa" w:w="1728"/>
          </w:tcPr>
          <w:p>
            <w:pPr>
              <w:spacing w:line="324" w:lineRule="auto" w:after="40"/>
            </w:pPr>
            <w:r>
              <w:rPr>
                <w:sz w:val="20"/>
              </w:rPr>
            </w:r>
            <w:r>
              <w:rPr>
                <w:rFonts w:ascii="Times New Roman" w:hAnsi="Times New Roman" w:eastAsia="宋体"/>
                <w:b w:val="0"/>
                <w:sz w:val="20"/>
              </w:rPr>
              <w:t>222 (4.9%)</w:t>
            </w:r>
          </w:p>
        </w:tc>
        <w:tc>
          <w:tcPr>
            <w:tcW w:type="dxa" w:w="1728"/>
          </w:tcPr>
          <w:p>
            <w:pPr>
              <w:spacing w:line="324" w:lineRule="auto" w:after="40"/>
            </w:pPr>
            <w:r>
              <w:rPr>
                <w:sz w:val="20"/>
              </w:rPr>
            </w:r>
            <w:r>
              <w:rPr>
                <w:rFonts w:ascii="Times New Roman" w:hAnsi="Times New Roman" w:eastAsia="宋体"/>
                <w:b w:val="0"/>
                <w:sz w:val="20"/>
              </w:rPr>
              <w:t>1474 (11.7%)</w:t>
            </w:r>
          </w:p>
        </w:tc>
        <w:tc>
          <w:tcPr>
            <w:tcW w:type="dxa" w:w="1728"/>
          </w:tcPr>
          <w:p>
            <w:pPr>
              <w:spacing w:line="324" w:lineRule="auto" w:after="40"/>
            </w:pPr>
            <w:r>
              <w:rPr>
                <w:sz w:val="20"/>
              </w:rPr>
            </w:r>
            <w:r>
              <w:rPr>
                <w:rFonts w:ascii="Times New Roman" w:hAnsi="Times New Roman" w:eastAsia="宋体"/>
                <w:b w:val="0"/>
                <w:sz w:val="20"/>
              </w:rPr>
              <w:t>&lt;0.001</w:t>
            </w:r>
          </w:p>
        </w:tc>
        <w:tc>
          <w:tcPr>
            <w:tcW w:type="dxa" w:w="1728"/>
          </w:tcPr>
          <w:p>
            <w:pPr>
              <w:spacing w:line="324" w:lineRule="auto" w:after="40"/>
            </w:pPr>
            <w:r>
              <w:rPr>
                <w:sz w:val="20"/>
              </w:rPr>
            </w:r>
            <w:r>
              <w:rPr>
                <w:rFonts w:ascii="Times New Roman" w:hAnsi="Times New Roman" w:eastAsia="宋体"/>
                <w:b w:val="0"/>
                <w:sz w:val="20"/>
              </w:rPr>
              <w:t>−0.248</w:t>
            </w:r>
          </w:p>
        </w:tc>
      </w:tr>
      <w:tr>
        <w:tc>
          <w:tcPr>
            <w:tcW w:type="dxa" w:w="1728"/>
          </w:tcPr>
          <w:p>
            <w:pPr>
              <w:spacing w:line="324" w:lineRule="auto" w:after="40"/>
            </w:pPr>
            <w:r>
              <w:rPr>
                <w:sz w:val="20"/>
              </w:rPr>
            </w:r>
            <w:r>
              <w:rPr>
                <w:rFonts w:ascii="Times New Roman" w:hAnsi="Times New Roman" w:eastAsia="宋体"/>
                <w:b w:val="0"/>
                <w:sz w:val="20"/>
              </w:rPr>
              <w:t>Chronic conditions</w:t>
            </w:r>
          </w:p>
        </w:tc>
        <w:tc>
          <w:tcPr>
            <w:tcW w:type="dxa" w:w="1728"/>
          </w:tcPr>
          <w:p>
            <w:pPr>
              <w:spacing w:line="324" w:lineRule="auto" w:after="40"/>
            </w:pPr>
            <w:r>
              <w:rPr>
                <w:sz w:val="20"/>
              </w:rPr>
            </w:r>
            <w:r>
              <w:rPr>
                <w:rFonts w:ascii="Times New Roman" w:hAnsi="Times New Roman" w:eastAsia="宋体"/>
                <w:b w:val="0"/>
                <w:sz w:val="20"/>
              </w:rPr>
              <w:t>0.8 ± 1.0</w:t>
            </w:r>
          </w:p>
        </w:tc>
        <w:tc>
          <w:tcPr>
            <w:tcW w:type="dxa" w:w="1728"/>
          </w:tcPr>
          <w:p>
            <w:pPr>
              <w:spacing w:line="324" w:lineRule="auto" w:after="40"/>
            </w:pPr>
            <w:r>
              <w:rPr>
                <w:sz w:val="20"/>
              </w:rPr>
            </w:r>
            <w:r>
              <w:rPr>
                <w:rFonts w:ascii="Times New Roman" w:hAnsi="Times New Roman" w:eastAsia="宋体"/>
                <w:b w:val="0"/>
                <w:sz w:val="20"/>
              </w:rPr>
              <w:t>1.6 ± 1.5</w:t>
            </w:r>
          </w:p>
        </w:tc>
        <w:tc>
          <w:tcPr>
            <w:tcW w:type="dxa" w:w="1728"/>
          </w:tcPr>
          <w:p>
            <w:pPr>
              <w:spacing w:line="324" w:lineRule="auto" w:after="40"/>
            </w:pPr>
            <w:r>
              <w:rPr>
                <w:sz w:val="20"/>
              </w:rPr>
            </w:r>
            <w:r>
              <w:rPr>
                <w:rFonts w:ascii="Times New Roman" w:hAnsi="Times New Roman" w:eastAsia="宋体"/>
                <w:b w:val="0"/>
                <w:sz w:val="20"/>
              </w:rPr>
              <w:t>&lt;0.001</w:t>
            </w:r>
          </w:p>
        </w:tc>
        <w:tc>
          <w:tcPr>
            <w:tcW w:type="dxa" w:w="1728"/>
          </w:tcPr>
          <w:p>
            <w:pPr>
              <w:spacing w:line="324" w:lineRule="auto" w:after="40"/>
            </w:pPr>
            <w:r>
              <w:rPr>
                <w:sz w:val="20"/>
              </w:rPr>
            </w:r>
            <w:r>
              <w:rPr>
                <w:rFonts w:ascii="Times New Roman" w:hAnsi="Times New Roman" w:eastAsia="宋体"/>
                <w:b w:val="0"/>
                <w:sz w:val="20"/>
              </w:rPr>
              <w:t>−0.599</w:t>
            </w:r>
          </w:p>
        </w:tc>
      </w:tr>
      <w:tr>
        <w:tc>
          <w:tcPr>
            <w:tcW w:type="dxa" w:w="1728"/>
          </w:tcPr>
          <w:p>
            <w:pPr>
              <w:spacing w:line="324" w:lineRule="auto" w:after="40"/>
            </w:pPr>
            <w:r>
              <w:rPr>
                <w:sz w:val="20"/>
              </w:rPr>
            </w:r>
            <w:r>
              <w:rPr>
                <w:rFonts w:ascii="Times New Roman" w:hAnsi="Times New Roman" w:eastAsia="宋体"/>
                <w:b w:val="0"/>
                <w:sz w:val="20"/>
              </w:rPr>
              <w:t>Log consumption</w:t>
            </w:r>
          </w:p>
        </w:tc>
        <w:tc>
          <w:tcPr>
            <w:tcW w:type="dxa" w:w="1728"/>
          </w:tcPr>
          <w:p>
            <w:pPr>
              <w:spacing w:line="324" w:lineRule="auto" w:after="40"/>
            </w:pPr>
            <w:r>
              <w:rPr>
                <w:sz w:val="20"/>
              </w:rPr>
            </w:r>
            <w:r>
              <w:rPr>
                <w:rFonts w:ascii="Times New Roman" w:hAnsi="Times New Roman" w:eastAsia="宋体"/>
                <w:b w:val="0"/>
                <w:sz w:val="20"/>
              </w:rPr>
              <w:t>8.3 ± 0.8</w:t>
            </w:r>
          </w:p>
        </w:tc>
        <w:tc>
          <w:tcPr>
            <w:tcW w:type="dxa" w:w="1728"/>
          </w:tcPr>
          <w:p>
            <w:pPr>
              <w:spacing w:line="324" w:lineRule="auto" w:after="40"/>
            </w:pPr>
            <w:r>
              <w:rPr>
                <w:sz w:val="20"/>
              </w:rPr>
            </w:r>
            <w:r>
              <w:rPr>
                <w:rFonts w:ascii="Times New Roman" w:hAnsi="Times New Roman" w:eastAsia="宋体"/>
                <w:b w:val="0"/>
                <w:sz w:val="20"/>
              </w:rPr>
              <w:t>8.5 ± 0.9</w:t>
            </w:r>
          </w:p>
        </w:tc>
        <w:tc>
          <w:tcPr>
            <w:tcW w:type="dxa" w:w="1728"/>
          </w:tcPr>
          <w:p>
            <w:pPr>
              <w:spacing w:line="324" w:lineRule="auto" w:after="40"/>
            </w:pPr>
            <w:r>
              <w:rPr>
                <w:sz w:val="20"/>
              </w:rPr>
            </w:r>
            <w:r>
              <w:rPr>
                <w:rFonts w:ascii="Times New Roman" w:hAnsi="Times New Roman" w:eastAsia="宋体"/>
                <w:b w:val="0"/>
                <w:sz w:val="20"/>
              </w:rPr>
              <w:t>&lt;0.001</w:t>
            </w:r>
          </w:p>
        </w:tc>
        <w:tc>
          <w:tcPr>
            <w:tcW w:type="dxa" w:w="1728"/>
          </w:tcPr>
          <w:p>
            <w:pPr>
              <w:spacing w:line="324" w:lineRule="auto" w:after="40"/>
            </w:pPr>
            <w:r>
              <w:rPr>
                <w:sz w:val="20"/>
              </w:rPr>
            </w:r>
            <w:r>
              <w:rPr>
                <w:rFonts w:ascii="Times New Roman" w:hAnsi="Times New Roman" w:eastAsia="宋体"/>
                <w:b w:val="0"/>
                <w:sz w:val="20"/>
              </w:rPr>
              <w:t>−0.220</w:t>
            </w:r>
          </w:p>
        </w:tc>
      </w:tr>
      <w:tr>
        <w:tc>
          <w:tcPr>
            <w:tcW w:type="dxa" w:w="1728"/>
          </w:tcPr>
          <w:p>
            <w:pPr>
              <w:spacing w:line="324" w:lineRule="auto" w:after="40"/>
            </w:pPr>
            <w:r>
              <w:rPr>
                <w:sz w:val="20"/>
              </w:rPr>
            </w:r>
            <w:r>
              <w:rPr>
                <w:rFonts w:ascii="Times New Roman" w:hAnsi="Times New Roman" w:eastAsia="宋体"/>
                <w:b w:val="0"/>
                <w:sz w:val="20"/>
              </w:rPr>
              <w:t>Hypertension</w:t>
            </w:r>
          </w:p>
        </w:tc>
        <w:tc>
          <w:tcPr>
            <w:tcW w:type="dxa" w:w="1728"/>
          </w:tcPr>
          <w:p>
            <w:pPr>
              <w:spacing w:line="324" w:lineRule="auto" w:after="40"/>
            </w:pPr>
            <w:r>
              <w:rPr>
                <w:sz w:val="20"/>
              </w:rPr>
            </w:r>
            <w:r>
              <w:rPr>
                <w:rFonts w:ascii="Times New Roman" w:hAnsi="Times New Roman" w:eastAsia="宋体"/>
                <w:b w:val="0"/>
                <w:sz w:val="20"/>
              </w:rPr>
              <w:t>0 (0%)</w:t>
            </w:r>
          </w:p>
        </w:tc>
        <w:tc>
          <w:tcPr>
            <w:tcW w:type="dxa" w:w="1728"/>
          </w:tcPr>
          <w:p>
            <w:pPr>
              <w:spacing w:line="324" w:lineRule="auto" w:after="40"/>
            </w:pPr>
            <w:r>
              <w:rPr>
                <w:sz w:val="20"/>
              </w:rPr>
            </w:r>
            <w:r>
              <w:rPr>
                <w:rFonts w:ascii="Times New Roman" w:hAnsi="Times New Roman" w:eastAsia="宋体"/>
                <w:b w:val="0"/>
                <w:sz w:val="20"/>
              </w:rPr>
              <w:t>4535 (35.3%)</w:t>
            </w:r>
          </w:p>
        </w:tc>
        <w:tc>
          <w:tcPr>
            <w:tcW w:type="dxa" w:w="1728"/>
          </w:tcPr>
          <w:p>
            <w:pPr>
              <w:spacing w:line="324" w:lineRule="auto" w:after="40"/>
            </w:pPr>
            <w:r>
              <w:rPr>
                <w:sz w:val="20"/>
              </w:rPr>
            </w:r>
            <w:r>
              <w:rPr>
                <w:rFonts w:ascii="Times New Roman" w:hAnsi="Times New Roman" w:eastAsia="宋体"/>
                <w:b w:val="0"/>
                <w:sz w:val="20"/>
              </w:rPr>
              <w:t>&lt;0.001</w:t>
            </w:r>
          </w:p>
        </w:tc>
        <w:tc>
          <w:tcPr>
            <w:tcW w:type="dxa" w:w="1728"/>
          </w:tcPr>
          <w:p>
            <w:pPr>
              <w:spacing w:line="324" w:lineRule="auto" w:after="40"/>
            </w:pPr>
            <w:r>
              <w:rPr>
                <w:sz w:val="20"/>
              </w:rPr>
            </w:r>
            <w:r>
              <w:rPr>
                <w:rFonts w:ascii="Times New Roman" w:hAnsi="Times New Roman" w:eastAsia="宋体"/>
                <w:b w:val="0"/>
                <w:sz w:val="20"/>
              </w:rPr>
              <w:t>−1.044</w:t>
            </w:r>
          </w:p>
        </w:tc>
      </w:tr>
      <w:tr>
        <w:tc>
          <w:tcPr>
            <w:tcW w:type="dxa" w:w="1728"/>
          </w:tcPr>
          <w:p>
            <w:pPr>
              <w:spacing w:line="324" w:lineRule="auto" w:after="40"/>
            </w:pPr>
            <w:r>
              <w:rPr>
                <w:sz w:val="20"/>
              </w:rPr>
            </w:r>
            <w:r>
              <w:rPr>
                <w:rFonts w:ascii="Times New Roman" w:hAnsi="Times New Roman" w:eastAsia="宋体"/>
                <w:b w:val="0"/>
                <w:sz w:val="20"/>
              </w:rPr>
              <w:t>Heart disease</w:t>
            </w:r>
          </w:p>
        </w:tc>
        <w:tc>
          <w:tcPr>
            <w:tcW w:type="dxa" w:w="1728"/>
          </w:tcPr>
          <w:p>
            <w:pPr>
              <w:spacing w:line="324" w:lineRule="auto" w:after="40"/>
            </w:pPr>
            <w:r>
              <w:rPr>
                <w:sz w:val="20"/>
              </w:rPr>
            </w:r>
            <w:r>
              <w:rPr>
                <w:rFonts w:ascii="Times New Roman" w:hAnsi="Times New Roman" w:eastAsia="宋体"/>
                <w:b w:val="0"/>
                <w:sz w:val="20"/>
              </w:rPr>
              <w:t>0 (0%)</w:t>
            </w:r>
          </w:p>
        </w:tc>
        <w:tc>
          <w:tcPr>
            <w:tcW w:type="dxa" w:w="1728"/>
          </w:tcPr>
          <w:p>
            <w:pPr>
              <w:spacing w:line="324" w:lineRule="auto" w:after="40"/>
            </w:pPr>
            <w:r>
              <w:rPr>
                <w:sz w:val="20"/>
              </w:rPr>
            </w:r>
            <w:r>
              <w:rPr>
                <w:rFonts w:ascii="Times New Roman" w:hAnsi="Times New Roman" w:eastAsia="宋体"/>
                <w:b w:val="0"/>
                <w:sz w:val="20"/>
              </w:rPr>
              <w:t>2130 (16.6%)</w:t>
            </w:r>
          </w:p>
        </w:tc>
        <w:tc>
          <w:tcPr>
            <w:tcW w:type="dxa" w:w="1728"/>
          </w:tcPr>
          <w:p>
            <w:pPr>
              <w:spacing w:line="324" w:lineRule="auto" w:after="40"/>
            </w:pPr>
            <w:r>
              <w:rPr>
                <w:sz w:val="20"/>
              </w:rPr>
            </w:r>
            <w:r>
              <w:rPr>
                <w:rFonts w:ascii="Times New Roman" w:hAnsi="Times New Roman" w:eastAsia="宋体"/>
                <w:b w:val="0"/>
                <w:sz w:val="20"/>
              </w:rPr>
              <w:t>&lt;0.001</w:t>
            </w:r>
          </w:p>
        </w:tc>
        <w:tc>
          <w:tcPr>
            <w:tcW w:type="dxa" w:w="1728"/>
          </w:tcPr>
          <w:p>
            <w:pPr>
              <w:spacing w:line="324" w:lineRule="auto" w:after="40"/>
            </w:pPr>
            <w:r>
              <w:rPr>
                <w:sz w:val="20"/>
              </w:rPr>
            </w:r>
            <w:r>
              <w:rPr>
                <w:rFonts w:ascii="Times New Roman" w:hAnsi="Times New Roman" w:eastAsia="宋体"/>
                <w:b w:val="0"/>
                <w:sz w:val="20"/>
              </w:rPr>
              <w:t>−0.631</w:t>
            </w:r>
          </w:p>
        </w:tc>
      </w:tr>
      <w:tr>
        <w:tc>
          <w:tcPr>
            <w:tcW w:type="dxa" w:w="1728"/>
          </w:tcPr>
          <w:p>
            <w:pPr>
              <w:spacing w:line="324" w:lineRule="auto" w:after="40"/>
            </w:pPr>
            <w:r>
              <w:rPr>
                <w:sz w:val="20"/>
              </w:rPr>
            </w:r>
            <w:r>
              <w:rPr>
                <w:rFonts w:ascii="Times New Roman" w:hAnsi="Times New Roman" w:eastAsia="宋体"/>
                <w:b w:val="0"/>
                <w:sz w:val="20"/>
              </w:rPr>
              <w:t>Stroke</w:t>
            </w:r>
          </w:p>
        </w:tc>
        <w:tc>
          <w:tcPr>
            <w:tcW w:type="dxa" w:w="1728"/>
          </w:tcPr>
          <w:p>
            <w:pPr>
              <w:spacing w:line="324" w:lineRule="auto" w:after="40"/>
            </w:pPr>
            <w:r>
              <w:rPr>
                <w:sz w:val="20"/>
              </w:rPr>
            </w:r>
            <w:r>
              <w:rPr>
                <w:rFonts w:ascii="Times New Roman" w:hAnsi="Times New Roman" w:eastAsia="宋体"/>
                <w:b w:val="0"/>
                <w:sz w:val="20"/>
              </w:rPr>
              <w:t>0 (0%)</w:t>
            </w:r>
          </w:p>
        </w:tc>
        <w:tc>
          <w:tcPr>
            <w:tcW w:type="dxa" w:w="1728"/>
          </w:tcPr>
          <w:p>
            <w:pPr>
              <w:spacing w:line="324" w:lineRule="auto" w:after="40"/>
            </w:pPr>
            <w:r>
              <w:rPr>
                <w:sz w:val="20"/>
              </w:rPr>
            </w:r>
            <w:r>
              <w:rPr>
                <w:rFonts w:ascii="Times New Roman" w:hAnsi="Times New Roman" w:eastAsia="宋体"/>
                <w:b w:val="0"/>
                <w:sz w:val="20"/>
              </w:rPr>
              <w:t>486 (3.8%)</w:t>
            </w:r>
          </w:p>
        </w:tc>
        <w:tc>
          <w:tcPr>
            <w:tcW w:type="dxa" w:w="1728"/>
          </w:tcPr>
          <w:p>
            <w:pPr>
              <w:spacing w:line="324" w:lineRule="auto" w:after="40"/>
            </w:pPr>
            <w:r>
              <w:rPr>
                <w:sz w:val="20"/>
              </w:rPr>
            </w:r>
            <w:r>
              <w:rPr>
                <w:rFonts w:ascii="Times New Roman" w:hAnsi="Times New Roman" w:eastAsia="宋体"/>
                <w:b w:val="0"/>
                <w:sz w:val="20"/>
              </w:rPr>
              <w:t>&lt;0.001</w:t>
            </w:r>
          </w:p>
        </w:tc>
        <w:tc>
          <w:tcPr>
            <w:tcW w:type="dxa" w:w="1728"/>
          </w:tcPr>
          <w:p>
            <w:pPr>
              <w:spacing w:line="324" w:lineRule="auto" w:after="40"/>
            </w:pPr>
            <w:r>
              <w:rPr>
                <w:sz w:val="20"/>
              </w:rPr>
            </w:r>
            <w:r>
              <w:rPr>
                <w:rFonts w:ascii="Times New Roman" w:hAnsi="Times New Roman" w:eastAsia="宋体"/>
                <w:b w:val="0"/>
                <w:sz w:val="20"/>
              </w:rPr>
              <w:t>−0.280</w:t>
            </w:r>
          </w:p>
        </w:tc>
      </w:tr>
      <w:tr>
        <w:tc>
          <w:tcPr>
            <w:tcW w:type="dxa" w:w="1728"/>
          </w:tcPr>
          <w:p>
            <w:pPr>
              <w:spacing w:line="324" w:lineRule="auto" w:after="40"/>
            </w:pPr>
            <w:r>
              <w:rPr>
                <w:sz w:val="20"/>
              </w:rPr>
            </w:r>
            <w:r>
              <w:rPr>
                <w:rFonts w:ascii="Times New Roman" w:hAnsi="Times New Roman" w:eastAsia="宋体"/>
                <w:b w:val="0"/>
                <w:sz w:val="20"/>
              </w:rPr>
              <w:t>BMI (kg/m²)</w:t>
            </w:r>
          </w:p>
        </w:tc>
        <w:tc>
          <w:tcPr>
            <w:tcW w:type="dxa" w:w="1728"/>
          </w:tcPr>
          <w:p>
            <w:pPr>
              <w:spacing w:line="324" w:lineRule="auto" w:after="40"/>
            </w:pPr>
            <w:r>
              <w:rPr>
                <w:sz w:val="20"/>
              </w:rPr>
            </w:r>
            <w:r>
              <w:rPr>
                <w:rFonts w:ascii="Times New Roman" w:hAnsi="Times New Roman" w:eastAsia="宋体"/>
                <w:b w:val="0"/>
                <w:sz w:val="20"/>
              </w:rPr>
              <w:t>22.9 ± 3.6</w:t>
            </w:r>
          </w:p>
        </w:tc>
        <w:tc>
          <w:tcPr>
            <w:tcW w:type="dxa" w:w="1728"/>
          </w:tcPr>
          <w:p>
            <w:pPr>
              <w:spacing w:line="324" w:lineRule="auto" w:after="40"/>
            </w:pPr>
            <w:r>
              <w:rPr>
                <w:sz w:val="20"/>
              </w:rPr>
            </w:r>
            <w:r>
              <w:rPr>
                <w:rFonts w:ascii="Times New Roman" w:hAnsi="Times New Roman" w:eastAsia="宋体"/>
                <w:b w:val="0"/>
                <w:sz w:val="20"/>
              </w:rPr>
              <w:t>23.8 ± 4.0</w:t>
            </w:r>
          </w:p>
        </w:tc>
        <w:tc>
          <w:tcPr>
            <w:tcW w:type="dxa" w:w="1728"/>
          </w:tcPr>
          <w:p>
            <w:pPr>
              <w:spacing w:line="324" w:lineRule="auto" w:after="40"/>
            </w:pPr>
            <w:r>
              <w:rPr>
                <w:sz w:val="20"/>
              </w:rPr>
            </w:r>
            <w:r>
              <w:rPr>
                <w:rFonts w:ascii="Times New Roman" w:hAnsi="Times New Roman" w:eastAsia="宋体"/>
                <w:b w:val="0"/>
                <w:sz w:val="20"/>
              </w:rPr>
              <w:t>&lt;0.001</w:t>
            </w:r>
          </w:p>
        </w:tc>
        <w:tc>
          <w:tcPr>
            <w:tcW w:type="dxa" w:w="1728"/>
          </w:tcPr>
          <w:p>
            <w:pPr>
              <w:spacing w:line="324" w:lineRule="auto" w:after="40"/>
            </w:pPr>
            <w:r>
              <w:rPr>
                <w:sz w:val="20"/>
              </w:rPr>
            </w:r>
            <w:r>
              <w:rPr>
                <w:rFonts w:ascii="Times New Roman" w:hAnsi="Times New Roman" w:eastAsia="宋体"/>
                <w:b w:val="0"/>
                <w:sz w:val="20"/>
              </w:rPr>
              <w:t>−0.224</w:t>
            </w:r>
          </w:p>
        </w:tc>
      </w:tr>
      <w:tr>
        <w:tc>
          <w:tcPr>
            <w:tcW w:type="dxa" w:w="1728"/>
          </w:tcPr>
          <w:p>
            <w:pPr>
              <w:spacing w:line="324" w:lineRule="auto" w:after="40"/>
            </w:pPr>
            <w:r>
              <w:rPr>
                <w:sz w:val="20"/>
              </w:rPr>
            </w:r>
            <w:r>
              <w:rPr>
                <w:rFonts w:ascii="Times New Roman" w:hAnsi="Times New Roman" w:eastAsia="宋体"/>
                <w:b w:val="0"/>
                <w:sz w:val="20"/>
              </w:rPr>
              <w:t>Systolic BP (mmHg)</w:t>
            </w:r>
          </w:p>
        </w:tc>
        <w:tc>
          <w:tcPr>
            <w:tcW w:type="dxa" w:w="1728"/>
          </w:tcPr>
          <w:p>
            <w:pPr>
              <w:spacing w:line="324" w:lineRule="auto" w:after="40"/>
            </w:pPr>
            <w:r>
              <w:rPr>
                <w:sz w:val="20"/>
              </w:rPr>
            </w:r>
            <w:r>
              <w:rPr>
                <w:rFonts w:ascii="Times New Roman" w:hAnsi="Times New Roman" w:eastAsia="宋体"/>
                <w:b w:val="0"/>
                <w:sz w:val="20"/>
              </w:rPr>
              <w:t>123.9 ± 18.1</w:t>
            </w:r>
          </w:p>
        </w:tc>
        <w:tc>
          <w:tcPr>
            <w:tcW w:type="dxa" w:w="1728"/>
          </w:tcPr>
          <w:p>
            <w:pPr>
              <w:spacing w:line="324" w:lineRule="auto" w:after="40"/>
            </w:pPr>
            <w:r>
              <w:rPr>
                <w:sz w:val="20"/>
              </w:rPr>
            </w:r>
            <w:r>
              <w:rPr>
                <w:rFonts w:ascii="Times New Roman" w:hAnsi="Times New Roman" w:eastAsia="宋体"/>
                <w:b w:val="0"/>
                <w:sz w:val="20"/>
              </w:rPr>
              <w:t>132.5 ± 22.6</w:t>
            </w:r>
          </w:p>
        </w:tc>
        <w:tc>
          <w:tcPr>
            <w:tcW w:type="dxa" w:w="1728"/>
          </w:tcPr>
          <w:p>
            <w:pPr>
              <w:spacing w:line="324" w:lineRule="auto" w:after="40"/>
            </w:pPr>
            <w:r>
              <w:rPr>
                <w:sz w:val="20"/>
              </w:rPr>
            </w:r>
            <w:r>
              <w:rPr>
                <w:rFonts w:ascii="Times New Roman" w:hAnsi="Times New Roman" w:eastAsia="宋体"/>
                <w:b w:val="0"/>
                <w:sz w:val="20"/>
              </w:rPr>
              <w:t>&lt;0.001</w:t>
            </w:r>
          </w:p>
        </w:tc>
        <w:tc>
          <w:tcPr>
            <w:tcW w:type="dxa" w:w="1728"/>
          </w:tcPr>
          <w:p>
            <w:pPr>
              <w:spacing w:line="324" w:lineRule="auto" w:after="40"/>
            </w:pPr>
            <w:r>
              <w:rPr>
                <w:sz w:val="20"/>
              </w:rPr>
            </w:r>
            <w:r>
              <w:rPr>
                <w:rFonts w:ascii="Times New Roman" w:hAnsi="Times New Roman" w:eastAsia="宋体"/>
                <w:b w:val="0"/>
                <w:sz w:val="20"/>
              </w:rPr>
              <w:t>−0.420</w:t>
            </w:r>
          </w:p>
        </w:tc>
      </w:tr>
    </w:tbl>
    <w:p/>
    <w:p>
      <w:pPr>
        <w:spacing w:line="360" w:lineRule="auto"/>
      </w:pPr>
      <w:r>
        <w:rPr>
          <w:rFonts w:ascii="Times New Roman" w:hAnsi="Times New Roman" w:eastAsia="宋体"/>
          <w:b w:val="0"/>
          <w:sz w:val="21"/>
        </w:rPr>
        <w:t>Note: Included = primary cohort (n=4,646); excluded = baseline (2011) respondents not included (n=13,062), comprising those excluded for age &lt;45 years or missing age (n=648), baseline cardiovascular disease (n=5,693), incomplete three-wave physical examinations (n=6,500), and no blood test (n=221). Differences between included and excluded participants partly reflect the exclusion criteria themselves (e.g., higher cardiovascular burden in the baseline-CVD stratum); the direction of selection is toward a healthier analytic sample. Continuous variables as mean ± SD (Wilcoxon rank-sum); categorical as n (%) (chi-square); SMD = standardized mean difference. Included participants were similar in age and sex but had lower cardiovascular disease (hypertension/heart disease/stroke are baseline exclusion criteria) and lower cardiometabolic burden; selection is toward a healthier analytic sample, which may attenuate the trajectory–CVM association. Percentages are computed among participants with non-missing values.</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7. LE8 component scoring: our implementation vs the official AHA 2022 definitions (Lloyd-Jones et al., Circulation 2022;146:e18–e43).</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2160"/>
        <w:gridCol w:w="2160"/>
        <w:gridCol w:w="2160"/>
        <w:gridCol w:w="2160"/>
      </w:tblGrid>
      <w:tr>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Component</w:t>
            </w:r>
          </w:p>
        </w:tc>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CHARLS-based implementation (this study)</w:t>
            </w:r>
          </w:p>
        </w:tc>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Official AHA scoring</w:t>
            </w:r>
          </w:p>
        </w:tc>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Deviation</w:t>
            </w:r>
          </w:p>
        </w:tc>
      </w:tr>
      <w:tr>
        <w:tc>
          <w:tcPr>
            <w:tcW w:type="dxa" w:w="2160"/>
          </w:tcPr>
          <w:p>
            <w:pPr>
              <w:spacing w:line="324" w:lineRule="auto" w:after="40"/>
            </w:pPr>
            <w:r>
              <w:rPr>
                <w:sz w:val="20"/>
              </w:rPr>
            </w:r>
            <w:r>
              <w:rPr>
                <w:rFonts w:ascii="Times New Roman" w:hAnsi="Times New Roman" w:eastAsia="宋体"/>
                <w:b w:val="0"/>
                <w:sz w:val="20"/>
              </w:rPr>
              <w:t>Physical activity</w:t>
            </w:r>
          </w:p>
        </w:tc>
        <w:tc>
          <w:tcPr>
            <w:tcW w:type="dxa" w:w="2160"/>
          </w:tcPr>
          <w:p>
            <w:pPr>
              <w:spacing w:line="324" w:lineRule="auto" w:after="40"/>
            </w:pPr>
            <w:r>
              <w:rPr>
                <w:sz w:val="20"/>
              </w:rPr>
            </w:r>
            <w:r>
              <w:rPr>
                <w:rFonts w:ascii="Times New Roman" w:hAnsi="Times New Roman" w:eastAsia="宋体"/>
                <w:b w:val="0"/>
                <w:sz w:val="20"/>
              </w:rPr>
              <w:t>Moderate-equivalent min/week (MET-min ÷ 4): ≥300 = 100; ≥150 = 80; ≥120 = 60; ≥60 = 40; &gt;0 = 20; 0 = 0</w:t>
            </w:r>
          </w:p>
        </w:tc>
        <w:tc>
          <w:tcPr>
            <w:tcW w:type="dxa" w:w="2160"/>
          </w:tcPr>
          <w:p>
            <w:pPr>
              <w:spacing w:line="324" w:lineRule="auto" w:after="40"/>
            </w:pPr>
            <w:r>
              <w:rPr>
                <w:sz w:val="20"/>
              </w:rPr>
            </w:r>
            <w:r>
              <w:rPr>
                <w:rFonts w:ascii="Times New Roman" w:hAnsi="Times New Roman" w:eastAsia="宋体"/>
                <w:b w:val="0"/>
                <w:sz w:val="20"/>
              </w:rPr>
              <w:t>≥150 = 100; 120–149 = 90; 90–119 = 80; 60–89 = 60; 30–59 = 40; 1–29 = 20; 0 = 0</w:t>
            </w:r>
          </w:p>
        </w:tc>
        <w:tc>
          <w:tcPr>
            <w:tcW w:type="dxa" w:w="2160"/>
          </w:tcPr>
          <w:p>
            <w:pPr>
              <w:spacing w:line="324" w:lineRule="auto" w:after="40"/>
            </w:pPr>
            <w:r>
              <w:rPr>
                <w:sz w:val="20"/>
              </w:rPr>
            </w:r>
            <w:r>
              <w:rPr>
                <w:rFonts w:ascii="Times New Roman" w:hAnsi="Times New Roman" w:eastAsia="宋体"/>
                <w:b w:val="0"/>
                <w:sz w:val="20"/>
              </w:rPr>
              <w:t>Stricter: full points require ≥300 vs ≥150 min/week</w:t>
            </w:r>
          </w:p>
        </w:tc>
      </w:tr>
      <w:tr>
        <w:tc>
          <w:tcPr>
            <w:tcW w:type="dxa" w:w="2160"/>
          </w:tcPr>
          <w:p>
            <w:pPr>
              <w:spacing w:line="324" w:lineRule="auto" w:after="40"/>
            </w:pPr>
            <w:r>
              <w:rPr>
                <w:sz w:val="20"/>
              </w:rPr>
            </w:r>
            <w:r>
              <w:rPr>
                <w:rFonts w:ascii="Times New Roman" w:hAnsi="Times New Roman" w:eastAsia="宋体"/>
                <w:b w:val="0"/>
                <w:sz w:val="20"/>
              </w:rPr>
              <w:t>Nicotine exposure</w:t>
            </w:r>
          </w:p>
        </w:tc>
        <w:tc>
          <w:tcPr>
            <w:tcW w:type="dxa" w:w="2160"/>
          </w:tcPr>
          <w:p>
            <w:pPr>
              <w:spacing w:line="324" w:lineRule="auto" w:after="40"/>
            </w:pPr>
            <w:r>
              <w:rPr>
                <w:sz w:val="20"/>
              </w:rPr>
            </w:r>
            <w:r>
              <w:rPr>
                <w:rFonts w:ascii="Times New Roman" w:hAnsi="Times New Roman" w:eastAsia="宋体"/>
                <w:b w:val="0"/>
                <w:sz w:val="20"/>
              </w:rPr>
              <w:t>Never = 100; former = 75; current by cigarettes/day: &lt;5 = 50; 5–19 = 25; ≥20 = 0</w:t>
            </w:r>
          </w:p>
        </w:tc>
        <w:tc>
          <w:tcPr>
            <w:tcW w:type="dxa" w:w="2160"/>
          </w:tcPr>
          <w:p>
            <w:pPr>
              <w:spacing w:line="324" w:lineRule="auto" w:after="40"/>
            </w:pPr>
            <w:r>
              <w:rPr>
                <w:sz w:val="20"/>
              </w:rPr>
            </w:r>
            <w:r>
              <w:rPr>
                <w:rFonts w:ascii="Times New Roman" w:hAnsi="Times New Roman" w:eastAsia="宋体"/>
                <w:b w:val="0"/>
                <w:sz w:val="20"/>
              </w:rPr>
              <w:t>Never = 100; former by quit duration: ≥5 y = 75, 1–&lt;5 y = 50, &lt;1 y = 25; current = 0; −20 points if living with indoor smoker</w:t>
            </w:r>
          </w:p>
        </w:tc>
        <w:tc>
          <w:tcPr>
            <w:tcW w:type="dxa" w:w="2160"/>
          </w:tcPr>
          <w:p>
            <w:pPr>
              <w:spacing w:line="324" w:lineRule="auto" w:after="40"/>
            </w:pPr>
            <w:r>
              <w:rPr>
                <w:sz w:val="20"/>
              </w:rPr>
            </w:r>
            <w:r>
              <w:rPr>
                <w:rFonts w:ascii="Times New Roman" w:hAnsi="Times New Roman" w:eastAsia="宋体"/>
                <w:b w:val="0"/>
                <w:sz w:val="20"/>
              </w:rPr>
              <w:t>Current smokers scored 25–50 points higher; quit duration and indoor smoke not recorded in CHARLS</w:t>
            </w:r>
          </w:p>
        </w:tc>
      </w:tr>
      <w:tr>
        <w:tc>
          <w:tcPr>
            <w:tcW w:type="dxa" w:w="2160"/>
          </w:tcPr>
          <w:p>
            <w:pPr>
              <w:spacing w:line="324" w:lineRule="auto" w:after="40"/>
            </w:pPr>
            <w:r>
              <w:rPr>
                <w:sz w:val="20"/>
              </w:rPr>
            </w:r>
            <w:r>
              <w:rPr>
                <w:rFonts w:ascii="Times New Roman" w:hAnsi="Times New Roman" w:eastAsia="宋体"/>
                <w:b w:val="0"/>
                <w:sz w:val="20"/>
              </w:rPr>
              <w:t>Sleep (night-time hours)</w:t>
            </w:r>
          </w:p>
        </w:tc>
        <w:tc>
          <w:tcPr>
            <w:tcW w:type="dxa" w:w="2160"/>
          </w:tcPr>
          <w:p>
            <w:pPr>
              <w:spacing w:line="324" w:lineRule="auto" w:after="40"/>
            </w:pPr>
            <w:r>
              <w:rPr>
                <w:sz w:val="20"/>
              </w:rPr>
            </w:r>
            <w:r>
              <w:rPr>
                <w:rFonts w:ascii="Times New Roman" w:hAnsi="Times New Roman" w:eastAsia="宋体"/>
                <w:b w:val="0"/>
                <w:sz w:val="20"/>
              </w:rPr>
              <w:t>7–&lt;9 = 100; 9–&lt;10 or 6–&lt;7 = 90; 5–&lt;6 or 10–&lt;11 = 70; &lt;5 or ≥11 = 40</w:t>
            </w:r>
          </w:p>
        </w:tc>
        <w:tc>
          <w:tcPr>
            <w:tcW w:type="dxa" w:w="2160"/>
          </w:tcPr>
          <w:p>
            <w:pPr>
              <w:spacing w:line="324" w:lineRule="auto" w:after="40"/>
            </w:pPr>
            <w:r>
              <w:rPr>
                <w:sz w:val="20"/>
              </w:rPr>
            </w:r>
            <w:r>
              <w:rPr>
                <w:rFonts w:ascii="Times New Roman" w:hAnsi="Times New Roman" w:eastAsia="宋体"/>
                <w:b w:val="0"/>
                <w:sz w:val="20"/>
              </w:rPr>
              <w:t>7–&lt;9 = 100; 9–&lt;10 = 90; 6–&lt;7 = 70; 5–&lt;6 or ≥10 = 40; 4–&lt;5 = 20; &lt;4 = 0</w:t>
            </w:r>
          </w:p>
        </w:tc>
        <w:tc>
          <w:tcPr>
            <w:tcW w:type="dxa" w:w="2160"/>
          </w:tcPr>
          <w:p>
            <w:pPr>
              <w:spacing w:line="324" w:lineRule="auto" w:after="40"/>
            </w:pPr>
            <w:r>
              <w:rPr>
                <w:sz w:val="20"/>
              </w:rPr>
            </w:r>
            <w:r>
              <w:rPr>
                <w:rFonts w:ascii="Times New Roman" w:hAnsi="Times New Roman" w:eastAsia="宋体"/>
                <w:b w:val="0"/>
                <w:sz w:val="20"/>
              </w:rPr>
              <w:t>More lenient for short sleepers (6–&lt;7 h scored 90 vs 70; 5–&lt;6 h scored 70 vs 40; 4–&lt;5 h scored 40 vs 20; &lt;4 h scored 20 vs 0). CHARLS records only night-time sleep (excluding naps); tested in S13d</w:t>
            </w:r>
          </w:p>
        </w:tc>
      </w:tr>
      <w:tr>
        <w:tc>
          <w:tcPr>
            <w:tcW w:type="dxa" w:w="2160"/>
          </w:tcPr>
          <w:p>
            <w:pPr>
              <w:spacing w:line="324" w:lineRule="auto" w:after="40"/>
            </w:pPr>
            <w:r>
              <w:rPr>
                <w:sz w:val="20"/>
              </w:rPr>
            </w:r>
            <w:r>
              <w:rPr>
                <w:rFonts w:ascii="Times New Roman" w:hAnsi="Times New Roman" w:eastAsia="宋体"/>
                <w:b w:val="0"/>
                <w:sz w:val="20"/>
              </w:rPr>
              <w:t>BMI (kg/m²)</w:t>
            </w:r>
          </w:p>
        </w:tc>
        <w:tc>
          <w:tcPr>
            <w:tcW w:type="dxa" w:w="2160"/>
          </w:tcPr>
          <w:p>
            <w:pPr>
              <w:spacing w:line="324" w:lineRule="auto" w:after="40"/>
            </w:pPr>
            <w:r>
              <w:rPr>
                <w:sz w:val="20"/>
              </w:rPr>
            </w:r>
            <w:r>
              <w:rPr>
                <w:rFonts w:ascii="Times New Roman" w:hAnsi="Times New Roman" w:eastAsia="宋体"/>
                <w:b w:val="0"/>
                <w:sz w:val="20"/>
              </w:rPr>
              <w:t>&lt;25 = 100; 25–29.9 = 70; ≥30 = 50</w:t>
            </w:r>
          </w:p>
        </w:tc>
        <w:tc>
          <w:tcPr>
            <w:tcW w:type="dxa" w:w="2160"/>
          </w:tcPr>
          <w:p>
            <w:pPr>
              <w:spacing w:line="324" w:lineRule="auto" w:after="40"/>
            </w:pPr>
            <w:r>
              <w:rPr>
                <w:sz w:val="20"/>
              </w:rPr>
            </w:r>
            <w:r>
              <w:rPr>
                <w:rFonts w:ascii="Times New Roman" w:hAnsi="Times New Roman" w:eastAsia="宋体"/>
                <w:b w:val="0"/>
                <w:sz w:val="20"/>
              </w:rPr>
              <w:t>&lt;25 = 100; 25–29.9 = 70; ≥30 = 50</w:t>
            </w:r>
          </w:p>
        </w:tc>
        <w:tc>
          <w:tcPr>
            <w:tcW w:type="dxa" w:w="2160"/>
          </w:tcPr>
          <w:p>
            <w:pPr>
              <w:spacing w:line="324" w:lineRule="auto" w:after="40"/>
            </w:pPr>
            <w:r>
              <w:rPr>
                <w:sz w:val="20"/>
              </w:rPr>
            </w:r>
            <w:r>
              <w:rPr>
                <w:rFonts w:ascii="Times New Roman" w:hAnsi="Times New Roman" w:eastAsia="宋体"/>
                <w:b w:val="0"/>
                <w:sz w:val="20"/>
              </w:rPr>
              <w:t>None</w:t>
            </w:r>
          </w:p>
        </w:tc>
      </w:tr>
      <w:tr>
        <w:tc>
          <w:tcPr>
            <w:tcW w:type="dxa" w:w="2160"/>
          </w:tcPr>
          <w:p>
            <w:pPr>
              <w:spacing w:line="324" w:lineRule="auto" w:after="40"/>
            </w:pPr>
            <w:r>
              <w:rPr>
                <w:sz w:val="20"/>
              </w:rPr>
            </w:r>
            <w:r>
              <w:rPr>
                <w:rFonts w:ascii="Times New Roman" w:hAnsi="Times New Roman" w:eastAsia="宋体"/>
                <w:b w:val="0"/>
                <w:sz w:val="20"/>
              </w:rPr>
              <w:t>Blood glucose</w:t>
            </w:r>
          </w:p>
        </w:tc>
        <w:tc>
          <w:tcPr>
            <w:tcW w:type="dxa" w:w="2160"/>
          </w:tcPr>
          <w:p>
            <w:pPr>
              <w:spacing w:line="324" w:lineRule="auto" w:after="40"/>
            </w:pPr>
            <w:r>
              <w:rPr>
                <w:sz w:val="20"/>
              </w:rPr>
            </w:r>
            <w:r>
              <w:rPr>
                <w:rFonts w:ascii="Times New Roman" w:hAnsi="Times New Roman" w:eastAsia="宋体"/>
                <w:b w:val="0"/>
                <w:sz w:val="20"/>
              </w:rPr>
              <w:t>HbA1c preferred, FPG if missing; no diabetes: HbA1c &lt;5.7% or FPG &lt;100 mg/dL = 100 (else 60); diabetes: 60/40/30/20/10/0 by HbA1c &lt;6.5, 6.5–&lt;7.0, 7.0–&lt;7.5, 7.5–&lt;8.0, 8.0–&lt;9.0, ≥9.0 (FPG equivalents)</w:t>
            </w:r>
          </w:p>
        </w:tc>
        <w:tc>
          <w:tcPr>
            <w:tcW w:type="dxa" w:w="2160"/>
          </w:tcPr>
          <w:p>
            <w:pPr>
              <w:spacing w:line="324" w:lineRule="auto" w:after="40"/>
            </w:pPr>
            <w:r>
              <w:rPr>
                <w:sz w:val="20"/>
              </w:rPr>
            </w:r>
            <w:r>
              <w:rPr>
                <w:rFonts w:ascii="Times New Roman" w:hAnsi="Times New Roman" w:eastAsia="宋体"/>
                <w:b w:val="0"/>
                <w:sz w:val="20"/>
              </w:rPr>
              <w:t>No diabetes: HbA1c &lt;5.7% = 100, 5.7–6.4% = 60; diabetes: HbA1c &lt;7.0 = 60, 7.0–&lt;8.0 = 40, 8.0–&lt;9.0 = 30, 9.0–&lt;10.0 = 20, ≥10.0 = 10</w:t>
            </w:r>
          </w:p>
        </w:tc>
        <w:tc>
          <w:tcPr>
            <w:tcW w:type="dxa" w:w="2160"/>
          </w:tcPr>
          <w:p>
            <w:pPr>
              <w:spacing w:line="324" w:lineRule="auto" w:after="40"/>
            </w:pPr>
            <w:r>
              <w:rPr>
                <w:sz w:val="20"/>
              </w:rPr>
            </w:r>
            <w:r>
              <w:rPr>
                <w:rFonts w:ascii="Times New Roman" w:hAnsi="Times New Roman" w:eastAsia="宋体"/>
                <w:b w:val="0"/>
                <w:sz w:val="20"/>
              </w:rPr>
              <w:t>Diabetes tiers shifted slightly (HbA1c 6.5–6.9 scored 40 instead of 60)</w:t>
            </w:r>
          </w:p>
        </w:tc>
      </w:tr>
      <w:tr>
        <w:tc>
          <w:tcPr>
            <w:tcW w:type="dxa" w:w="2160"/>
          </w:tcPr>
          <w:p>
            <w:pPr>
              <w:spacing w:line="324" w:lineRule="auto" w:after="40"/>
            </w:pPr>
            <w:r>
              <w:rPr>
                <w:sz w:val="20"/>
              </w:rPr>
            </w:r>
            <w:r>
              <w:rPr>
                <w:rFonts w:ascii="Times New Roman" w:hAnsi="Times New Roman" w:eastAsia="宋体"/>
                <w:b w:val="0"/>
                <w:sz w:val="20"/>
              </w:rPr>
              <w:t>Blood lipids (non-HDL-C, mg/dL)</w:t>
            </w:r>
          </w:p>
        </w:tc>
        <w:tc>
          <w:tcPr>
            <w:tcW w:type="dxa" w:w="2160"/>
          </w:tcPr>
          <w:p>
            <w:pPr>
              <w:spacing w:line="324" w:lineRule="auto" w:after="40"/>
            </w:pPr>
            <w:r>
              <w:rPr>
                <w:sz w:val="20"/>
              </w:rPr>
            </w:r>
            <w:r>
              <w:rPr>
                <w:rFonts w:ascii="Times New Roman" w:hAnsi="Times New Roman" w:eastAsia="宋体"/>
                <w:b w:val="0"/>
                <w:sz w:val="20"/>
              </w:rPr>
              <w:t>&lt;130 = 100; 130–159 = 60; 160–189 = 40; 190–219 = 20; ≥220 = 0</w:t>
            </w:r>
          </w:p>
        </w:tc>
        <w:tc>
          <w:tcPr>
            <w:tcW w:type="dxa" w:w="2160"/>
          </w:tcPr>
          <w:p>
            <w:pPr>
              <w:spacing w:line="324" w:lineRule="auto" w:after="40"/>
            </w:pPr>
            <w:r>
              <w:rPr>
                <w:sz w:val="20"/>
              </w:rPr>
            </w:r>
            <w:r>
              <w:rPr>
                <w:rFonts w:ascii="Times New Roman" w:hAnsi="Times New Roman" w:eastAsia="宋体"/>
                <w:b w:val="0"/>
                <w:sz w:val="20"/>
              </w:rPr>
              <w:t>&lt;130 = 100; 130–159 = 60; 160–189 = 40; 190–219 = 20; ≥220 = 0</w:t>
            </w:r>
          </w:p>
        </w:tc>
        <w:tc>
          <w:tcPr>
            <w:tcW w:type="dxa" w:w="2160"/>
          </w:tcPr>
          <w:p>
            <w:pPr>
              <w:spacing w:line="324" w:lineRule="auto" w:after="40"/>
            </w:pPr>
            <w:r>
              <w:rPr>
                <w:sz w:val="20"/>
              </w:rPr>
            </w:r>
            <w:r>
              <w:rPr>
                <w:rFonts w:ascii="Times New Roman" w:hAnsi="Times New Roman" w:eastAsia="宋体"/>
                <w:b w:val="0"/>
                <w:sz w:val="20"/>
              </w:rPr>
              <w:t>None (statin use not recorded in CHARLS)</w:t>
            </w:r>
          </w:p>
        </w:tc>
      </w:tr>
      <w:tr>
        <w:tc>
          <w:tcPr>
            <w:tcW w:type="dxa" w:w="2160"/>
          </w:tcPr>
          <w:p>
            <w:pPr>
              <w:spacing w:line="324" w:lineRule="auto" w:after="40"/>
            </w:pPr>
            <w:r>
              <w:rPr>
                <w:sz w:val="20"/>
              </w:rPr>
            </w:r>
            <w:r>
              <w:rPr>
                <w:rFonts w:ascii="Times New Roman" w:hAnsi="Times New Roman" w:eastAsia="宋体"/>
                <w:b w:val="0"/>
                <w:sz w:val="20"/>
              </w:rPr>
              <w:t>Blood pressure (mmHg)</w:t>
            </w:r>
          </w:p>
        </w:tc>
        <w:tc>
          <w:tcPr>
            <w:tcW w:type="dxa" w:w="2160"/>
          </w:tcPr>
          <w:p>
            <w:pPr>
              <w:spacing w:line="324" w:lineRule="auto" w:after="40"/>
            </w:pPr>
            <w:r>
              <w:rPr>
                <w:sz w:val="20"/>
              </w:rPr>
            </w:r>
            <w:r>
              <w:rPr>
                <w:rFonts w:ascii="Times New Roman" w:hAnsi="Times New Roman" w:eastAsia="宋体"/>
                <w:b w:val="0"/>
                <w:sz w:val="20"/>
              </w:rPr>
              <w:t>Untreated: &lt;120/&lt;80 = 100; 120–129/&lt;80 = 75; 130–139/80–89 = 50; 140–159/90–99 = 25; ≥160/≥100 = 0. Treated: &lt;130/&lt;80 = 100; 130–139/80–89 = 50; 140–159/90–99 = 25; ≥160/≥100 = 0</w:t>
            </w:r>
          </w:p>
        </w:tc>
        <w:tc>
          <w:tcPr>
            <w:tcW w:type="dxa" w:w="2160"/>
          </w:tcPr>
          <w:p>
            <w:pPr>
              <w:spacing w:line="324" w:lineRule="auto" w:after="40"/>
            </w:pPr>
            <w:r>
              <w:rPr>
                <w:sz w:val="20"/>
              </w:rPr>
            </w:r>
            <w:r>
              <w:rPr>
                <w:rFonts w:ascii="Times New Roman" w:hAnsi="Times New Roman" w:eastAsia="宋体"/>
                <w:b w:val="0"/>
                <w:sz w:val="20"/>
              </w:rPr>
              <w:t>Same as implementation</w:t>
            </w:r>
          </w:p>
        </w:tc>
        <w:tc>
          <w:tcPr>
            <w:tcW w:type="dxa" w:w="2160"/>
          </w:tcPr>
          <w:p>
            <w:pPr>
              <w:spacing w:line="324" w:lineRule="auto" w:after="40"/>
            </w:pPr>
            <w:r>
              <w:rPr>
                <w:sz w:val="20"/>
              </w:rPr>
            </w:r>
            <w:r>
              <w:rPr>
                <w:rFonts w:ascii="Times New Roman" w:hAnsi="Times New Roman" w:eastAsia="宋体"/>
                <w:b w:val="0"/>
                <w:sz w:val="20"/>
              </w:rPr>
              <w:t>None</w:t>
            </w:r>
          </w:p>
        </w:tc>
      </w:tr>
    </w:tbl>
    <w:p/>
    <w:p>
      <w:pPr>
        <w:spacing w:line="360" w:lineRule="auto"/>
      </w:pPr>
      <w:r>
        <w:rPr>
          <w:rFonts w:ascii="Times New Roman" w:hAnsi="Times New Roman" w:eastAsia="宋体"/>
          <w:b w:val="0"/>
          <w:sz w:val="21"/>
        </w:rPr>
        <w:t>Note: Sensitivity analysis S13a in Table 3 of the main text rescored physical activity and nicotine exposure with the official AHA thresholds (fully adjusted HRs essentially unchanged: 1.89, 95% CI 1.42–2.53 and 3.75, 95% CI 2.63–5.35); S13d rescored sleep with the official AHA thresholds (HR 1.97, 95% CI 1.46–2.65 and 3.96, 95% CI 2.77–5.67). The glucose deviation (diabetes with HbA1c 6.5–6.9% scored 40 instead of 60) is small in magnitude, applies only to a minority of participants with diabetes, and is directionally conservative; it was therefore not separately rescaled.</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8. Trajectory class parameters (LCGM, hlme with quadratic time; t = 0/2/4 years, 2011/2013/2015) and group × time interaction.</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440"/>
        <w:gridCol w:w="1440"/>
        <w:gridCol w:w="1440"/>
        <w:gridCol w:w="1440"/>
        <w:gridCol w:w="1440"/>
        <w:gridCol w:w="1440"/>
      </w:tblGrid>
      <w:tr>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Class</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Intercept</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Linear term (per year)</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Quadratic term</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Observed mean LE8 (2011→2015)</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LMM linear slope per 2 years (mean ± SE)</w:t>
            </w:r>
          </w:p>
        </w:tc>
      </w:tr>
      <w:tr>
        <w:tc>
          <w:tcPr>
            <w:tcW w:type="dxa" w:w="1440"/>
          </w:tcPr>
          <w:p>
            <w:pPr>
              <w:spacing w:line="324" w:lineRule="auto" w:after="40"/>
            </w:pPr>
            <w:r>
              <w:rPr>
                <w:sz w:val="20"/>
              </w:rPr>
            </w:r>
            <w:r>
              <w:rPr>
                <w:rFonts w:ascii="Times New Roman" w:hAnsi="Times New Roman" w:eastAsia="宋体"/>
                <w:b w:val="0"/>
                <w:sz w:val="20"/>
              </w:rPr>
              <w:t>Persistent high</w:t>
            </w:r>
          </w:p>
        </w:tc>
        <w:tc>
          <w:tcPr>
            <w:tcW w:type="dxa" w:w="1440"/>
          </w:tcPr>
          <w:p>
            <w:pPr>
              <w:spacing w:line="324" w:lineRule="auto" w:after="40"/>
            </w:pPr>
            <w:r>
              <w:rPr>
                <w:sz w:val="20"/>
              </w:rPr>
            </w:r>
            <w:r>
              <w:rPr>
                <w:rFonts w:ascii="Times New Roman" w:hAnsi="Times New Roman" w:eastAsia="宋体"/>
                <w:b w:val="0"/>
                <w:sz w:val="20"/>
              </w:rPr>
              <w:t>88.72</w:t>
            </w:r>
          </w:p>
        </w:tc>
        <w:tc>
          <w:tcPr>
            <w:tcW w:type="dxa" w:w="1440"/>
          </w:tcPr>
          <w:p>
            <w:pPr>
              <w:spacing w:line="324" w:lineRule="auto" w:after="40"/>
            </w:pPr>
            <w:r>
              <w:rPr>
                <w:sz w:val="20"/>
              </w:rPr>
            </w:r>
            <w:r>
              <w:rPr>
                <w:rFonts w:ascii="Times New Roman" w:hAnsi="Times New Roman" w:eastAsia="宋体"/>
                <w:b w:val="0"/>
                <w:sz w:val="20"/>
              </w:rPr>
              <w:t>+0.49</w:t>
            </w:r>
          </w:p>
        </w:tc>
        <w:tc>
          <w:tcPr>
            <w:tcW w:type="dxa" w:w="1440"/>
          </w:tcPr>
          <w:p>
            <w:pPr>
              <w:spacing w:line="324" w:lineRule="auto" w:after="40"/>
            </w:pPr>
            <w:r>
              <w:rPr>
                <w:sz w:val="20"/>
              </w:rPr>
            </w:r>
            <w:r>
              <w:rPr>
                <w:rFonts w:ascii="Times New Roman" w:hAnsi="Times New Roman" w:eastAsia="宋体"/>
                <w:b w:val="0"/>
                <w:sz w:val="20"/>
              </w:rPr>
              <w:t>−0.31</w:t>
            </w:r>
          </w:p>
        </w:tc>
        <w:tc>
          <w:tcPr>
            <w:tcW w:type="dxa" w:w="1440"/>
          </w:tcPr>
          <w:p>
            <w:pPr>
              <w:spacing w:line="324" w:lineRule="auto" w:after="40"/>
            </w:pPr>
            <w:r>
              <w:rPr>
                <w:sz w:val="20"/>
              </w:rPr>
            </w:r>
            <w:r>
              <w:rPr>
                <w:rFonts w:ascii="Times New Roman" w:hAnsi="Times New Roman" w:eastAsia="宋体"/>
                <w:b w:val="0"/>
                <w:sz w:val="20"/>
              </w:rPr>
              <w:t>89.2 → 86.2</w:t>
            </w:r>
          </w:p>
        </w:tc>
        <w:tc>
          <w:tcPr>
            <w:tcW w:type="dxa" w:w="1440"/>
          </w:tcPr>
          <w:p>
            <w:pPr>
              <w:spacing w:line="324" w:lineRule="auto" w:after="40"/>
            </w:pPr>
            <w:r>
              <w:rPr>
                <w:sz w:val="20"/>
              </w:rPr>
            </w:r>
            <w:r>
              <w:rPr>
                <w:rFonts w:ascii="Times New Roman" w:hAnsi="Times New Roman" w:eastAsia="宋体"/>
                <w:b w:val="0"/>
                <w:sz w:val="20"/>
              </w:rPr>
              <w:t>−1.52 ± 0.12</w:t>
            </w:r>
          </w:p>
        </w:tc>
      </w:tr>
      <w:tr>
        <w:tc>
          <w:tcPr>
            <w:tcW w:type="dxa" w:w="1440"/>
          </w:tcPr>
          <w:p>
            <w:pPr>
              <w:spacing w:line="324" w:lineRule="auto" w:after="40"/>
            </w:pPr>
            <w:r>
              <w:rPr>
                <w:sz w:val="20"/>
              </w:rPr>
            </w:r>
            <w:r>
              <w:rPr>
                <w:rFonts w:ascii="Times New Roman" w:hAnsi="Times New Roman" w:eastAsia="宋体"/>
                <w:b w:val="0"/>
                <w:sz w:val="20"/>
              </w:rPr>
              <w:t>Persistent moderate</w:t>
            </w:r>
          </w:p>
        </w:tc>
        <w:tc>
          <w:tcPr>
            <w:tcW w:type="dxa" w:w="1440"/>
          </w:tcPr>
          <w:p>
            <w:pPr>
              <w:spacing w:line="324" w:lineRule="auto" w:after="40"/>
            </w:pPr>
            <w:r>
              <w:rPr>
                <w:sz w:val="20"/>
              </w:rPr>
            </w:r>
            <w:r>
              <w:rPr>
                <w:rFonts w:ascii="Times New Roman" w:hAnsi="Times New Roman" w:eastAsia="宋体"/>
                <w:b w:val="0"/>
                <w:sz w:val="20"/>
              </w:rPr>
              <w:t>77.80</w:t>
            </w:r>
          </w:p>
        </w:tc>
        <w:tc>
          <w:tcPr>
            <w:tcW w:type="dxa" w:w="1440"/>
          </w:tcPr>
          <w:p>
            <w:pPr>
              <w:spacing w:line="324" w:lineRule="auto" w:after="40"/>
            </w:pPr>
            <w:r>
              <w:rPr>
                <w:sz w:val="20"/>
              </w:rPr>
            </w:r>
            <w:r>
              <w:rPr>
                <w:rFonts w:ascii="Times New Roman" w:hAnsi="Times New Roman" w:eastAsia="宋体"/>
                <w:b w:val="0"/>
                <w:sz w:val="20"/>
              </w:rPr>
              <w:t>0.00</w:t>
            </w:r>
          </w:p>
        </w:tc>
        <w:tc>
          <w:tcPr>
            <w:tcW w:type="dxa" w:w="1440"/>
          </w:tcPr>
          <w:p>
            <w:pPr>
              <w:spacing w:line="324" w:lineRule="auto" w:after="40"/>
            </w:pPr>
            <w:r>
              <w:rPr>
                <w:sz w:val="20"/>
              </w:rPr>
            </w:r>
            <w:r>
              <w:rPr>
                <w:rFonts w:ascii="Times New Roman" w:hAnsi="Times New Roman" w:eastAsia="宋体"/>
                <w:b w:val="0"/>
                <w:sz w:val="20"/>
              </w:rPr>
              <w:t>−0.30</w:t>
            </w:r>
          </w:p>
        </w:tc>
        <w:tc>
          <w:tcPr>
            <w:tcW w:type="dxa" w:w="1440"/>
          </w:tcPr>
          <w:p>
            <w:pPr>
              <w:spacing w:line="324" w:lineRule="auto" w:after="40"/>
            </w:pPr>
            <w:r>
              <w:rPr>
                <w:sz w:val="20"/>
              </w:rPr>
            </w:r>
            <w:r>
              <w:rPr>
                <w:rFonts w:ascii="Times New Roman" w:hAnsi="Times New Roman" w:eastAsia="宋体"/>
                <w:b w:val="0"/>
                <w:sz w:val="20"/>
              </w:rPr>
              <w:t>77.4 → 72.6</w:t>
            </w:r>
          </w:p>
        </w:tc>
        <w:tc>
          <w:tcPr>
            <w:tcW w:type="dxa" w:w="1440"/>
          </w:tcPr>
          <w:p>
            <w:pPr>
              <w:spacing w:line="324" w:lineRule="auto" w:after="40"/>
            </w:pPr>
            <w:r>
              <w:rPr>
                <w:sz w:val="20"/>
              </w:rPr>
            </w:r>
            <w:r>
              <w:rPr>
                <w:rFonts w:ascii="Times New Roman" w:hAnsi="Times New Roman" w:eastAsia="宋体"/>
                <w:b w:val="0"/>
                <w:sz w:val="20"/>
              </w:rPr>
              <w:t>−2.40 ± 0.22</w:t>
            </w:r>
          </w:p>
        </w:tc>
      </w:tr>
      <w:tr>
        <w:tc>
          <w:tcPr>
            <w:tcW w:type="dxa" w:w="1440"/>
          </w:tcPr>
          <w:p>
            <w:pPr>
              <w:spacing w:line="324" w:lineRule="auto" w:after="40"/>
            </w:pPr>
            <w:r>
              <w:rPr>
                <w:sz w:val="20"/>
              </w:rPr>
            </w:r>
            <w:r>
              <w:rPr>
                <w:rFonts w:ascii="Times New Roman" w:hAnsi="Times New Roman" w:eastAsia="宋体"/>
                <w:b w:val="0"/>
                <w:sz w:val="20"/>
              </w:rPr>
              <w:t>Persistent low</w:t>
            </w:r>
          </w:p>
        </w:tc>
        <w:tc>
          <w:tcPr>
            <w:tcW w:type="dxa" w:w="1440"/>
          </w:tcPr>
          <w:p>
            <w:pPr>
              <w:spacing w:line="324" w:lineRule="auto" w:after="40"/>
            </w:pPr>
            <w:r>
              <w:rPr>
                <w:sz w:val="20"/>
              </w:rPr>
            </w:r>
            <w:r>
              <w:rPr>
                <w:rFonts w:ascii="Times New Roman" w:hAnsi="Times New Roman" w:eastAsia="宋体"/>
                <w:b w:val="0"/>
                <w:sz w:val="20"/>
              </w:rPr>
              <w:t>62.96</w:t>
            </w:r>
          </w:p>
        </w:tc>
        <w:tc>
          <w:tcPr>
            <w:tcW w:type="dxa" w:w="1440"/>
          </w:tcPr>
          <w:p>
            <w:pPr>
              <w:spacing w:line="324" w:lineRule="auto" w:after="40"/>
            </w:pPr>
            <w:r>
              <w:rPr>
                <w:sz w:val="20"/>
              </w:rPr>
            </w:r>
            <w:r>
              <w:rPr>
                <w:rFonts w:ascii="Times New Roman" w:hAnsi="Times New Roman" w:eastAsia="宋体"/>
                <w:b w:val="0"/>
                <w:sz w:val="20"/>
              </w:rPr>
              <w:t>−0.29</w:t>
            </w:r>
          </w:p>
        </w:tc>
        <w:tc>
          <w:tcPr>
            <w:tcW w:type="dxa" w:w="1440"/>
          </w:tcPr>
          <w:p>
            <w:pPr>
              <w:spacing w:line="324" w:lineRule="auto" w:after="40"/>
            </w:pPr>
            <w:r>
              <w:rPr>
                <w:sz w:val="20"/>
              </w:rPr>
            </w:r>
            <w:r>
              <w:rPr>
                <w:rFonts w:ascii="Times New Roman" w:hAnsi="Times New Roman" w:eastAsia="宋体"/>
                <w:b w:val="0"/>
                <w:sz w:val="20"/>
              </w:rPr>
              <w:t>−0.07</w:t>
            </w:r>
          </w:p>
        </w:tc>
        <w:tc>
          <w:tcPr>
            <w:tcW w:type="dxa" w:w="1440"/>
          </w:tcPr>
          <w:p>
            <w:pPr>
              <w:spacing w:line="324" w:lineRule="auto" w:after="40"/>
            </w:pPr>
            <w:r>
              <w:rPr>
                <w:sz w:val="20"/>
              </w:rPr>
            </w:r>
            <w:r>
              <w:rPr>
                <w:rFonts w:ascii="Times New Roman" w:hAnsi="Times New Roman" w:eastAsia="宋体"/>
                <w:b w:val="0"/>
                <w:sz w:val="20"/>
              </w:rPr>
              <w:t>62.1 → 59.9</w:t>
            </w:r>
          </w:p>
        </w:tc>
        <w:tc>
          <w:tcPr>
            <w:tcW w:type="dxa" w:w="1440"/>
          </w:tcPr>
          <w:p>
            <w:pPr>
              <w:spacing w:line="324" w:lineRule="auto" w:after="40"/>
            </w:pPr>
            <w:r>
              <w:rPr>
                <w:sz w:val="20"/>
              </w:rPr>
            </w:r>
            <w:r>
              <w:rPr>
                <w:rFonts w:ascii="Times New Roman" w:hAnsi="Times New Roman" w:eastAsia="宋体"/>
                <w:b w:val="0"/>
                <w:sz w:val="20"/>
              </w:rPr>
              <w:t>−1.10 ± 0.31</w:t>
            </w:r>
          </w:p>
        </w:tc>
      </w:tr>
    </w:tbl>
    <w:p/>
    <w:p>
      <w:pPr>
        <w:spacing w:line="360" w:lineRule="auto"/>
      </w:pPr>
      <w:r>
        <w:rPr>
          <w:rFonts w:ascii="Times New Roman" w:hAnsi="Times New Roman" w:eastAsia="宋体"/>
          <w:b w:val="0"/>
          <w:sz w:val="21"/>
        </w:rPr>
        <w:t>Note: Class-specific intercepts correspond to the model-predicted LE8 score at 2011. Standard errors of the LCGM class parameters were not estimable from the fitted model's Hessian, which was numerically singular at the optimum under the hlme profile-likelihood parameterization; 95% confidence bands for the predicted trajectories (parametric draws) are shown in Figure 2. Group × time interaction was tested in a linear mixed model with a random participant intercept: le8_total ~ trajectory × time + (1 | ID), with time coded 0/2/4 years (2011/2013/2015); χ² = 35.0, df = 2, P &lt; 0.001 (likelihood-ratio test), indicating modest but detectable shape differences beyond the dominant level separation.</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9. Incremental value of trajectories over baseline static LE8 (Model 3; complete-case sample n=3,848, 278 events).</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2160"/>
        <w:gridCol w:w="2160"/>
        <w:gridCol w:w="2160"/>
        <w:gridCol w:w="2160"/>
      </w:tblGrid>
      <w:tr>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Model</w:t>
            </w:r>
          </w:p>
        </w:tc>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Harrell's C</w:t>
            </w:r>
          </w:p>
        </w:tc>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LRT vs. nested model</w:t>
            </w:r>
          </w:p>
        </w:tc>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P</w:t>
            </w:r>
          </w:p>
        </w:tc>
      </w:tr>
      <w:tr>
        <w:tc>
          <w:tcPr>
            <w:tcW w:type="dxa" w:w="2160"/>
          </w:tcPr>
          <w:p>
            <w:pPr>
              <w:spacing w:line="324" w:lineRule="auto" w:after="40"/>
            </w:pPr>
            <w:r>
              <w:rPr>
                <w:sz w:val="20"/>
              </w:rPr>
            </w:r>
            <w:r>
              <w:rPr>
                <w:rFonts w:ascii="Times New Roman" w:hAnsi="Times New Roman" w:eastAsia="宋体"/>
                <w:b w:val="0"/>
                <w:sz w:val="20"/>
              </w:rPr>
              <w:t>Model 3 (no LE8)</w:t>
            </w:r>
          </w:p>
        </w:tc>
        <w:tc>
          <w:tcPr>
            <w:tcW w:type="dxa" w:w="2160"/>
          </w:tcPr>
          <w:p>
            <w:pPr>
              <w:spacing w:line="324" w:lineRule="auto" w:after="40"/>
            </w:pPr>
            <w:r>
              <w:rPr>
                <w:sz w:val="20"/>
              </w:rPr>
            </w:r>
            <w:r>
              <w:rPr>
                <w:rFonts w:ascii="Times New Roman" w:hAnsi="Times New Roman" w:eastAsia="宋体"/>
                <w:b w:val="0"/>
                <w:sz w:val="20"/>
              </w:rPr>
              <w:t>0.625</w:t>
            </w:r>
          </w:p>
        </w:tc>
        <w:tc>
          <w:tcPr>
            <w:tcW w:type="dxa" w:w="2160"/>
          </w:tcPr>
          <w:p>
            <w:pPr>
              <w:spacing w:line="324" w:lineRule="auto" w:after="40"/>
            </w:pPr>
            <w:r>
              <w:rPr>
                <w:sz w:val="20"/>
              </w:rPr>
            </w:r>
            <w:r>
              <w:rPr>
                <w:rFonts w:ascii="Times New Roman" w:hAnsi="Times New Roman" w:eastAsia="宋体"/>
                <w:b w:val="0"/>
                <w:sz w:val="20"/>
              </w:rPr>
              <w:t>—</w:t>
            </w:r>
          </w:p>
        </w:tc>
        <w:tc>
          <w:tcPr>
            <w:tcW w:type="dxa" w:w="2160"/>
          </w:tcPr>
          <w:p>
            <w:pPr>
              <w:spacing w:line="324" w:lineRule="auto" w:after="40"/>
            </w:pPr>
            <w:r>
              <w:rPr>
                <w:sz w:val="20"/>
              </w:rPr>
            </w:r>
            <w:r>
              <w:rPr>
                <w:rFonts w:ascii="Times New Roman" w:hAnsi="Times New Roman" w:eastAsia="宋体"/>
                <w:b w:val="0"/>
                <w:sz w:val="20"/>
              </w:rPr>
              <w:t>—</w:t>
            </w:r>
          </w:p>
        </w:tc>
      </w:tr>
      <w:tr>
        <w:tc>
          <w:tcPr>
            <w:tcW w:type="dxa" w:w="2160"/>
          </w:tcPr>
          <w:p>
            <w:pPr>
              <w:spacing w:line="324" w:lineRule="auto" w:after="40"/>
            </w:pPr>
            <w:r>
              <w:rPr>
                <w:sz w:val="20"/>
              </w:rPr>
            </w:r>
            <w:r>
              <w:rPr>
                <w:rFonts w:ascii="Times New Roman" w:hAnsi="Times New Roman" w:eastAsia="宋体"/>
                <w:b w:val="0"/>
                <w:sz w:val="20"/>
              </w:rPr>
              <w:t>Model 3 + baseline LE8</w:t>
            </w:r>
          </w:p>
        </w:tc>
        <w:tc>
          <w:tcPr>
            <w:tcW w:type="dxa" w:w="2160"/>
          </w:tcPr>
          <w:p>
            <w:pPr>
              <w:spacing w:line="324" w:lineRule="auto" w:after="40"/>
            </w:pPr>
            <w:r>
              <w:rPr>
                <w:sz w:val="20"/>
              </w:rPr>
            </w:r>
            <w:r>
              <w:rPr>
                <w:rFonts w:ascii="Times New Roman" w:hAnsi="Times New Roman" w:eastAsia="宋体"/>
                <w:b w:val="0"/>
                <w:sz w:val="20"/>
              </w:rPr>
              <w:t>0.679</w:t>
            </w:r>
          </w:p>
        </w:tc>
        <w:tc>
          <w:tcPr>
            <w:tcW w:type="dxa" w:w="2160"/>
          </w:tcPr>
          <w:p>
            <w:pPr>
              <w:spacing w:line="324" w:lineRule="auto" w:after="40"/>
            </w:pPr>
            <w:r>
              <w:rPr>
                <w:sz w:val="20"/>
              </w:rPr>
            </w:r>
            <w:r>
              <w:rPr>
                <w:rFonts w:ascii="Times New Roman" w:hAnsi="Times New Roman" w:eastAsia="宋体"/>
                <w:b w:val="0"/>
                <w:sz w:val="20"/>
              </w:rPr>
              <w:t>—</w:t>
            </w:r>
          </w:p>
        </w:tc>
        <w:tc>
          <w:tcPr>
            <w:tcW w:type="dxa" w:w="2160"/>
          </w:tcPr>
          <w:p>
            <w:pPr>
              <w:spacing w:line="324" w:lineRule="auto" w:after="40"/>
            </w:pPr>
            <w:r>
              <w:rPr>
                <w:sz w:val="20"/>
              </w:rPr>
            </w:r>
            <w:r>
              <w:rPr>
                <w:rFonts w:ascii="Times New Roman" w:hAnsi="Times New Roman" w:eastAsia="宋体"/>
                <w:b w:val="0"/>
                <w:sz w:val="20"/>
              </w:rPr>
              <w:t>—</w:t>
            </w:r>
          </w:p>
        </w:tc>
      </w:tr>
      <w:tr>
        <w:tc>
          <w:tcPr>
            <w:tcW w:type="dxa" w:w="2160"/>
          </w:tcPr>
          <w:p>
            <w:pPr>
              <w:spacing w:line="324" w:lineRule="auto" w:after="40"/>
            </w:pPr>
            <w:r>
              <w:rPr>
                <w:sz w:val="20"/>
              </w:rPr>
            </w:r>
            <w:r>
              <w:rPr>
                <w:rFonts w:ascii="Times New Roman" w:hAnsi="Times New Roman" w:eastAsia="宋体"/>
                <w:b w:val="0"/>
                <w:sz w:val="20"/>
              </w:rPr>
              <w:t>Model 3 + trajectory</w:t>
            </w:r>
          </w:p>
        </w:tc>
        <w:tc>
          <w:tcPr>
            <w:tcW w:type="dxa" w:w="2160"/>
          </w:tcPr>
          <w:p>
            <w:pPr>
              <w:spacing w:line="324" w:lineRule="auto" w:after="40"/>
            </w:pPr>
            <w:r>
              <w:rPr>
                <w:sz w:val="20"/>
              </w:rPr>
            </w:r>
            <w:r>
              <w:rPr>
                <w:rFonts w:ascii="Times New Roman" w:hAnsi="Times New Roman" w:eastAsia="宋体"/>
                <w:b w:val="0"/>
                <w:sz w:val="20"/>
              </w:rPr>
              <w:t>0.675</w:t>
            </w:r>
          </w:p>
        </w:tc>
        <w:tc>
          <w:tcPr>
            <w:tcW w:type="dxa" w:w="2160"/>
          </w:tcPr>
          <w:p>
            <w:pPr>
              <w:spacing w:line="324" w:lineRule="auto" w:after="40"/>
            </w:pPr>
            <w:r>
              <w:rPr>
                <w:sz w:val="20"/>
              </w:rPr>
            </w:r>
            <w:r>
              <w:rPr>
                <w:rFonts w:ascii="Times New Roman" w:hAnsi="Times New Roman" w:eastAsia="宋体"/>
                <w:b w:val="0"/>
                <w:sz w:val="20"/>
              </w:rPr>
              <w:t>—</w:t>
            </w:r>
          </w:p>
        </w:tc>
        <w:tc>
          <w:tcPr>
            <w:tcW w:type="dxa" w:w="2160"/>
          </w:tcPr>
          <w:p>
            <w:pPr>
              <w:spacing w:line="324" w:lineRule="auto" w:after="40"/>
            </w:pPr>
            <w:r>
              <w:rPr>
                <w:sz w:val="20"/>
              </w:rPr>
            </w:r>
            <w:r>
              <w:rPr>
                <w:rFonts w:ascii="Times New Roman" w:hAnsi="Times New Roman" w:eastAsia="宋体"/>
                <w:b w:val="0"/>
                <w:sz w:val="20"/>
              </w:rPr>
              <w:t>—</w:t>
            </w:r>
          </w:p>
        </w:tc>
      </w:tr>
      <w:tr>
        <w:tc>
          <w:tcPr>
            <w:tcW w:type="dxa" w:w="2160"/>
          </w:tcPr>
          <w:p>
            <w:pPr>
              <w:spacing w:line="324" w:lineRule="auto" w:after="40"/>
            </w:pPr>
            <w:r>
              <w:rPr>
                <w:sz w:val="20"/>
              </w:rPr>
            </w:r>
            <w:r>
              <w:rPr>
                <w:rFonts w:ascii="Times New Roman" w:hAnsi="Times New Roman" w:eastAsia="宋体"/>
                <w:b w:val="0"/>
                <w:sz w:val="20"/>
              </w:rPr>
              <w:t>Model 3 + baseline LE8 + trajectory</w:t>
            </w:r>
          </w:p>
        </w:tc>
        <w:tc>
          <w:tcPr>
            <w:tcW w:type="dxa" w:w="2160"/>
          </w:tcPr>
          <w:p>
            <w:pPr>
              <w:spacing w:line="324" w:lineRule="auto" w:after="40"/>
            </w:pPr>
            <w:r>
              <w:rPr>
                <w:sz w:val="20"/>
              </w:rPr>
            </w:r>
            <w:r>
              <w:rPr>
                <w:rFonts w:ascii="Times New Roman" w:hAnsi="Times New Roman" w:eastAsia="宋体"/>
                <w:b w:val="0"/>
                <w:sz w:val="20"/>
              </w:rPr>
              <w:t>0.684</w:t>
            </w:r>
          </w:p>
        </w:tc>
        <w:tc>
          <w:tcPr>
            <w:tcW w:type="dxa" w:w="2160"/>
          </w:tcPr>
          <w:p>
            <w:pPr>
              <w:spacing w:line="324" w:lineRule="auto" w:after="40"/>
            </w:pPr>
            <w:r>
              <w:rPr>
                <w:sz w:val="20"/>
              </w:rPr>
            </w:r>
            <w:r>
              <w:rPr>
                <w:rFonts w:ascii="Times New Roman" w:hAnsi="Times New Roman" w:eastAsia="宋体"/>
                <w:b w:val="0"/>
                <w:sz w:val="20"/>
              </w:rPr>
              <w:t>—</w:t>
            </w:r>
          </w:p>
        </w:tc>
        <w:tc>
          <w:tcPr>
            <w:tcW w:type="dxa" w:w="2160"/>
          </w:tcPr>
          <w:p>
            <w:pPr>
              <w:spacing w:line="324" w:lineRule="auto" w:after="40"/>
            </w:pPr>
            <w:r>
              <w:rPr>
                <w:sz w:val="20"/>
              </w:rPr>
            </w:r>
            <w:r>
              <w:rPr>
                <w:rFonts w:ascii="Times New Roman" w:hAnsi="Times New Roman" w:eastAsia="宋体"/>
                <w:b w:val="0"/>
                <w:sz w:val="20"/>
              </w:rPr>
              <w:t>—</w:t>
            </w:r>
          </w:p>
        </w:tc>
      </w:tr>
      <w:tr>
        <w:tc>
          <w:tcPr>
            <w:tcW w:type="dxa" w:w="2160"/>
          </w:tcPr>
          <w:p>
            <w:pPr>
              <w:spacing w:line="324" w:lineRule="auto" w:after="40"/>
            </w:pPr>
            <w:r>
              <w:rPr>
                <w:sz w:val="20"/>
              </w:rPr>
            </w:r>
            <w:r>
              <w:rPr>
                <w:rFonts w:ascii="Times New Roman" w:hAnsi="Times New Roman" w:eastAsia="宋体"/>
                <w:b w:val="0"/>
                <w:sz w:val="20"/>
              </w:rPr>
              <w:t>Trajectory over Model 3 + baseline LE8</w:t>
            </w:r>
          </w:p>
        </w:tc>
        <w:tc>
          <w:tcPr>
            <w:tcW w:type="dxa" w:w="2160"/>
          </w:tcPr>
          <w:p>
            <w:pPr>
              <w:spacing w:line="324" w:lineRule="auto" w:after="40"/>
            </w:pPr>
            <w:r>
              <w:rPr>
                <w:sz w:val="20"/>
              </w:rPr>
            </w:r>
            <w:r>
              <w:rPr>
                <w:rFonts w:ascii="Times New Roman" w:hAnsi="Times New Roman" w:eastAsia="宋体"/>
                <w:b w:val="0"/>
                <w:sz w:val="20"/>
              </w:rPr>
              <w:t>—</w:t>
            </w:r>
          </w:p>
        </w:tc>
        <w:tc>
          <w:tcPr>
            <w:tcW w:type="dxa" w:w="2160"/>
          </w:tcPr>
          <w:p>
            <w:pPr>
              <w:spacing w:line="324" w:lineRule="auto" w:after="40"/>
            </w:pPr>
            <w:r>
              <w:rPr>
                <w:sz w:val="20"/>
              </w:rPr>
            </w:r>
            <w:r>
              <w:rPr>
                <w:rFonts w:ascii="Times New Roman" w:hAnsi="Times New Roman" w:eastAsia="宋体"/>
                <w:b w:val="0"/>
                <w:sz w:val="20"/>
              </w:rPr>
              <w:t>χ² = 7.2, df = 2</w:t>
            </w:r>
          </w:p>
        </w:tc>
        <w:tc>
          <w:tcPr>
            <w:tcW w:type="dxa" w:w="2160"/>
          </w:tcPr>
          <w:p>
            <w:pPr>
              <w:spacing w:line="324" w:lineRule="auto" w:after="40"/>
            </w:pPr>
            <w:r>
              <w:rPr>
                <w:sz w:val="20"/>
              </w:rPr>
            </w:r>
            <w:r>
              <w:rPr>
                <w:rFonts w:ascii="Times New Roman" w:hAnsi="Times New Roman" w:eastAsia="宋体"/>
                <w:b w:val="0"/>
                <w:sz w:val="20"/>
              </w:rPr>
              <w:t>0.028</w:t>
            </w:r>
          </w:p>
        </w:tc>
      </w:tr>
      <w:tr>
        <w:tc>
          <w:tcPr>
            <w:tcW w:type="dxa" w:w="2160"/>
          </w:tcPr>
          <w:p>
            <w:pPr>
              <w:spacing w:line="324" w:lineRule="auto" w:after="40"/>
            </w:pPr>
            <w:r>
              <w:rPr>
                <w:sz w:val="20"/>
              </w:rPr>
            </w:r>
            <w:r>
              <w:rPr>
                <w:rFonts w:ascii="Times New Roman" w:hAnsi="Times New Roman" w:eastAsia="宋体"/>
                <w:b w:val="0"/>
                <w:sz w:val="20"/>
              </w:rPr>
              <w:t>Baseline LE8 over Model 3 + trajectory</w:t>
            </w:r>
          </w:p>
        </w:tc>
        <w:tc>
          <w:tcPr>
            <w:tcW w:type="dxa" w:w="2160"/>
          </w:tcPr>
          <w:p>
            <w:pPr>
              <w:spacing w:line="324" w:lineRule="auto" w:after="40"/>
            </w:pPr>
            <w:r>
              <w:rPr>
                <w:sz w:val="20"/>
              </w:rPr>
            </w:r>
            <w:r>
              <w:rPr>
                <w:rFonts w:ascii="Times New Roman" w:hAnsi="Times New Roman" w:eastAsia="宋体"/>
                <w:b w:val="0"/>
                <w:sz w:val="20"/>
              </w:rPr>
              <w:t>—</w:t>
            </w:r>
          </w:p>
        </w:tc>
        <w:tc>
          <w:tcPr>
            <w:tcW w:type="dxa" w:w="2160"/>
          </w:tcPr>
          <w:p>
            <w:pPr>
              <w:spacing w:line="324" w:lineRule="auto" w:after="40"/>
            </w:pPr>
            <w:r>
              <w:rPr>
                <w:sz w:val="20"/>
              </w:rPr>
            </w:r>
            <w:r>
              <w:rPr>
                <w:rFonts w:ascii="Times New Roman" w:hAnsi="Times New Roman" w:eastAsia="宋体"/>
                <w:b w:val="0"/>
                <w:sz w:val="20"/>
              </w:rPr>
              <w:t>χ² = 11.1, df = 1</w:t>
            </w:r>
          </w:p>
        </w:tc>
        <w:tc>
          <w:tcPr>
            <w:tcW w:type="dxa" w:w="2160"/>
          </w:tcPr>
          <w:p>
            <w:pPr>
              <w:spacing w:line="324" w:lineRule="auto" w:after="40"/>
            </w:pPr>
            <w:r>
              <w:rPr>
                <w:sz w:val="20"/>
              </w:rPr>
            </w:r>
            <w:r>
              <w:rPr>
                <w:rFonts w:ascii="Times New Roman" w:hAnsi="Times New Roman" w:eastAsia="宋体"/>
                <w:b w:val="0"/>
                <w:sz w:val="20"/>
              </w:rPr>
              <w:t>0.004</w:t>
            </w:r>
          </w:p>
        </w:tc>
      </w:tr>
    </w:tbl>
    <w:p/>
    <w:p>
      <w:pPr>
        <w:spacing w:line="360" w:lineRule="auto"/>
      </w:pPr>
      <w:r>
        <w:rPr>
          <w:rFonts w:ascii="Times New Roman" w:hAnsi="Times New Roman" w:eastAsia="宋体"/>
          <w:b w:val="0"/>
          <w:sz w:val="21"/>
        </w:rPr>
        <w:t>Joint-model estimates from the Cox framework (Model 3 + baseline LE8 + trajectory): persistent moderate HR 1.40 (95% CI 0.99–1.98), P = 0.059; persistent low HR 2.14 (95% CI 1.23–3.71), P = 0.007; baseline LE8 HR 0.793 per 10 points (95% CI 0.679–0.927), P = 0.004. The primary logistic joint model gave OR 1.41 (95% CI 0.98–2.02), P = 0.065; OR 2.23 (95% CI 1.23–4.00), P = 0.008; and OR 0.781 per 10 points (95% CI 0.661–0.922), P = 0.003 (Table 2 of the main text). Incremental C-index within the joint model: 0.005 for trajectories over baseline LE8; 0.009 for baseline LE8 over trajectories. Bootstrap-corrected C-indices (200 resamples): 0.603, 0.662, 0.657, and 0.665 for the four models (apparent 0.625/0.679/0.675/0.684), preserving the small joint-model increment (0.003). NRI and IDI for trajectories over baseline LE8 were essentially null (bootstrap 95% CI −0.008 to 0.008), indicating no meaningful improvement in risk re-classification. The C-index is insensitive to modest risk re-stratification, which explains the apparent discrepancy with the significant likelihood-ratio tests.</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10. LE8 component availability per wave, and classification quality and estimates stratified by component-availability pattern.</w:t>
      </w:r>
    </w:p>
    <w:p>
      <w:pPr>
        <w:spacing w:line="360" w:lineRule="auto"/>
      </w:pPr>
      <w:r>
        <w:rPr>
          <w:rFonts w:ascii="Times New Roman" w:hAnsi="Times New Roman" w:eastAsia="宋体"/>
          <w:b w:val="0"/>
          <w:sz w:val="21"/>
        </w:rPr>
        <w:t>*Panel A: number of available components per wave (primary cohort, n=4,646).*</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2160"/>
        <w:gridCol w:w="2160"/>
        <w:gridCol w:w="2160"/>
        <w:gridCol w:w="2160"/>
      </w:tblGrid>
      <w:tr>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Available components</w:t>
            </w:r>
          </w:p>
        </w:tc>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2011 (n with score)</w:t>
            </w:r>
          </w:p>
        </w:tc>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2013 (n with score)</w:t>
            </w:r>
          </w:p>
        </w:tc>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2015 (n with score)</w:t>
            </w:r>
          </w:p>
        </w:tc>
      </w:tr>
      <w:tr>
        <w:tc>
          <w:tcPr>
            <w:tcW w:type="dxa" w:w="2160"/>
          </w:tcPr>
          <w:p>
            <w:pPr>
              <w:spacing w:line="324" w:lineRule="auto" w:after="40"/>
            </w:pPr>
            <w:r>
              <w:rPr>
                <w:sz w:val="20"/>
              </w:rPr>
            </w:r>
            <w:r>
              <w:rPr>
                <w:rFonts w:ascii="Times New Roman" w:hAnsi="Times New Roman" w:eastAsia="宋体"/>
                <w:b w:val="0"/>
                <w:sz w:val="20"/>
              </w:rPr>
              <w:t>7</w:t>
            </w:r>
          </w:p>
        </w:tc>
        <w:tc>
          <w:tcPr>
            <w:tcW w:type="dxa" w:w="2160"/>
          </w:tcPr>
          <w:p>
            <w:pPr>
              <w:spacing w:line="324" w:lineRule="auto" w:after="40"/>
            </w:pPr>
            <w:r>
              <w:rPr>
                <w:sz w:val="20"/>
              </w:rPr>
            </w:r>
            <w:r>
              <w:rPr>
                <w:rFonts w:ascii="Times New Roman" w:hAnsi="Times New Roman" w:eastAsia="宋体"/>
                <w:b w:val="0"/>
                <w:sz w:val="20"/>
              </w:rPr>
              <w:t>1,424</w:t>
            </w:r>
          </w:p>
        </w:tc>
        <w:tc>
          <w:tcPr>
            <w:tcW w:type="dxa" w:w="2160"/>
          </w:tcPr>
          <w:p>
            <w:pPr>
              <w:spacing w:line="324" w:lineRule="auto" w:after="40"/>
            </w:pPr>
            <w:r>
              <w:rPr>
                <w:sz w:val="20"/>
              </w:rPr>
            </w:r>
            <w:r>
              <w:rPr>
                <w:rFonts w:ascii="Times New Roman" w:hAnsi="Times New Roman" w:eastAsia="宋体"/>
                <w:b w:val="0"/>
                <w:sz w:val="20"/>
              </w:rPr>
              <w:t>1,262</w:t>
            </w:r>
          </w:p>
        </w:tc>
        <w:tc>
          <w:tcPr>
            <w:tcW w:type="dxa" w:w="2160"/>
          </w:tcPr>
          <w:p>
            <w:pPr>
              <w:spacing w:line="324" w:lineRule="auto" w:after="40"/>
            </w:pPr>
            <w:r>
              <w:rPr>
                <w:sz w:val="20"/>
              </w:rPr>
            </w:r>
            <w:r>
              <w:rPr>
                <w:rFonts w:ascii="Times New Roman" w:hAnsi="Times New Roman" w:eastAsia="宋体"/>
                <w:b w:val="0"/>
                <w:sz w:val="20"/>
              </w:rPr>
              <w:t>1,834</w:t>
            </w:r>
          </w:p>
        </w:tc>
      </w:tr>
      <w:tr>
        <w:tc>
          <w:tcPr>
            <w:tcW w:type="dxa" w:w="2160"/>
          </w:tcPr>
          <w:p>
            <w:pPr>
              <w:spacing w:line="324" w:lineRule="auto" w:after="40"/>
            </w:pPr>
            <w:r>
              <w:rPr>
                <w:sz w:val="20"/>
              </w:rPr>
            </w:r>
            <w:r>
              <w:rPr>
                <w:rFonts w:ascii="Times New Roman" w:hAnsi="Times New Roman" w:eastAsia="宋体"/>
                <w:b w:val="0"/>
                <w:sz w:val="20"/>
              </w:rPr>
              <w:t>6</w:t>
            </w:r>
          </w:p>
        </w:tc>
        <w:tc>
          <w:tcPr>
            <w:tcW w:type="dxa" w:w="2160"/>
          </w:tcPr>
          <w:p>
            <w:pPr>
              <w:spacing w:line="324" w:lineRule="auto" w:after="40"/>
            </w:pPr>
            <w:r>
              <w:rPr>
                <w:sz w:val="20"/>
              </w:rPr>
            </w:r>
            <w:r>
              <w:rPr>
                <w:rFonts w:ascii="Times New Roman" w:hAnsi="Times New Roman" w:eastAsia="宋体"/>
                <w:b w:val="0"/>
                <w:sz w:val="20"/>
              </w:rPr>
              <w:t>2,138</w:t>
            </w:r>
          </w:p>
        </w:tc>
        <w:tc>
          <w:tcPr>
            <w:tcW w:type="dxa" w:w="2160"/>
          </w:tcPr>
          <w:p>
            <w:pPr>
              <w:spacing w:line="324" w:lineRule="auto" w:after="40"/>
            </w:pPr>
            <w:r>
              <w:rPr>
                <w:sz w:val="20"/>
              </w:rPr>
            </w:r>
            <w:r>
              <w:rPr>
                <w:rFonts w:ascii="Times New Roman" w:hAnsi="Times New Roman" w:eastAsia="宋体"/>
                <w:b w:val="0"/>
                <w:sz w:val="20"/>
              </w:rPr>
              <w:t>2,435</w:t>
            </w:r>
          </w:p>
        </w:tc>
        <w:tc>
          <w:tcPr>
            <w:tcW w:type="dxa" w:w="2160"/>
          </w:tcPr>
          <w:p>
            <w:pPr>
              <w:spacing w:line="324" w:lineRule="auto" w:after="40"/>
            </w:pPr>
            <w:r>
              <w:rPr>
                <w:sz w:val="20"/>
              </w:rPr>
            </w:r>
            <w:r>
              <w:rPr>
                <w:rFonts w:ascii="Times New Roman" w:hAnsi="Times New Roman" w:eastAsia="宋体"/>
                <w:b w:val="0"/>
                <w:sz w:val="20"/>
              </w:rPr>
              <w:t>2,094</w:t>
            </w:r>
          </w:p>
        </w:tc>
      </w:tr>
      <w:tr>
        <w:tc>
          <w:tcPr>
            <w:tcW w:type="dxa" w:w="2160"/>
          </w:tcPr>
          <w:p>
            <w:pPr>
              <w:spacing w:line="324" w:lineRule="auto" w:after="40"/>
            </w:pPr>
            <w:r>
              <w:rPr>
                <w:sz w:val="20"/>
              </w:rPr>
            </w:r>
            <w:r>
              <w:rPr>
                <w:rFonts w:ascii="Times New Roman" w:hAnsi="Times New Roman" w:eastAsia="宋体"/>
                <w:b w:val="0"/>
                <w:sz w:val="20"/>
              </w:rPr>
              <w:t>5</w:t>
            </w:r>
          </w:p>
        </w:tc>
        <w:tc>
          <w:tcPr>
            <w:tcW w:type="dxa" w:w="2160"/>
          </w:tcPr>
          <w:p>
            <w:pPr>
              <w:spacing w:line="324" w:lineRule="auto" w:after="40"/>
            </w:pPr>
            <w:r>
              <w:rPr>
                <w:sz w:val="20"/>
              </w:rPr>
            </w:r>
            <w:r>
              <w:rPr>
                <w:rFonts w:ascii="Times New Roman" w:hAnsi="Times New Roman" w:eastAsia="宋体"/>
                <w:b w:val="0"/>
                <w:sz w:val="20"/>
              </w:rPr>
              <w:t>559</w:t>
            </w:r>
          </w:p>
        </w:tc>
        <w:tc>
          <w:tcPr>
            <w:tcW w:type="dxa" w:w="2160"/>
          </w:tcPr>
          <w:p>
            <w:pPr>
              <w:spacing w:line="324" w:lineRule="auto" w:after="40"/>
            </w:pPr>
            <w:r>
              <w:rPr>
                <w:sz w:val="20"/>
              </w:rPr>
            </w:r>
            <w:r>
              <w:rPr>
                <w:rFonts w:ascii="Times New Roman" w:hAnsi="Times New Roman" w:eastAsia="宋体"/>
                <w:b w:val="0"/>
                <w:sz w:val="20"/>
              </w:rPr>
              <w:t>887</w:t>
            </w:r>
          </w:p>
        </w:tc>
        <w:tc>
          <w:tcPr>
            <w:tcW w:type="dxa" w:w="2160"/>
          </w:tcPr>
          <w:p>
            <w:pPr>
              <w:spacing w:line="324" w:lineRule="auto" w:after="40"/>
            </w:pPr>
            <w:r>
              <w:rPr>
                <w:sz w:val="20"/>
              </w:rPr>
            </w:r>
            <w:r>
              <w:rPr>
                <w:rFonts w:ascii="Times New Roman" w:hAnsi="Times New Roman" w:eastAsia="宋体"/>
                <w:b w:val="0"/>
                <w:sz w:val="20"/>
              </w:rPr>
              <w:t>415</w:t>
            </w:r>
          </w:p>
        </w:tc>
      </w:tr>
      <w:tr>
        <w:tc>
          <w:tcPr>
            <w:tcW w:type="dxa" w:w="2160"/>
          </w:tcPr>
          <w:p>
            <w:pPr>
              <w:spacing w:line="324" w:lineRule="auto" w:after="40"/>
            </w:pPr>
            <w:r>
              <w:rPr>
                <w:sz w:val="20"/>
              </w:rPr>
            </w:r>
            <w:r>
              <w:rPr>
                <w:rFonts w:ascii="Times New Roman" w:hAnsi="Times New Roman" w:eastAsia="宋体"/>
                <w:b w:val="0"/>
                <w:sz w:val="20"/>
              </w:rPr>
              <w:t>Total with valid score (≥5)</w:t>
            </w:r>
          </w:p>
        </w:tc>
        <w:tc>
          <w:tcPr>
            <w:tcW w:type="dxa" w:w="2160"/>
          </w:tcPr>
          <w:p>
            <w:pPr>
              <w:spacing w:line="324" w:lineRule="auto" w:after="40"/>
            </w:pPr>
            <w:r>
              <w:rPr>
                <w:sz w:val="20"/>
              </w:rPr>
            </w:r>
            <w:r>
              <w:rPr>
                <w:rFonts w:ascii="Times New Roman" w:hAnsi="Times New Roman" w:eastAsia="宋体"/>
                <w:b w:val="0"/>
                <w:sz w:val="20"/>
              </w:rPr>
              <w:t>4,121</w:t>
            </w:r>
          </w:p>
        </w:tc>
        <w:tc>
          <w:tcPr>
            <w:tcW w:type="dxa" w:w="2160"/>
          </w:tcPr>
          <w:p>
            <w:pPr>
              <w:spacing w:line="324" w:lineRule="auto" w:after="40"/>
            </w:pPr>
            <w:r>
              <w:rPr>
                <w:sz w:val="20"/>
              </w:rPr>
            </w:r>
            <w:r>
              <w:rPr>
                <w:rFonts w:ascii="Times New Roman" w:hAnsi="Times New Roman" w:eastAsia="宋体"/>
                <w:b w:val="0"/>
                <w:sz w:val="20"/>
              </w:rPr>
              <w:t>4,584</w:t>
            </w:r>
          </w:p>
        </w:tc>
        <w:tc>
          <w:tcPr>
            <w:tcW w:type="dxa" w:w="2160"/>
          </w:tcPr>
          <w:p>
            <w:pPr>
              <w:spacing w:line="324" w:lineRule="auto" w:after="40"/>
            </w:pPr>
            <w:r>
              <w:rPr>
                <w:sz w:val="20"/>
              </w:rPr>
            </w:r>
            <w:r>
              <w:rPr>
                <w:rFonts w:ascii="Times New Roman" w:hAnsi="Times New Roman" w:eastAsia="宋体"/>
                <w:b w:val="0"/>
                <w:sz w:val="20"/>
              </w:rPr>
              <w:t>4,343</w:t>
            </w:r>
          </w:p>
        </w:tc>
      </w:tr>
      <w:tr>
        <w:tc>
          <w:tcPr>
            <w:tcW w:type="dxa" w:w="2160"/>
          </w:tcPr>
          <w:p>
            <w:pPr>
              <w:spacing w:line="324" w:lineRule="auto" w:after="40"/>
            </w:pPr>
            <w:r>
              <w:rPr>
                <w:sz w:val="20"/>
              </w:rPr>
            </w:r>
            <w:r>
              <w:rPr>
                <w:rFonts w:ascii="Times New Roman" w:hAnsi="Times New Roman" w:eastAsia="宋体"/>
                <w:b w:val="0"/>
                <w:sz w:val="20"/>
              </w:rPr>
              <w:t>&lt;5 (no total computed)</w:t>
            </w:r>
          </w:p>
        </w:tc>
        <w:tc>
          <w:tcPr>
            <w:tcW w:type="dxa" w:w="2160"/>
          </w:tcPr>
          <w:p>
            <w:pPr>
              <w:spacing w:line="324" w:lineRule="auto" w:after="40"/>
            </w:pPr>
            <w:r>
              <w:rPr>
                <w:sz w:val="20"/>
              </w:rPr>
            </w:r>
            <w:r>
              <w:rPr>
                <w:rFonts w:ascii="Times New Roman" w:hAnsi="Times New Roman" w:eastAsia="宋体"/>
                <w:b w:val="0"/>
                <w:sz w:val="20"/>
              </w:rPr>
              <w:t>525</w:t>
            </w:r>
          </w:p>
        </w:tc>
        <w:tc>
          <w:tcPr>
            <w:tcW w:type="dxa" w:w="2160"/>
          </w:tcPr>
          <w:p>
            <w:pPr>
              <w:spacing w:line="324" w:lineRule="auto" w:after="40"/>
            </w:pPr>
            <w:r>
              <w:rPr>
                <w:sz w:val="20"/>
              </w:rPr>
            </w:r>
            <w:r>
              <w:rPr>
                <w:rFonts w:ascii="Times New Roman" w:hAnsi="Times New Roman" w:eastAsia="宋体"/>
                <w:b w:val="0"/>
                <w:sz w:val="20"/>
              </w:rPr>
              <w:t>62</w:t>
            </w:r>
          </w:p>
        </w:tc>
        <w:tc>
          <w:tcPr>
            <w:tcW w:type="dxa" w:w="2160"/>
          </w:tcPr>
          <w:p>
            <w:pPr>
              <w:spacing w:line="324" w:lineRule="auto" w:after="40"/>
            </w:pPr>
            <w:r>
              <w:rPr>
                <w:sz w:val="20"/>
              </w:rPr>
            </w:r>
            <w:r>
              <w:rPr>
                <w:rFonts w:ascii="Times New Roman" w:hAnsi="Times New Roman" w:eastAsia="宋体"/>
                <w:b w:val="0"/>
                <w:sz w:val="20"/>
              </w:rPr>
              <w:t>303</w:t>
            </w:r>
          </w:p>
        </w:tc>
      </w:tr>
    </w:tbl>
    <w:p/>
    <w:p>
      <w:pPr>
        <w:spacing w:line="360" w:lineRule="auto"/>
      </w:pPr>
      <w:r>
        <w:rPr>
          <w:rFonts w:ascii="Times New Roman" w:hAnsi="Times New Roman" w:eastAsia="宋体"/>
          <w:b w:val="0"/>
          <w:sz w:val="21"/>
        </w:rPr>
        <w:t>*Panel B: classification quality and Model 3 estimates by availability pattern (risk set, n=4,547).*</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440"/>
        <w:gridCol w:w="1440"/>
        <w:gridCol w:w="1440"/>
        <w:gridCol w:w="1440"/>
        <w:gridCol w:w="1440"/>
        <w:gridCol w:w="1440"/>
      </w:tblGrid>
      <w:tr>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Pattern</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n</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Events</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Mean max posterior probability</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Moderate HR (95% CI)</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Low HR (95% CI)</w:t>
            </w:r>
          </w:p>
        </w:tc>
      </w:tr>
      <w:tr>
        <w:tc>
          <w:tcPr>
            <w:tcW w:type="dxa" w:w="1440"/>
          </w:tcPr>
          <w:p>
            <w:pPr>
              <w:spacing w:line="324" w:lineRule="auto" w:after="40"/>
            </w:pPr>
            <w:r>
              <w:rPr>
                <w:sz w:val="20"/>
              </w:rPr>
            </w:r>
            <w:r>
              <w:rPr>
                <w:rFonts w:ascii="Times New Roman" w:hAnsi="Times New Roman" w:eastAsia="宋体"/>
                <w:b w:val="0"/>
                <w:sz w:val="20"/>
              </w:rPr>
              <w:t>7 components in all available waves</w:t>
            </w:r>
          </w:p>
        </w:tc>
        <w:tc>
          <w:tcPr>
            <w:tcW w:type="dxa" w:w="1440"/>
          </w:tcPr>
          <w:p>
            <w:pPr>
              <w:spacing w:line="324" w:lineRule="auto" w:after="40"/>
            </w:pPr>
            <w:r>
              <w:rPr>
                <w:sz w:val="20"/>
              </w:rPr>
            </w:r>
            <w:r>
              <w:rPr>
                <w:rFonts w:ascii="Times New Roman" w:hAnsi="Times New Roman" w:eastAsia="宋体"/>
                <w:b w:val="0"/>
                <w:sz w:val="20"/>
              </w:rPr>
              <w:t>387</w:t>
            </w:r>
          </w:p>
        </w:tc>
        <w:tc>
          <w:tcPr>
            <w:tcW w:type="dxa" w:w="1440"/>
          </w:tcPr>
          <w:p>
            <w:pPr>
              <w:spacing w:line="324" w:lineRule="auto" w:after="40"/>
            </w:pPr>
            <w:r>
              <w:rPr>
                <w:sz w:val="20"/>
              </w:rPr>
            </w:r>
            <w:r>
              <w:rPr>
                <w:rFonts w:ascii="Times New Roman" w:hAnsi="Times New Roman" w:eastAsia="宋体"/>
                <w:b w:val="0"/>
                <w:sz w:val="20"/>
              </w:rPr>
              <w:t>24</w:t>
            </w:r>
          </w:p>
        </w:tc>
        <w:tc>
          <w:tcPr>
            <w:tcW w:type="dxa" w:w="1440"/>
          </w:tcPr>
          <w:p>
            <w:pPr>
              <w:spacing w:line="324" w:lineRule="auto" w:after="40"/>
            </w:pPr>
            <w:r>
              <w:rPr>
                <w:sz w:val="20"/>
              </w:rPr>
            </w:r>
            <w:r>
              <w:rPr>
                <w:rFonts w:ascii="Times New Roman" w:hAnsi="Times New Roman" w:eastAsia="宋体"/>
                <w:b w:val="0"/>
                <w:sz w:val="20"/>
              </w:rPr>
              <w:t>0.871</w:t>
            </w:r>
          </w:p>
        </w:tc>
        <w:tc>
          <w:tcPr>
            <w:tcW w:type="dxa" w:w="1440"/>
          </w:tcPr>
          <w:p>
            <w:pPr>
              <w:spacing w:line="324" w:lineRule="auto" w:after="40"/>
            </w:pPr>
            <w:r>
              <w:rPr>
                <w:sz w:val="20"/>
              </w:rPr>
            </w:r>
            <w:r>
              <w:rPr>
                <w:rFonts w:ascii="Times New Roman" w:hAnsi="Times New Roman" w:eastAsia="宋体"/>
                <w:b w:val="0"/>
                <w:sz w:val="20"/>
              </w:rPr>
              <w:t>2.59 (0.95–7.05)</w:t>
            </w:r>
          </w:p>
        </w:tc>
        <w:tc>
          <w:tcPr>
            <w:tcW w:type="dxa" w:w="1440"/>
          </w:tcPr>
          <w:p>
            <w:pPr>
              <w:spacing w:line="324" w:lineRule="auto" w:after="40"/>
            </w:pPr>
            <w:r>
              <w:rPr>
                <w:sz w:val="20"/>
              </w:rPr>
            </w:r>
            <w:r>
              <w:rPr>
                <w:rFonts w:ascii="Times New Roman" w:hAnsi="Times New Roman" w:eastAsia="宋体"/>
                <w:b w:val="0"/>
                <w:sz w:val="20"/>
              </w:rPr>
              <w:t>1.94 (0.35–10.80)</w:t>
            </w:r>
          </w:p>
        </w:tc>
      </w:tr>
      <w:tr>
        <w:tc>
          <w:tcPr>
            <w:tcW w:type="dxa" w:w="1440"/>
          </w:tcPr>
          <w:p>
            <w:pPr>
              <w:spacing w:line="324" w:lineRule="auto" w:after="40"/>
            </w:pPr>
            <w:r>
              <w:rPr>
                <w:sz w:val="20"/>
              </w:rPr>
            </w:r>
            <w:r>
              <w:rPr>
                <w:rFonts w:ascii="Times New Roman" w:hAnsi="Times New Roman" w:eastAsia="宋体"/>
                <w:b w:val="0"/>
                <w:sz w:val="20"/>
              </w:rPr>
              <w:t>Ever 6 (one missing)</w:t>
            </w:r>
          </w:p>
        </w:tc>
        <w:tc>
          <w:tcPr>
            <w:tcW w:type="dxa" w:w="1440"/>
          </w:tcPr>
          <w:p>
            <w:pPr>
              <w:spacing w:line="324" w:lineRule="auto" w:after="40"/>
            </w:pPr>
            <w:r>
              <w:rPr>
                <w:sz w:val="20"/>
              </w:rPr>
            </w:r>
            <w:r>
              <w:rPr>
                <w:rFonts w:ascii="Times New Roman" w:hAnsi="Times New Roman" w:eastAsia="宋体"/>
                <w:b w:val="0"/>
                <w:sz w:val="20"/>
              </w:rPr>
              <w:t>2,028</w:t>
            </w:r>
          </w:p>
        </w:tc>
        <w:tc>
          <w:tcPr>
            <w:tcW w:type="dxa" w:w="1440"/>
          </w:tcPr>
          <w:p>
            <w:pPr>
              <w:spacing w:line="324" w:lineRule="auto" w:after="40"/>
            </w:pPr>
            <w:r>
              <w:rPr>
                <w:sz w:val="20"/>
              </w:rPr>
            </w:r>
            <w:r>
              <w:rPr>
                <w:rFonts w:ascii="Times New Roman" w:hAnsi="Times New Roman" w:eastAsia="宋体"/>
                <w:b w:val="0"/>
                <w:sz w:val="20"/>
              </w:rPr>
              <w:t>162</w:t>
            </w:r>
          </w:p>
        </w:tc>
        <w:tc>
          <w:tcPr>
            <w:tcW w:type="dxa" w:w="1440"/>
          </w:tcPr>
          <w:p>
            <w:pPr>
              <w:spacing w:line="324" w:lineRule="auto" w:after="40"/>
            </w:pPr>
            <w:r>
              <w:rPr>
                <w:sz w:val="20"/>
              </w:rPr>
            </w:r>
            <w:r>
              <w:rPr>
                <w:rFonts w:ascii="Times New Roman" w:hAnsi="Times New Roman" w:eastAsia="宋体"/>
                <w:b w:val="0"/>
                <w:sz w:val="20"/>
              </w:rPr>
              <w:t>0.872</w:t>
            </w:r>
          </w:p>
        </w:tc>
        <w:tc>
          <w:tcPr>
            <w:tcW w:type="dxa" w:w="1440"/>
          </w:tcPr>
          <w:p>
            <w:pPr>
              <w:spacing w:line="324" w:lineRule="auto" w:after="40"/>
            </w:pPr>
            <w:r>
              <w:rPr>
                <w:sz w:val="20"/>
              </w:rPr>
            </w:r>
            <w:r>
              <w:rPr>
                <w:rFonts w:ascii="Times New Roman" w:hAnsi="Times New Roman" w:eastAsia="宋体"/>
                <w:b w:val="0"/>
                <w:sz w:val="20"/>
              </w:rPr>
              <w:t>2.12 (1.41–3.20)</w:t>
            </w:r>
          </w:p>
        </w:tc>
        <w:tc>
          <w:tcPr>
            <w:tcW w:type="dxa" w:w="1440"/>
          </w:tcPr>
          <w:p>
            <w:pPr>
              <w:spacing w:line="324" w:lineRule="auto" w:after="40"/>
            </w:pPr>
            <w:r>
              <w:rPr>
                <w:sz w:val="20"/>
              </w:rPr>
            </w:r>
            <w:r>
              <w:rPr>
                <w:rFonts w:ascii="Times New Roman" w:hAnsi="Times New Roman" w:eastAsia="宋体"/>
                <w:b w:val="0"/>
                <w:sz w:val="20"/>
              </w:rPr>
              <w:t>4.73 (2.82–7.93)</w:t>
            </w:r>
          </w:p>
        </w:tc>
      </w:tr>
      <w:tr>
        <w:tc>
          <w:tcPr>
            <w:tcW w:type="dxa" w:w="1440"/>
          </w:tcPr>
          <w:p>
            <w:pPr>
              <w:spacing w:line="324" w:lineRule="auto" w:after="40"/>
            </w:pPr>
            <w:r>
              <w:rPr>
                <w:sz w:val="20"/>
              </w:rPr>
            </w:r>
            <w:r>
              <w:rPr>
                <w:rFonts w:ascii="Times New Roman" w:hAnsi="Times New Roman" w:eastAsia="宋体"/>
                <w:b w:val="0"/>
                <w:sz w:val="20"/>
              </w:rPr>
              <w:t>Ever 5 (two missing)</w:t>
            </w:r>
          </w:p>
        </w:tc>
        <w:tc>
          <w:tcPr>
            <w:tcW w:type="dxa" w:w="1440"/>
          </w:tcPr>
          <w:p>
            <w:pPr>
              <w:spacing w:line="324" w:lineRule="auto" w:after="40"/>
            </w:pPr>
            <w:r>
              <w:rPr>
                <w:sz w:val="20"/>
              </w:rPr>
            </w:r>
            <w:r>
              <w:rPr>
                <w:rFonts w:ascii="Times New Roman" w:hAnsi="Times New Roman" w:eastAsia="宋体"/>
                <w:b w:val="0"/>
                <w:sz w:val="20"/>
              </w:rPr>
              <w:t>1,304</w:t>
            </w:r>
          </w:p>
        </w:tc>
        <w:tc>
          <w:tcPr>
            <w:tcW w:type="dxa" w:w="1440"/>
          </w:tcPr>
          <w:p>
            <w:pPr>
              <w:spacing w:line="324" w:lineRule="auto" w:after="40"/>
            </w:pPr>
            <w:r>
              <w:rPr>
                <w:sz w:val="20"/>
              </w:rPr>
            </w:r>
            <w:r>
              <w:rPr>
                <w:rFonts w:ascii="Times New Roman" w:hAnsi="Times New Roman" w:eastAsia="宋体"/>
                <w:b w:val="0"/>
                <w:sz w:val="20"/>
              </w:rPr>
              <w:t>90</w:t>
            </w:r>
          </w:p>
        </w:tc>
        <w:tc>
          <w:tcPr>
            <w:tcW w:type="dxa" w:w="1440"/>
          </w:tcPr>
          <w:p>
            <w:pPr>
              <w:spacing w:line="324" w:lineRule="auto" w:after="40"/>
            </w:pPr>
            <w:r>
              <w:rPr>
                <w:sz w:val="20"/>
              </w:rPr>
            </w:r>
            <w:r>
              <w:rPr>
                <w:rFonts w:ascii="Times New Roman" w:hAnsi="Times New Roman" w:eastAsia="宋体"/>
                <w:b w:val="0"/>
                <w:sz w:val="20"/>
              </w:rPr>
              <w:t>0.863</w:t>
            </w:r>
          </w:p>
        </w:tc>
        <w:tc>
          <w:tcPr>
            <w:tcW w:type="dxa" w:w="1440"/>
          </w:tcPr>
          <w:p>
            <w:pPr>
              <w:spacing w:line="324" w:lineRule="auto" w:after="40"/>
            </w:pPr>
            <w:r>
              <w:rPr>
                <w:sz w:val="20"/>
              </w:rPr>
            </w:r>
            <w:r>
              <w:rPr>
                <w:rFonts w:ascii="Times New Roman" w:hAnsi="Times New Roman" w:eastAsia="宋体"/>
                <w:b w:val="0"/>
                <w:sz w:val="20"/>
              </w:rPr>
              <w:t>1.27 (0.75–2.15)</w:t>
            </w:r>
          </w:p>
        </w:tc>
        <w:tc>
          <w:tcPr>
            <w:tcW w:type="dxa" w:w="1440"/>
          </w:tcPr>
          <w:p>
            <w:pPr>
              <w:spacing w:line="324" w:lineRule="auto" w:after="40"/>
            </w:pPr>
            <w:r>
              <w:rPr>
                <w:sz w:val="20"/>
              </w:rPr>
            </w:r>
            <w:r>
              <w:rPr>
                <w:rFonts w:ascii="Times New Roman" w:hAnsi="Times New Roman" w:eastAsia="宋体"/>
                <w:b w:val="0"/>
                <w:sz w:val="20"/>
              </w:rPr>
              <w:t>2.93 (1.56–5.48)</w:t>
            </w:r>
          </w:p>
        </w:tc>
      </w:tr>
      <w:tr>
        <w:tc>
          <w:tcPr>
            <w:tcW w:type="dxa" w:w="1440"/>
          </w:tcPr>
          <w:p>
            <w:pPr>
              <w:spacing w:line="324" w:lineRule="auto" w:after="40"/>
            </w:pPr>
            <w:r>
              <w:rPr>
                <w:sz w:val="20"/>
              </w:rPr>
            </w:r>
            <w:r>
              <w:rPr>
                <w:rFonts w:ascii="Times New Roman" w:hAnsi="Times New Roman" w:eastAsia="宋体"/>
                <w:b w:val="0"/>
                <w:sz w:val="20"/>
              </w:rPr>
              <w:t>Ever &lt;5 (≥1 wave without total score)</w:t>
            </w:r>
          </w:p>
        </w:tc>
        <w:tc>
          <w:tcPr>
            <w:tcW w:type="dxa" w:w="1440"/>
          </w:tcPr>
          <w:p>
            <w:pPr>
              <w:spacing w:line="324" w:lineRule="auto" w:after="40"/>
            </w:pPr>
            <w:r>
              <w:rPr>
                <w:sz w:val="20"/>
              </w:rPr>
            </w:r>
            <w:r>
              <w:rPr>
                <w:rFonts w:ascii="Times New Roman" w:hAnsi="Times New Roman" w:eastAsia="宋体"/>
                <w:b w:val="0"/>
                <w:sz w:val="20"/>
              </w:rPr>
              <w:t>828</w:t>
            </w:r>
          </w:p>
        </w:tc>
        <w:tc>
          <w:tcPr>
            <w:tcW w:type="dxa" w:w="1440"/>
          </w:tcPr>
          <w:p>
            <w:pPr>
              <w:spacing w:line="324" w:lineRule="auto" w:after="40"/>
            </w:pPr>
            <w:r>
              <w:rPr>
                <w:sz w:val="20"/>
              </w:rPr>
            </w:r>
            <w:r>
              <w:rPr>
                <w:rFonts w:ascii="Times New Roman" w:hAnsi="Times New Roman" w:eastAsia="宋体"/>
                <w:b w:val="0"/>
                <w:sz w:val="20"/>
              </w:rPr>
              <w:t>54</w:t>
            </w:r>
          </w:p>
        </w:tc>
        <w:tc>
          <w:tcPr>
            <w:tcW w:type="dxa" w:w="1440"/>
          </w:tcPr>
          <w:p>
            <w:pPr>
              <w:spacing w:line="324" w:lineRule="auto" w:after="40"/>
            </w:pPr>
            <w:r>
              <w:rPr>
                <w:sz w:val="20"/>
              </w:rPr>
            </w:r>
            <w:r>
              <w:rPr>
                <w:rFonts w:ascii="Times New Roman" w:hAnsi="Times New Roman" w:eastAsia="宋体"/>
                <w:b w:val="0"/>
                <w:sz w:val="20"/>
              </w:rPr>
              <w:t>0.804</w:t>
            </w:r>
          </w:p>
        </w:tc>
        <w:tc>
          <w:tcPr>
            <w:tcW w:type="dxa" w:w="1440"/>
          </w:tcPr>
          <w:p>
            <w:pPr>
              <w:spacing w:line="324" w:lineRule="auto" w:after="40"/>
            </w:pPr>
            <w:r>
              <w:rPr>
                <w:sz w:val="20"/>
              </w:rPr>
            </w:r>
            <w:r>
              <w:rPr>
                <w:rFonts w:ascii="Times New Roman" w:hAnsi="Times New Roman" w:eastAsia="宋体"/>
                <w:b w:val="0"/>
                <w:sz w:val="20"/>
              </w:rPr>
              <w:t>—</w:t>
            </w:r>
          </w:p>
        </w:tc>
        <w:tc>
          <w:tcPr>
            <w:tcW w:type="dxa" w:w="1440"/>
          </w:tcPr>
          <w:p>
            <w:pPr>
              <w:spacing w:line="324" w:lineRule="auto" w:after="40"/>
            </w:pPr>
            <w:r>
              <w:rPr>
                <w:sz w:val="20"/>
              </w:rPr>
            </w:r>
            <w:r>
              <w:rPr>
                <w:rFonts w:ascii="Times New Roman" w:hAnsi="Times New Roman" w:eastAsia="宋体"/>
                <w:b w:val="0"/>
                <w:sz w:val="20"/>
              </w:rPr>
              <w:t>—</w:t>
            </w:r>
          </w:p>
        </w:tc>
      </w:tr>
    </w:tbl>
    <w:p/>
    <w:p>
      <w:pPr>
        <w:spacing w:line="360" w:lineRule="auto"/>
      </w:pPr>
      <w:r>
        <w:rPr>
          <w:rFonts w:ascii="Times New Roman" w:hAnsi="Times New Roman" w:eastAsia="宋体"/>
          <w:b w:val="0"/>
          <w:sz w:val="21"/>
        </w:rPr>
        <w:t>Note: Panel A: because the total is the mean of available components (≥5/7 required), participants with &lt;5 available components in a wave contribute no score for that wave (handled under MAR by the LCGM). Physical activity, assessed in a random half of households, accounts for most single-component missingness. Panel B: patterns defined by the minimum number of available components across a participant's scored waves; HRs estimated on Model 3 complete cases within each stratum (n=328/1,737/1,096). Classification quality (mean maximum posterior probability) was similar across strata (0.86–0.87), and estimates were directionally consistent, indicating that the component-missingness pattern does not drive the trajectory classification or the main results. The "ever &lt;5" stratum is not estimable for trajectory-outcome models because those participants contribute fewer scored waves.</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11. Trajectory associations and C-index increments within baseline-LE8 tertiles.</w:t>
      </w:r>
    </w:p>
    <w:p>
      <w:pPr>
        <w:spacing w:line="360" w:lineRule="auto"/>
      </w:pPr>
      <w:r>
        <w:rPr>
          <w:rFonts w:ascii="Times New Roman" w:hAnsi="Times New Roman" w:eastAsia="宋体"/>
          <w:b w:val="0"/>
          <w:sz w:val="21"/>
        </w:rPr>
        <w:t>*Panel A: trajectory-group distribution by baseline-LE8 tertile (risk set, n=4,547; tertile cut-points 76.7 and 87.1 points).*</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728"/>
        <w:gridCol w:w="1728"/>
        <w:gridCol w:w="1728"/>
        <w:gridCol w:w="1728"/>
        <w:gridCol w:w="1728"/>
      </w:tblGrid>
      <w:tr>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Tertile</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Persistent high</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Persistent moderate</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Persistent low</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Total</w:t>
            </w:r>
          </w:p>
        </w:tc>
      </w:tr>
      <w:tr>
        <w:tc>
          <w:tcPr>
            <w:tcW w:type="dxa" w:w="1728"/>
          </w:tcPr>
          <w:p>
            <w:pPr>
              <w:spacing w:line="324" w:lineRule="auto" w:after="40"/>
            </w:pPr>
            <w:r>
              <w:rPr>
                <w:sz w:val="20"/>
              </w:rPr>
            </w:r>
            <w:r>
              <w:rPr>
                <w:rFonts w:ascii="Times New Roman" w:hAnsi="Times New Roman" w:eastAsia="宋体"/>
                <w:b w:val="0"/>
                <w:sz w:val="20"/>
              </w:rPr>
              <w:t>T1 (lowest)</w:t>
            </w:r>
          </w:p>
        </w:tc>
        <w:tc>
          <w:tcPr>
            <w:tcW w:type="dxa" w:w="1728"/>
          </w:tcPr>
          <w:p>
            <w:pPr>
              <w:spacing w:line="324" w:lineRule="auto" w:after="40"/>
            </w:pPr>
            <w:r>
              <w:rPr>
                <w:sz w:val="20"/>
              </w:rPr>
            </w:r>
            <w:r>
              <w:rPr>
                <w:rFonts w:ascii="Times New Roman" w:hAnsi="Times New Roman" w:eastAsia="宋体"/>
                <w:b w:val="0"/>
                <w:sz w:val="20"/>
              </w:rPr>
              <w:t>86</w:t>
            </w:r>
          </w:p>
        </w:tc>
        <w:tc>
          <w:tcPr>
            <w:tcW w:type="dxa" w:w="1728"/>
          </w:tcPr>
          <w:p>
            <w:pPr>
              <w:spacing w:line="324" w:lineRule="auto" w:after="40"/>
            </w:pPr>
            <w:r>
              <w:rPr>
                <w:sz w:val="20"/>
              </w:rPr>
            </w:r>
            <w:r>
              <w:rPr>
                <w:rFonts w:ascii="Times New Roman" w:hAnsi="Times New Roman" w:eastAsia="宋体"/>
                <w:b w:val="0"/>
                <w:sz w:val="20"/>
              </w:rPr>
              <w:t>861</w:t>
            </w:r>
          </w:p>
        </w:tc>
        <w:tc>
          <w:tcPr>
            <w:tcW w:type="dxa" w:w="1728"/>
          </w:tcPr>
          <w:p>
            <w:pPr>
              <w:spacing w:line="324" w:lineRule="auto" w:after="40"/>
            </w:pPr>
            <w:r>
              <w:rPr>
                <w:sz w:val="20"/>
              </w:rPr>
            </w:r>
            <w:r>
              <w:rPr>
                <w:rFonts w:ascii="Times New Roman" w:hAnsi="Times New Roman" w:eastAsia="宋体"/>
                <w:b w:val="0"/>
                <w:sz w:val="20"/>
              </w:rPr>
              <w:t>408</w:t>
            </w:r>
          </w:p>
        </w:tc>
        <w:tc>
          <w:tcPr>
            <w:tcW w:type="dxa" w:w="1728"/>
          </w:tcPr>
          <w:p>
            <w:pPr>
              <w:spacing w:line="324" w:lineRule="auto" w:after="40"/>
            </w:pPr>
            <w:r>
              <w:rPr>
                <w:sz w:val="20"/>
              </w:rPr>
            </w:r>
            <w:r>
              <w:rPr>
                <w:rFonts w:ascii="Times New Roman" w:hAnsi="Times New Roman" w:eastAsia="宋体"/>
                <w:b w:val="0"/>
                <w:sz w:val="20"/>
              </w:rPr>
              <w:t>1,355</w:t>
            </w:r>
          </w:p>
        </w:tc>
      </w:tr>
      <w:tr>
        <w:tc>
          <w:tcPr>
            <w:tcW w:type="dxa" w:w="1728"/>
          </w:tcPr>
          <w:p>
            <w:pPr>
              <w:spacing w:line="324" w:lineRule="auto" w:after="40"/>
            </w:pPr>
            <w:r>
              <w:rPr>
                <w:sz w:val="20"/>
              </w:rPr>
            </w:r>
            <w:r>
              <w:rPr>
                <w:rFonts w:ascii="Times New Roman" w:hAnsi="Times New Roman" w:eastAsia="宋体"/>
                <w:b w:val="0"/>
                <w:sz w:val="20"/>
              </w:rPr>
              <w:t>T2 (middle)</w:t>
            </w:r>
          </w:p>
        </w:tc>
        <w:tc>
          <w:tcPr>
            <w:tcW w:type="dxa" w:w="1728"/>
          </w:tcPr>
          <w:p>
            <w:pPr>
              <w:spacing w:line="324" w:lineRule="auto" w:after="40"/>
            </w:pPr>
            <w:r>
              <w:rPr>
                <w:sz w:val="20"/>
              </w:rPr>
            </w:r>
            <w:r>
              <w:rPr>
                <w:rFonts w:ascii="Times New Roman" w:hAnsi="Times New Roman" w:eastAsia="宋体"/>
                <w:b w:val="0"/>
                <w:sz w:val="20"/>
              </w:rPr>
              <w:t>620</w:t>
            </w:r>
          </w:p>
        </w:tc>
        <w:tc>
          <w:tcPr>
            <w:tcW w:type="dxa" w:w="1728"/>
          </w:tcPr>
          <w:p>
            <w:pPr>
              <w:spacing w:line="324" w:lineRule="auto" w:after="40"/>
            </w:pPr>
            <w:r>
              <w:rPr>
                <w:sz w:val="20"/>
              </w:rPr>
            </w:r>
            <w:r>
              <w:rPr>
                <w:rFonts w:ascii="Times New Roman" w:hAnsi="Times New Roman" w:eastAsia="宋体"/>
                <w:b w:val="0"/>
                <w:sz w:val="20"/>
              </w:rPr>
              <w:t>721</w:t>
            </w:r>
          </w:p>
        </w:tc>
        <w:tc>
          <w:tcPr>
            <w:tcW w:type="dxa" w:w="1728"/>
          </w:tcPr>
          <w:p>
            <w:pPr>
              <w:spacing w:line="324" w:lineRule="auto" w:after="40"/>
            </w:pPr>
            <w:r>
              <w:rPr>
                <w:sz w:val="20"/>
              </w:rPr>
            </w:r>
            <w:r>
              <w:rPr>
                <w:rFonts w:ascii="Times New Roman" w:hAnsi="Times New Roman" w:eastAsia="宋体"/>
                <w:b w:val="0"/>
                <w:sz w:val="20"/>
              </w:rPr>
              <w:t>12</w:t>
            </w:r>
          </w:p>
        </w:tc>
        <w:tc>
          <w:tcPr>
            <w:tcW w:type="dxa" w:w="1728"/>
          </w:tcPr>
          <w:p>
            <w:pPr>
              <w:spacing w:line="324" w:lineRule="auto" w:after="40"/>
            </w:pPr>
            <w:r>
              <w:rPr>
                <w:sz w:val="20"/>
              </w:rPr>
            </w:r>
            <w:r>
              <w:rPr>
                <w:rFonts w:ascii="Times New Roman" w:hAnsi="Times New Roman" w:eastAsia="宋体"/>
                <w:b w:val="0"/>
                <w:sz w:val="20"/>
              </w:rPr>
              <w:t>1,353</w:t>
            </w:r>
          </w:p>
        </w:tc>
      </w:tr>
      <w:tr>
        <w:tc>
          <w:tcPr>
            <w:tcW w:type="dxa" w:w="1728"/>
          </w:tcPr>
          <w:p>
            <w:pPr>
              <w:spacing w:line="324" w:lineRule="auto" w:after="40"/>
            </w:pPr>
            <w:r>
              <w:rPr>
                <w:sz w:val="20"/>
              </w:rPr>
            </w:r>
            <w:r>
              <w:rPr>
                <w:rFonts w:ascii="Times New Roman" w:hAnsi="Times New Roman" w:eastAsia="宋体"/>
                <w:b w:val="0"/>
                <w:sz w:val="20"/>
              </w:rPr>
              <w:t>T3 (highest)</w:t>
            </w:r>
          </w:p>
        </w:tc>
        <w:tc>
          <w:tcPr>
            <w:tcW w:type="dxa" w:w="1728"/>
          </w:tcPr>
          <w:p>
            <w:pPr>
              <w:spacing w:line="324" w:lineRule="auto" w:after="40"/>
            </w:pPr>
            <w:r>
              <w:rPr>
                <w:sz w:val="20"/>
              </w:rPr>
            </w:r>
            <w:r>
              <w:rPr>
                <w:rFonts w:ascii="Times New Roman" w:hAnsi="Times New Roman" w:eastAsia="宋体"/>
                <w:b w:val="0"/>
                <w:sz w:val="20"/>
              </w:rPr>
              <w:t>1,136</w:t>
            </w:r>
          </w:p>
        </w:tc>
        <w:tc>
          <w:tcPr>
            <w:tcW w:type="dxa" w:w="1728"/>
          </w:tcPr>
          <w:p>
            <w:pPr>
              <w:spacing w:line="324" w:lineRule="auto" w:after="40"/>
            </w:pPr>
            <w:r>
              <w:rPr>
                <w:sz w:val="20"/>
              </w:rPr>
            </w:r>
            <w:r>
              <w:rPr>
                <w:rFonts w:ascii="Times New Roman" w:hAnsi="Times New Roman" w:eastAsia="宋体"/>
                <w:b w:val="0"/>
                <w:sz w:val="20"/>
              </w:rPr>
              <w:t>202</w:t>
            </w:r>
          </w:p>
        </w:tc>
        <w:tc>
          <w:tcPr>
            <w:tcW w:type="dxa" w:w="1728"/>
          </w:tcPr>
          <w:p>
            <w:pPr>
              <w:spacing w:line="324" w:lineRule="auto" w:after="40"/>
            </w:pPr>
            <w:r>
              <w:rPr>
                <w:sz w:val="20"/>
              </w:rPr>
            </w:r>
            <w:r>
              <w:rPr>
                <w:rFonts w:ascii="Times New Roman" w:hAnsi="Times New Roman" w:eastAsia="宋体"/>
                <w:b w:val="0"/>
                <w:sz w:val="20"/>
              </w:rPr>
              <w:t>0</w:t>
            </w:r>
          </w:p>
        </w:tc>
        <w:tc>
          <w:tcPr>
            <w:tcW w:type="dxa" w:w="1728"/>
          </w:tcPr>
          <w:p>
            <w:pPr>
              <w:spacing w:line="324" w:lineRule="auto" w:after="40"/>
            </w:pPr>
            <w:r>
              <w:rPr>
                <w:sz w:val="20"/>
              </w:rPr>
            </w:r>
            <w:r>
              <w:rPr>
                <w:rFonts w:ascii="Times New Roman" w:hAnsi="Times New Roman" w:eastAsia="宋体"/>
                <w:b w:val="0"/>
                <w:sz w:val="20"/>
              </w:rPr>
              <w:t>1,338</w:t>
            </w:r>
          </w:p>
        </w:tc>
      </w:tr>
    </w:tbl>
    <w:p/>
    <w:p>
      <w:pPr>
        <w:spacing w:line="360" w:lineRule="auto"/>
      </w:pPr>
      <w:r>
        <w:rPr>
          <w:rFonts w:ascii="Times New Roman" w:hAnsi="Times New Roman" w:eastAsia="宋体"/>
          <w:b w:val="0"/>
          <w:sz w:val="21"/>
        </w:rPr>
        <w:t>*Panel B: trajectory-group associations within tertiles (Model 3 complete cases; reference: persistent high).*</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440"/>
        <w:gridCol w:w="1440"/>
        <w:gridCol w:w="1440"/>
        <w:gridCol w:w="1440"/>
        <w:gridCol w:w="1440"/>
        <w:gridCol w:w="1440"/>
      </w:tblGrid>
      <w:tr>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Tertile</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n</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Events</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Moderate HR (95% CI)</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Low HR (95% CI)</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P trend</w:t>
            </w:r>
          </w:p>
        </w:tc>
      </w:tr>
      <w:tr>
        <w:tc>
          <w:tcPr>
            <w:tcW w:type="dxa" w:w="1440"/>
          </w:tcPr>
          <w:p>
            <w:pPr>
              <w:spacing w:line="324" w:lineRule="auto" w:after="40"/>
            </w:pPr>
            <w:r>
              <w:rPr>
                <w:sz w:val="20"/>
              </w:rPr>
            </w:r>
            <w:r>
              <w:rPr>
                <w:rFonts w:ascii="Times New Roman" w:hAnsi="Times New Roman" w:eastAsia="宋体"/>
                <w:b w:val="0"/>
                <w:sz w:val="20"/>
              </w:rPr>
              <w:t>T1 (lowest)</w:t>
            </w:r>
          </w:p>
        </w:tc>
        <w:tc>
          <w:tcPr>
            <w:tcW w:type="dxa" w:w="1440"/>
          </w:tcPr>
          <w:p>
            <w:pPr>
              <w:spacing w:line="324" w:lineRule="auto" w:after="40"/>
            </w:pPr>
            <w:r>
              <w:rPr>
                <w:sz w:val="20"/>
              </w:rPr>
            </w:r>
            <w:r>
              <w:rPr>
                <w:rFonts w:ascii="Times New Roman" w:hAnsi="Times New Roman" w:eastAsia="宋体"/>
                <w:b w:val="0"/>
                <w:sz w:val="20"/>
              </w:rPr>
              <w:t>1,148</w:t>
            </w:r>
          </w:p>
        </w:tc>
        <w:tc>
          <w:tcPr>
            <w:tcW w:type="dxa" w:w="1440"/>
          </w:tcPr>
          <w:p>
            <w:pPr>
              <w:spacing w:line="324" w:lineRule="auto" w:after="40"/>
            </w:pPr>
            <w:r>
              <w:rPr>
                <w:sz w:val="20"/>
              </w:rPr>
            </w:r>
            <w:r>
              <w:rPr>
                <w:rFonts w:ascii="Times New Roman" w:hAnsi="Times New Roman" w:eastAsia="宋体"/>
                <w:b w:val="0"/>
                <w:sz w:val="20"/>
              </w:rPr>
              <w:t>122</w:t>
            </w:r>
          </w:p>
        </w:tc>
        <w:tc>
          <w:tcPr>
            <w:tcW w:type="dxa" w:w="1440"/>
          </w:tcPr>
          <w:p>
            <w:pPr>
              <w:spacing w:line="324" w:lineRule="auto" w:after="40"/>
            </w:pPr>
            <w:r>
              <w:rPr>
                <w:sz w:val="20"/>
              </w:rPr>
            </w:r>
            <w:r>
              <w:rPr>
                <w:rFonts w:ascii="Times New Roman" w:hAnsi="Times New Roman" w:eastAsia="宋体"/>
                <w:b w:val="0"/>
                <w:sz w:val="20"/>
              </w:rPr>
              <w:t>2.57 (0.80–8.19)</w:t>
            </w:r>
          </w:p>
        </w:tc>
        <w:tc>
          <w:tcPr>
            <w:tcW w:type="dxa" w:w="1440"/>
          </w:tcPr>
          <w:p>
            <w:pPr>
              <w:spacing w:line="324" w:lineRule="auto" w:after="40"/>
            </w:pPr>
            <w:r>
              <w:rPr>
                <w:sz w:val="20"/>
              </w:rPr>
            </w:r>
            <w:r>
              <w:rPr>
                <w:rFonts w:ascii="Times New Roman" w:hAnsi="Times New Roman" w:eastAsia="宋体"/>
                <w:b w:val="0"/>
                <w:sz w:val="20"/>
              </w:rPr>
              <w:t>4.96 (1.54–16.03)</w:t>
            </w:r>
          </w:p>
        </w:tc>
        <w:tc>
          <w:tcPr>
            <w:tcW w:type="dxa" w:w="1440"/>
          </w:tcPr>
          <w:p>
            <w:pPr>
              <w:spacing w:line="324" w:lineRule="auto" w:after="40"/>
            </w:pPr>
            <w:r>
              <w:rPr>
                <w:sz w:val="20"/>
              </w:rPr>
            </w:r>
            <w:r>
              <w:rPr>
                <w:rFonts w:ascii="Times New Roman" w:hAnsi="Times New Roman" w:eastAsia="宋体"/>
                <w:b w:val="0"/>
                <w:sz w:val="20"/>
              </w:rPr>
              <w:t>&lt;0.001</w:t>
            </w:r>
          </w:p>
        </w:tc>
      </w:tr>
      <w:tr>
        <w:tc>
          <w:tcPr>
            <w:tcW w:type="dxa" w:w="1440"/>
          </w:tcPr>
          <w:p>
            <w:pPr>
              <w:spacing w:line="324" w:lineRule="auto" w:after="40"/>
            </w:pPr>
            <w:r>
              <w:rPr>
                <w:sz w:val="20"/>
              </w:rPr>
            </w:r>
            <w:r>
              <w:rPr>
                <w:rFonts w:ascii="Times New Roman" w:hAnsi="Times New Roman" w:eastAsia="宋体"/>
                <w:b w:val="0"/>
                <w:sz w:val="20"/>
              </w:rPr>
              <w:t>T2 (middle)</w:t>
            </w:r>
          </w:p>
        </w:tc>
        <w:tc>
          <w:tcPr>
            <w:tcW w:type="dxa" w:w="1440"/>
          </w:tcPr>
          <w:p>
            <w:pPr>
              <w:spacing w:line="324" w:lineRule="auto" w:after="40"/>
            </w:pPr>
            <w:r>
              <w:rPr>
                <w:sz w:val="20"/>
              </w:rPr>
            </w:r>
            <w:r>
              <w:rPr>
                <w:rFonts w:ascii="Times New Roman" w:hAnsi="Times New Roman" w:eastAsia="宋体"/>
                <w:b w:val="0"/>
                <w:sz w:val="20"/>
              </w:rPr>
              <w:t>1,136</w:t>
            </w:r>
          </w:p>
        </w:tc>
        <w:tc>
          <w:tcPr>
            <w:tcW w:type="dxa" w:w="1440"/>
          </w:tcPr>
          <w:p>
            <w:pPr>
              <w:spacing w:line="324" w:lineRule="auto" w:after="40"/>
            </w:pPr>
            <w:r>
              <w:rPr>
                <w:sz w:val="20"/>
              </w:rPr>
            </w:r>
            <w:r>
              <w:rPr>
                <w:rFonts w:ascii="Times New Roman" w:hAnsi="Times New Roman" w:eastAsia="宋体"/>
                <w:b w:val="0"/>
                <w:sz w:val="20"/>
              </w:rPr>
              <w:t>80</w:t>
            </w:r>
          </w:p>
        </w:tc>
        <w:tc>
          <w:tcPr>
            <w:tcW w:type="dxa" w:w="1440"/>
          </w:tcPr>
          <w:p>
            <w:pPr>
              <w:spacing w:line="324" w:lineRule="auto" w:after="40"/>
            </w:pPr>
            <w:r>
              <w:rPr>
                <w:sz w:val="20"/>
              </w:rPr>
            </w:r>
            <w:r>
              <w:rPr>
                <w:rFonts w:ascii="Times New Roman" w:hAnsi="Times New Roman" w:eastAsia="宋体"/>
                <w:b w:val="0"/>
                <w:sz w:val="20"/>
              </w:rPr>
              <w:t>1.75 (1.08–2.82)</w:t>
            </w:r>
          </w:p>
        </w:tc>
        <w:tc>
          <w:tcPr>
            <w:tcW w:type="dxa" w:w="1440"/>
          </w:tcPr>
          <w:p>
            <w:pPr>
              <w:spacing w:line="324" w:lineRule="auto" w:after="40"/>
            </w:pPr>
            <w:r>
              <w:rPr>
                <w:sz w:val="20"/>
              </w:rPr>
            </w:r>
            <w:r>
              <w:rPr>
                <w:rFonts w:ascii="Times New Roman" w:hAnsi="Times New Roman" w:eastAsia="宋体"/>
                <w:b w:val="0"/>
                <w:sz w:val="20"/>
              </w:rPr>
              <w:t>4.92 (1.16–20.93)</w:t>
            </w:r>
          </w:p>
        </w:tc>
        <w:tc>
          <w:tcPr>
            <w:tcW w:type="dxa" w:w="1440"/>
          </w:tcPr>
          <w:p>
            <w:pPr>
              <w:spacing w:line="324" w:lineRule="auto" w:after="40"/>
            </w:pPr>
            <w:r>
              <w:rPr>
                <w:sz w:val="20"/>
              </w:rPr>
            </w:r>
            <w:r>
              <w:rPr>
                <w:rFonts w:ascii="Times New Roman" w:hAnsi="Times New Roman" w:eastAsia="宋体"/>
                <w:b w:val="0"/>
                <w:sz w:val="20"/>
              </w:rPr>
              <w:t>0.008</w:t>
            </w:r>
          </w:p>
        </w:tc>
      </w:tr>
      <w:tr>
        <w:tc>
          <w:tcPr>
            <w:tcW w:type="dxa" w:w="1440"/>
          </w:tcPr>
          <w:p>
            <w:pPr>
              <w:spacing w:line="324" w:lineRule="auto" w:after="40"/>
            </w:pPr>
            <w:r>
              <w:rPr>
                <w:sz w:val="20"/>
              </w:rPr>
            </w:r>
            <w:r>
              <w:rPr>
                <w:rFonts w:ascii="Times New Roman" w:hAnsi="Times New Roman" w:eastAsia="宋体"/>
                <w:b w:val="0"/>
                <w:sz w:val="20"/>
              </w:rPr>
              <w:t>T3 (highest)</w:t>
            </w:r>
          </w:p>
        </w:tc>
        <w:tc>
          <w:tcPr>
            <w:tcW w:type="dxa" w:w="1440"/>
          </w:tcPr>
          <w:p>
            <w:pPr>
              <w:spacing w:line="324" w:lineRule="auto" w:after="40"/>
            </w:pPr>
            <w:r>
              <w:rPr>
                <w:sz w:val="20"/>
              </w:rPr>
            </w:r>
            <w:r>
              <w:rPr>
                <w:rFonts w:ascii="Times New Roman" w:hAnsi="Times New Roman" w:eastAsia="宋体"/>
                <w:b w:val="0"/>
                <w:sz w:val="20"/>
              </w:rPr>
              <w:t>1,150</w:t>
            </w:r>
          </w:p>
        </w:tc>
        <w:tc>
          <w:tcPr>
            <w:tcW w:type="dxa" w:w="1440"/>
          </w:tcPr>
          <w:p>
            <w:pPr>
              <w:spacing w:line="324" w:lineRule="auto" w:after="40"/>
            </w:pPr>
            <w:r>
              <w:rPr>
                <w:sz w:val="20"/>
              </w:rPr>
            </w:r>
            <w:r>
              <w:rPr>
                <w:rFonts w:ascii="Times New Roman" w:hAnsi="Times New Roman" w:eastAsia="宋体"/>
                <w:b w:val="0"/>
                <w:sz w:val="20"/>
              </w:rPr>
              <w:t>49</w:t>
            </w:r>
          </w:p>
        </w:tc>
        <w:tc>
          <w:tcPr>
            <w:tcW w:type="dxa" w:w="1440"/>
          </w:tcPr>
          <w:p>
            <w:pPr>
              <w:spacing w:line="324" w:lineRule="auto" w:after="40"/>
            </w:pPr>
            <w:r>
              <w:rPr>
                <w:sz w:val="20"/>
              </w:rPr>
            </w:r>
            <w:r>
              <w:rPr>
                <w:rFonts w:ascii="Times New Roman" w:hAnsi="Times New Roman" w:eastAsia="宋体"/>
                <w:b w:val="0"/>
                <w:sz w:val="20"/>
              </w:rPr>
              <w:t>0.64 (0.27–1.52)</w:t>
            </w:r>
          </w:p>
        </w:tc>
        <w:tc>
          <w:tcPr>
            <w:tcW w:type="dxa" w:w="1440"/>
          </w:tcPr>
          <w:p>
            <w:pPr>
              <w:spacing w:line="324" w:lineRule="auto" w:after="40"/>
            </w:pPr>
            <w:r>
              <w:rPr>
                <w:sz w:val="20"/>
              </w:rPr>
            </w:r>
            <w:r>
              <w:rPr>
                <w:rFonts w:ascii="Times New Roman" w:hAnsi="Times New Roman" w:eastAsia="宋体"/>
                <w:b w:val="0"/>
                <w:sz w:val="20"/>
              </w:rPr>
              <w:t>not estimable (no low-group members)</w:t>
            </w:r>
          </w:p>
        </w:tc>
        <w:tc>
          <w:tcPr>
            <w:tcW w:type="dxa" w:w="1440"/>
          </w:tcPr>
          <w:p>
            <w:pPr>
              <w:spacing w:line="324" w:lineRule="auto" w:after="40"/>
            </w:pPr>
            <w:r>
              <w:rPr>
                <w:sz w:val="20"/>
              </w:rPr>
            </w:r>
            <w:r>
              <w:rPr>
                <w:rFonts w:ascii="Times New Roman" w:hAnsi="Times New Roman" w:eastAsia="宋体"/>
                <w:b w:val="0"/>
                <w:sz w:val="20"/>
              </w:rPr>
              <w:t>0.313</w:t>
            </w:r>
          </w:p>
        </w:tc>
      </w:tr>
    </w:tbl>
    <w:p/>
    <w:p>
      <w:pPr>
        <w:spacing w:line="360" w:lineRule="auto"/>
      </w:pPr>
      <w:r>
        <w:rPr>
          <w:rFonts w:ascii="Times New Roman" w:hAnsi="Times New Roman" w:eastAsia="宋体"/>
          <w:b w:val="0"/>
          <w:sz w:val="21"/>
        </w:rPr>
        <w:t>*Panel C: C-index increments for adding trajectory groups to baseline LE8 within tertiles (Model 3 covariates + baseline LE8 [per 10 points]).*</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440"/>
        <w:gridCol w:w="1440"/>
        <w:gridCol w:w="1440"/>
        <w:gridCol w:w="1440"/>
        <w:gridCol w:w="1440"/>
        <w:gridCol w:w="1440"/>
      </w:tblGrid>
      <w:tr>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Tertile</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n</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Events</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C (baseline LE8)</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C (+ trajectory)</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ΔC</w:t>
            </w:r>
          </w:p>
        </w:tc>
      </w:tr>
      <w:tr>
        <w:tc>
          <w:tcPr>
            <w:tcW w:type="dxa" w:w="1440"/>
          </w:tcPr>
          <w:p>
            <w:pPr>
              <w:spacing w:line="324" w:lineRule="auto" w:after="40"/>
            </w:pPr>
            <w:r>
              <w:rPr>
                <w:sz w:val="20"/>
              </w:rPr>
            </w:r>
            <w:r>
              <w:rPr>
                <w:rFonts w:ascii="Times New Roman" w:hAnsi="Times New Roman" w:eastAsia="宋体"/>
                <w:b w:val="0"/>
                <w:sz w:val="20"/>
              </w:rPr>
              <w:t>T1 (lowest)</w:t>
            </w:r>
          </w:p>
        </w:tc>
        <w:tc>
          <w:tcPr>
            <w:tcW w:type="dxa" w:w="1440"/>
          </w:tcPr>
          <w:p>
            <w:pPr>
              <w:spacing w:line="324" w:lineRule="auto" w:after="40"/>
            </w:pPr>
            <w:r>
              <w:rPr>
                <w:sz w:val="20"/>
              </w:rPr>
            </w:r>
            <w:r>
              <w:rPr>
                <w:rFonts w:ascii="Times New Roman" w:hAnsi="Times New Roman" w:eastAsia="宋体"/>
                <w:b w:val="0"/>
                <w:sz w:val="20"/>
              </w:rPr>
              <w:t>1,355</w:t>
            </w:r>
          </w:p>
        </w:tc>
        <w:tc>
          <w:tcPr>
            <w:tcW w:type="dxa" w:w="1440"/>
          </w:tcPr>
          <w:p>
            <w:pPr>
              <w:spacing w:line="324" w:lineRule="auto" w:after="40"/>
            </w:pPr>
            <w:r>
              <w:rPr>
                <w:sz w:val="20"/>
              </w:rPr>
            </w:r>
            <w:r>
              <w:rPr>
                <w:rFonts w:ascii="Times New Roman" w:hAnsi="Times New Roman" w:eastAsia="宋体"/>
                <w:b w:val="0"/>
                <w:sz w:val="20"/>
              </w:rPr>
              <w:t>138</w:t>
            </w:r>
          </w:p>
        </w:tc>
        <w:tc>
          <w:tcPr>
            <w:tcW w:type="dxa" w:w="1440"/>
          </w:tcPr>
          <w:p>
            <w:pPr>
              <w:spacing w:line="324" w:lineRule="auto" w:after="40"/>
            </w:pPr>
            <w:r>
              <w:rPr>
                <w:sz w:val="20"/>
              </w:rPr>
            </w:r>
            <w:r>
              <w:rPr>
                <w:rFonts w:ascii="Times New Roman" w:hAnsi="Times New Roman" w:eastAsia="宋体"/>
                <w:b w:val="0"/>
                <w:sz w:val="20"/>
              </w:rPr>
              <w:t>0.652</w:t>
            </w:r>
          </w:p>
        </w:tc>
        <w:tc>
          <w:tcPr>
            <w:tcW w:type="dxa" w:w="1440"/>
          </w:tcPr>
          <w:p>
            <w:pPr>
              <w:spacing w:line="324" w:lineRule="auto" w:after="40"/>
            </w:pPr>
            <w:r>
              <w:rPr>
                <w:sz w:val="20"/>
              </w:rPr>
            </w:r>
            <w:r>
              <w:rPr>
                <w:rFonts w:ascii="Times New Roman" w:hAnsi="Times New Roman" w:eastAsia="宋体"/>
                <w:b w:val="0"/>
                <w:sz w:val="20"/>
              </w:rPr>
              <w:t>0.667</w:t>
            </w:r>
          </w:p>
        </w:tc>
        <w:tc>
          <w:tcPr>
            <w:tcW w:type="dxa" w:w="1440"/>
          </w:tcPr>
          <w:p>
            <w:pPr>
              <w:spacing w:line="324" w:lineRule="auto" w:after="40"/>
            </w:pPr>
            <w:r>
              <w:rPr>
                <w:sz w:val="20"/>
              </w:rPr>
            </w:r>
            <w:r>
              <w:rPr>
                <w:rFonts w:ascii="Times New Roman" w:hAnsi="Times New Roman" w:eastAsia="宋体"/>
                <w:b w:val="0"/>
                <w:sz w:val="20"/>
              </w:rPr>
              <w:t>0.015</w:t>
            </w:r>
          </w:p>
        </w:tc>
      </w:tr>
      <w:tr>
        <w:tc>
          <w:tcPr>
            <w:tcW w:type="dxa" w:w="1440"/>
          </w:tcPr>
          <w:p>
            <w:pPr>
              <w:spacing w:line="324" w:lineRule="auto" w:after="40"/>
            </w:pPr>
            <w:r>
              <w:rPr>
                <w:sz w:val="20"/>
              </w:rPr>
            </w:r>
            <w:r>
              <w:rPr>
                <w:rFonts w:ascii="Times New Roman" w:hAnsi="Times New Roman" w:eastAsia="宋体"/>
                <w:b w:val="0"/>
                <w:sz w:val="20"/>
              </w:rPr>
              <w:t>T2 (middle)</w:t>
            </w:r>
          </w:p>
        </w:tc>
        <w:tc>
          <w:tcPr>
            <w:tcW w:type="dxa" w:w="1440"/>
          </w:tcPr>
          <w:p>
            <w:pPr>
              <w:spacing w:line="324" w:lineRule="auto" w:after="40"/>
            </w:pPr>
            <w:r>
              <w:rPr>
                <w:sz w:val="20"/>
              </w:rPr>
            </w:r>
            <w:r>
              <w:rPr>
                <w:rFonts w:ascii="Times New Roman" w:hAnsi="Times New Roman" w:eastAsia="宋体"/>
                <w:b w:val="0"/>
                <w:sz w:val="20"/>
              </w:rPr>
              <w:t>1,353</w:t>
            </w:r>
          </w:p>
        </w:tc>
        <w:tc>
          <w:tcPr>
            <w:tcW w:type="dxa" w:w="1440"/>
          </w:tcPr>
          <w:p>
            <w:pPr>
              <w:spacing w:line="324" w:lineRule="auto" w:after="40"/>
            </w:pPr>
            <w:r>
              <w:rPr>
                <w:sz w:val="20"/>
              </w:rPr>
            </w:r>
            <w:r>
              <w:rPr>
                <w:rFonts w:ascii="Times New Roman" w:hAnsi="Times New Roman" w:eastAsia="宋体"/>
                <w:b w:val="0"/>
                <w:sz w:val="20"/>
              </w:rPr>
              <w:t>94</w:t>
            </w:r>
          </w:p>
        </w:tc>
        <w:tc>
          <w:tcPr>
            <w:tcW w:type="dxa" w:w="1440"/>
          </w:tcPr>
          <w:p>
            <w:pPr>
              <w:spacing w:line="324" w:lineRule="auto" w:after="40"/>
            </w:pPr>
            <w:r>
              <w:rPr>
                <w:sz w:val="20"/>
              </w:rPr>
            </w:r>
            <w:r>
              <w:rPr>
                <w:rFonts w:ascii="Times New Roman" w:hAnsi="Times New Roman" w:eastAsia="宋体"/>
                <w:b w:val="0"/>
                <w:sz w:val="20"/>
              </w:rPr>
              <w:t>0.686</w:t>
            </w:r>
          </w:p>
        </w:tc>
        <w:tc>
          <w:tcPr>
            <w:tcW w:type="dxa" w:w="1440"/>
          </w:tcPr>
          <w:p>
            <w:pPr>
              <w:spacing w:line="324" w:lineRule="auto" w:after="40"/>
            </w:pPr>
            <w:r>
              <w:rPr>
                <w:sz w:val="20"/>
              </w:rPr>
            </w:r>
            <w:r>
              <w:rPr>
                <w:rFonts w:ascii="Times New Roman" w:hAnsi="Times New Roman" w:eastAsia="宋体"/>
                <w:b w:val="0"/>
                <w:sz w:val="20"/>
              </w:rPr>
              <w:t>0.698</w:t>
            </w:r>
          </w:p>
        </w:tc>
        <w:tc>
          <w:tcPr>
            <w:tcW w:type="dxa" w:w="1440"/>
          </w:tcPr>
          <w:p>
            <w:pPr>
              <w:spacing w:line="324" w:lineRule="auto" w:after="40"/>
            </w:pPr>
            <w:r>
              <w:rPr>
                <w:sz w:val="20"/>
              </w:rPr>
            </w:r>
            <w:r>
              <w:rPr>
                <w:rFonts w:ascii="Times New Roman" w:hAnsi="Times New Roman" w:eastAsia="宋体"/>
                <w:b w:val="0"/>
                <w:sz w:val="20"/>
              </w:rPr>
              <w:t>0.012</w:t>
            </w:r>
          </w:p>
        </w:tc>
      </w:tr>
      <w:tr>
        <w:tc>
          <w:tcPr>
            <w:tcW w:type="dxa" w:w="1440"/>
          </w:tcPr>
          <w:p>
            <w:pPr>
              <w:spacing w:line="324" w:lineRule="auto" w:after="40"/>
            </w:pPr>
            <w:r>
              <w:rPr>
                <w:sz w:val="20"/>
              </w:rPr>
            </w:r>
            <w:r>
              <w:rPr>
                <w:rFonts w:ascii="Times New Roman" w:hAnsi="Times New Roman" w:eastAsia="宋体"/>
                <w:b w:val="0"/>
                <w:sz w:val="20"/>
              </w:rPr>
              <w:t>T3 (highest)</w:t>
            </w:r>
          </w:p>
        </w:tc>
        <w:tc>
          <w:tcPr>
            <w:tcW w:type="dxa" w:w="1440"/>
          </w:tcPr>
          <w:p>
            <w:pPr>
              <w:spacing w:line="324" w:lineRule="auto" w:after="40"/>
            </w:pPr>
            <w:r>
              <w:rPr>
                <w:sz w:val="20"/>
              </w:rPr>
            </w:r>
            <w:r>
              <w:rPr>
                <w:rFonts w:ascii="Times New Roman" w:hAnsi="Times New Roman" w:eastAsia="宋体"/>
                <w:b w:val="0"/>
                <w:sz w:val="20"/>
              </w:rPr>
              <w:t>1,338</w:t>
            </w:r>
          </w:p>
        </w:tc>
        <w:tc>
          <w:tcPr>
            <w:tcW w:type="dxa" w:w="1440"/>
          </w:tcPr>
          <w:p>
            <w:pPr>
              <w:spacing w:line="324" w:lineRule="auto" w:after="40"/>
            </w:pPr>
            <w:r>
              <w:rPr>
                <w:sz w:val="20"/>
              </w:rPr>
            </w:r>
            <w:r>
              <w:rPr>
                <w:rFonts w:ascii="Times New Roman" w:hAnsi="Times New Roman" w:eastAsia="宋体"/>
                <w:b w:val="0"/>
                <w:sz w:val="20"/>
              </w:rPr>
              <w:t>63</w:t>
            </w:r>
          </w:p>
        </w:tc>
        <w:tc>
          <w:tcPr>
            <w:tcW w:type="dxa" w:w="1440"/>
          </w:tcPr>
          <w:p>
            <w:pPr>
              <w:spacing w:line="324" w:lineRule="auto" w:after="40"/>
            </w:pPr>
            <w:r>
              <w:rPr>
                <w:sz w:val="20"/>
              </w:rPr>
            </w:r>
            <w:r>
              <w:rPr>
                <w:rFonts w:ascii="Times New Roman" w:hAnsi="Times New Roman" w:eastAsia="宋体"/>
                <w:b w:val="0"/>
                <w:sz w:val="20"/>
              </w:rPr>
              <w:t>0.712</w:t>
            </w:r>
          </w:p>
        </w:tc>
        <w:tc>
          <w:tcPr>
            <w:tcW w:type="dxa" w:w="1440"/>
          </w:tcPr>
          <w:p>
            <w:pPr>
              <w:spacing w:line="324" w:lineRule="auto" w:after="40"/>
            </w:pPr>
            <w:r>
              <w:rPr>
                <w:sz w:val="20"/>
              </w:rPr>
            </w:r>
            <w:r>
              <w:rPr>
                <w:rFonts w:ascii="Times New Roman" w:hAnsi="Times New Roman" w:eastAsia="宋体"/>
                <w:b w:val="0"/>
                <w:sz w:val="20"/>
              </w:rPr>
              <w:t>0.724</w:t>
            </w:r>
          </w:p>
        </w:tc>
        <w:tc>
          <w:tcPr>
            <w:tcW w:type="dxa" w:w="1440"/>
          </w:tcPr>
          <w:p>
            <w:pPr>
              <w:spacing w:line="324" w:lineRule="auto" w:after="40"/>
            </w:pPr>
            <w:r>
              <w:rPr>
                <w:sz w:val="20"/>
              </w:rPr>
            </w:r>
            <w:r>
              <w:rPr>
                <w:rFonts w:ascii="Times New Roman" w:hAnsi="Times New Roman" w:eastAsia="宋体"/>
                <w:b w:val="0"/>
                <w:sz w:val="20"/>
              </w:rPr>
              <w:t>0.012</w:t>
            </w:r>
          </w:p>
        </w:tc>
      </w:tr>
    </w:tbl>
    <w:p/>
    <w:p>
      <w:pPr>
        <w:spacing w:line="360" w:lineRule="auto"/>
      </w:pPr>
      <w:r>
        <w:rPr>
          <w:rFonts w:ascii="Times New Roman" w:hAnsi="Times New Roman" w:eastAsia="宋体"/>
          <w:b w:val="0"/>
          <w:sz w:val="21"/>
        </w:rPr>
        <w:t>Note: Within the lowest and middle baseline tertiles—that is, among individuals with similar baseline LE8 levels—trajectory membership remained associated with CVM risk, but the within-tertile C-index increments (0.012–0.015) remained small, consistent with the overall conclusion that trajectories add limited discriminative value beyond a single baseline measurement. Sparsity caveat: the middle-tertile persistent-low estimate (4.92, 95% CI 1.16–20.93) rests on only 12 low-group members, and the top tertile contains no low-group members; these stratum-specific estimates should be read as exploratory. Panel A covers the 4,046 risk-set participants with a baseline (2011) LE8 total (501 lack one); Panels B/C use complete cases within that subsample (3,434); see eTable 18.</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12. Inverse-probability weighting: weight distributions and weighted estimates.</w:t>
      </w:r>
    </w:p>
    <w:p>
      <w:pPr>
        <w:spacing w:line="360" w:lineRule="auto"/>
      </w:pPr>
      <w:r>
        <w:rPr>
          <w:rFonts w:ascii="Times New Roman" w:hAnsi="Times New Roman" w:eastAsia="宋体"/>
          <w:b w:val="0"/>
          <w:sz w:val="21"/>
        </w:rPr>
        <w:t>*Panel A: weight distributions (selection model on 14,318 complete-covariate baseline respondents, of whom 3,934 were included).*</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440"/>
        <w:gridCol w:w="1440"/>
        <w:gridCol w:w="1440"/>
        <w:gridCol w:w="1440"/>
        <w:gridCol w:w="1440"/>
        <w:gridCol w:w="1440"/>
      </w:tblGrid>
      <w:tr>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Weight type</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Mean</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SD</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Range</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 &gt;2</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Notes</w:t>
            </w:r>
          </w:p>
        </w:tc>
      </w:tr>
      <w:tr>
        <w:tc>
          <w:tcPr>
            <w:tcW w:type="dxa" w:w="1440"/>
          </w:tcPr>
          <w:p>
            <w:pPr>
              <w:spacing w:line="324" w:lineRule="auto" w:after="40"/>
            </w:pPr>
            <w:r>
              <w:rPr>
                <w:sz w:val="20"/>
              </w:rPr>
            </w:r>
            <w:r>
              <w:rPr>
                <w:rFonts w:ascii="Times New Roman" w:hAnsi="Times New Roman" w:eastAsia="宋体"/>
                <w:b w:val="0"/>
                <w:sz w:val="20"/>
              </w:rPr>
              <w:t>Stabilized</w:t>
            </w:r>
          </w:p>
        </w:tc>
        <w:tc>
          <w:tcPr>
            <w:tcW w:type="dxa" w:w="1440"/>
          </w:tcPr>
          <w:p>
            <w:pPr>
              <w:spacing w:line="324" w:lineRule="auto" w:after="40"/>
            </w:pPr>
            <w:r>
              <w:rPr>
                <w:sz w:val="20"/>
              </w:rPr>
            </w:r>
            <w:r>
              <w:rPr>
                <w:rFonts w:ascii="Times New Roman" w:hAnsi="Times New Roman" w:eastAsia="宋体"/>
                <w:b w:val="0"/>
                <w:sz w:val="20"/>
              </w:rPr>
              <w:t>0.99</w:t>
            </w:r>
          </w:p>
        </w:tc>
        <w:tc>
          <w:tcPr>
            <w:tcW w:type="dxa" w:w="1440"/>
          </w:tcPr>
          <w:p>
            <w:pPr>
              <w:spacing w:line="324" w:lineRule="auto" w:after="40"/>
            </w:pPr>
            <w:r>
              <w:rPr>
                <w:sz w:val="20"/>
              </w:rPr>
            </w:r>
            <w:r>
              <w:rPr>
                <w:rFonts w:ascii="Times New Roman" w:hAnsi="Times New Roman" w:eastAsia="宋体"/>
                <w:b w:val="0"/>
                <w:sz w:val="20"/>
              </w:rPr>
              <w:t>0.69</w:t>
            </w:r>
          </w:p>
        </w:tc>
        <w:tc>
          <w:tcPr>
            <w:tcW w:type="dxa" w:w="1440"/>
          </w:tcPr>
          <w:p>
            <w:pPr>
              <w:spacing w:line="324" w:lineRule="auto" w:after="40"/>
            </w:pPr>
            <w:r>
              <w:rPr>
                <w:sz w:val="20"/>
              </w:rPr>
            </w:r>
            <w:r>
              <w:rPr>
                <w:rFonts w:ascii="Times New Roman" w:hAnsi="Times New Roman" w:eastAsia="宋体"/>
                <w:b w:val="0"/>
                <w:sz w:val="20"/>
              </w:rPr>
              <w:t>0.43–12.71</w:t>
            </w:r>
          </w:p>
        </w:tc>
        <w:tc>
          <w:tcPr>
            <w:tcW w:type="dxa" w:w="1440"/>
          </w:tcPr>
          <w:p>
            <w:pPr>
              <w:spacing w:line="324" w:lineRule="auto" w:after="40"/>
            </w:pPr>
            <w:r>
              <w:rPr>
                <w:sz w:val="20"/>
              </w:rPr>
            </w:r>
            <w:r>
              <w:rPr>
                <w:rFonts w:ascii="Times New Roman" w:hAnsi="Times New Roman" w:eastAsia="宋体"/>
                <w:b w:val="0"/>
                <w:sz w:val="20"/>
              </w:rPr>
              <w:t>5.6%</w:t>
            </w:r>
          </w:p>
        </w:tc>
        <w:tc>
          <w:tcPr>
            <w:tcW w:type="dxa" w:w="1440"/>
          </w:tcPr>
          <w:p>
            <w:pPr>
              <w:spacing w:line="324" w:lineRule="auto" w:after="40"/>
            </w:pPr>
            <w:r>
              <w:rPr>
                <w:sz w:val="20"/>
              </w:rPr>
            </w:r>
            <w:r>
              <w:rPr>
                <w:rFonts w:ascii="Times New Roman" w:hAnsi="Times New Roman" w:eastAsia="宋体"/>
                <w:b w:val="0"/>
                <w:sz w:val="20"/>
              </w:rPr>
              <w:t>32.3% &gt;1; 1.7% &gt; mean + 3 SD</w:t>
            </w:r>
          </w:p>
        </w:tc>
      </w:tr>
      <w:tr>
        <w:tc>
          <w:tcPr>
            <w:tcW w:type="dxa" w:w="1440"/>
          </w:tcPr>
          <w:p>
            <w:pPr>
              <w:spacing w:line="324" w:lineRule="auto" w:after="40"/>
            </w:pPr>
            <w:r>
              <w:rPr>
                <w:sz w:val="20"/>
              </w:rPr>
            </w:r>
            <w:r>
              <w:rPr>
                <w:rFonts w:ascii="Times New Roman" w:hAnsi="Times New Roman" w:eastAsia="宋体"/>
                <w:b w:val="0"/>
                <w:sz w:val="20"/>
              </w:rPr>
              <w:t>Unstabilized</w:t>
            </w:r>
          </w:p>
        </w:tc>
        <w:tc>
          <w:tcPr>
            <w:tcW w:type="dxa" w:w="1440"/>
          </w:tcPr>
          <w:p>
            <w:pPr>
              <w:spacing w:line="324" w:lineRule="auto" w:after="40"/>
            </w:pPr>
            <w:r>
              <w:rPr>
                <w:sz w:val="20"/>
              </w:rPr>
            </w:r>
            <w:r>
              <w:rPr>
                <w:rFonts w:ascii="Times New Roman" w:hAnsi="Times New Roman" w:eastAsia="宋体"/>
                <w:b w:val="0"/>
                <w:sz w:val="20"/>
              </w:rPr>
              <w:t>3.60</w:t>
            </w:r>
          </w:p>
        </w:tc>
        <w:tc>
          <w:tcPr>
            <w:tcW w:type="dxa" w:w="1440"/>
          </w:tcPr>
          <w:p>
            <w:pPr>
              <w:spacing w:line="324" w:lineRule="auto" w:after="40"/>
            </w:pPr>
            <w:r>
              <w:rPr>
                <w:sz w:val="20"/>
              </w:rPr>
            </w:r>
            <w:r>
              <w:rPr>
                <w:rFonts w:ascii="Times New Roman" w:hAnsi="Times New Roman" w:eastAsia="宋体"/>
                <w:b w:val="0"/>
                <w:sz w:val="20"/>
              </w:rPr>
              <w:t>—</w:t>
            </w:r>
          </w:p>
        </w:tc>
        <w:tc>
          <w:tcPr>
            <w:tcW w:type="dxa" w:w="1440"/>
          </w:tcPr>
          <w:p>
            <w:pPr>
              <w:spacing w:line="324" w:lineRule="auto" w:after="40"/>
            </w:pPr>
            <w:r>
              <w:rPr>
                <w:sz w:val="20"/>
              </w:rPr>
            </w:r>
            <w:r>
              <w:rPr>
                <w:rFonts w:ascii="Times New Roman" w:hAnsi="Times New Roman" w:eastAsia="宋体"/>
                <w:b w:val="0"/>
                <w:sz w:val="20"/>
              </w:rPr>
              <w:t>max 46.27</w:t>
            </w:r>
          </w:p>
        </w:tc>
        <w:tc>
          <w:tcPr>
            <w:tcW w:type="dxa" w:w="1440"/>
          </w:tcPr>
          <w:p>
            <w:pPr>
              <w:spacing w:line="324" w:lineRule="auto" w:after="40"/>
            </w:pPr>
            <w:r>
              <w:rPr>
                <w:sz w:val="20"/>
              </w:rPr>
            </w:r>
            <w:r>
              <w:rPr>
                <w:rFonts w:ascii="Times New Roman" w:hAnsi="Times New Roman" w:eastAsia="宋体"/>
                <w:b w:val="0"/>
                <w:sz w:val="20"/>
              </w:rPr>
              <w:t>—</w:t>
            </w:r>
          </w:p>
        </w:tc>
        <w:tc>
          <w:tcPr>
            <w:tcW w:type="dxa" w:w="1440"/>
          </w:tcPr>
          <w:p>
            <w:pPr>
              <w:spacing w:line="324" w:lineRule="auto" w:after="40"/>
            </w:pPr>
            <w:r>
              <w:rPr>
                <w:sz w:val="20"/>
              </w:rPr>
            </w:r>
            <w:r>
              <w:rPr>
                <w:rFonts w:ascii="Times New Roman" w:hAnsi="Times New Roman" w:eastAsia="宋体"/>
                <w:b w:val="0"/>
                <w:sz w:val="20"/>
              </w:rPr>
              <w:t>2.6% &gt;10 (S13b)</w:t>
            </w:r>
          </w:p>
        </w:tc>
      </w:tr>
    </w:tbl>
    <w:p/>
    <w:p>
      <w:pPr>
        <w:spacing w:line="360" w:lineRule="auto"/>
      </w:pPr>
      <w:r>
        <w:rPr>
          <w:rFonts w:ascii="Times New Roman" w:hAnsi="Times New Roman" w:eastAsia="宋体"/>
          <w:b w:val="0"/>
          <w:sz w:val="21"/>
        </w:rPr>
        <w:t>*Panel B: weighted Cox estimates (Model 3 complete cases, n=3,848; 278 events).*</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2880"/>
        <w:gridCol w:w="2880"/>
        <w:gridCol w:w="2880"/>
      </w:tblGrid>
      <w:tr>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Analysis</w:t>
            </w:r>
          </w:p>
        </w:tc>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Moderate HR (95% CI)</w:t>
            </w:r>
          </w:p>
        </w:tc>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Low HR (95% CI)</w:t>
            </w:r>
          </w:p>
        </w:tc>
      </w:tr>
      <w:tr>
        <w:tc>
          <w:tcPr>
            <w:tcW w:type="dxa" w:w="2880"/>
          </w:tcPr>
          <w:p>
            <w:pPr>
              <w:spacing w:line="324" w:lineRule="auto" w:after="40"/>
            </w:pPr>
            <w:r>
              <w:rPr>
                <w:sz w:val="20"/>
              </w:rPr>
            </w:r>
            <w:r>
              <w:rPr>
                <w:rFonts w:ascii="Times New Roman" w:hAnsi="Times New Roman" w:eastAsia="宋体"/>
                <w:b w:val="0"/>
                <w:sz w:val="20"/>
              </w:rPr>
              <w:t>Unweighted (primary Cox)</w:t>
            </w:r>
          </w:p>
        </w:tc>
        <w:tc>
          <w:tcPr>
            <w:tcW w:type="dxa" w:w="2880"/>
          </w:tcPr>
          <w:p>
            <w:pPr>
              <w:spacing w:line="324" w:lineRule="auto" w:after="40"/>
            </w:pPr>
            <w:r>
              <w:rPr>
                <w:sz w:val="20"/>
              </w:rPr>
            </w:r>
            <w:r>
              <w:rPr>
                <w:rFonts w:ascii="Times New Roman" w:hAnsi="Times New Roman" w:eastAsia="宋体"/>
                <w:b w:val="0"/>
                <w:sz w:val="20"/>
              </w:rPr>
              <w:t>1.90 (1.43–2.52)</w:t>
            </w:r>
          </w:p>
        </w:tc>
        <w:tc>
          <w:tcPr>
            <w:tcW w:type="dxa" w:w="2880"/>
          </w:tcPr>
          <w:p>
            <w:pPr>
              <w:spacing w:line="324" w:lineRule="auto" w:after="40"/>
            </w:pPr>
            <w:r>
              <w:rPr>
                <w:sz w:val="20"/>
              </w:rPr>
            </w:r>
            <w:r>
              <w:rPr>
                <w:rFonts w:ascii="Times New Roman" w:hAnsi="Times New Roman" w:eastAsia="宋体"/>
                <w:b w:val="0"/>
                <w:sz w:val="20"/>
              </w:rPr>
              <w:t>3.75 (2.63–5.34)</w:t>
            </w:r>
          </w:p>
        </w:tc>
      </w:tr>
      <w:tr>
        <w:tc>
          <w:tcPr>
            <w:tcW w:type="dxa" w:w="2880"/>
          </w:tcPr>
          <w:p>
            <w:pPr>
              <w:spacing w:line="324" w:lineRule="auto" w:after="40"/>
            </w:pPr>
            <w:r>
              <w:rPr>
                <w:sz w:val="20"/>
              </w:rPr>
            </w:r>
            <w:r>
              <w:rPr>
                <w:rFonts w:ascii="Times New Roman" w:hAnsi="Times New Roman" w:eastAsia="宋体"/>
                <w:b w:val="0"/>
                <w:sz w:val="20"/>
              </w:rPr>
              <w:t>Unstabilized IPW (S13b)</w:t>
            </w:r>
          </w:p>
        </w:tc>
        <w:tc>
          <w:tcPr>
            <w:tcW w:type="dxa" w:w="2880"/>
          </w:tcPr>
          <w:p>
            <w:pPr>
              <w:spacing w:line="324" w:lineRule="auto" w:after="40"/>
            </w:pPr>
            <w:r>
              <w:rPr>
                <w:sz w:val="20"/>
              </w:rPr>
            </w:r>
            <w:r>
              <w:rPr>
                <w:rFonts w:ascii="Times New Roman" w:hAnsi="Times New Roman" w:eastAsia="宋体"/>
                <w:b w:val="0"/>
                <w:sz w:val="20"/>
              </w:rPr>
              <w:t>2.00 (1.41–2.84)</w:t>
            </w:r>
          </w:p>
        </w:tc>
        <w:tc>
          <w:tcPr>
            <w:tcW w:type="dxa" w:w="2880"/>
          </w:tcPr>
          <w:p>
            <w:pPr>
              <w:spacing w:line="324" w:lineRule="auto" w:after="40"/>
            </w:pPr>
            <w:r>
              <w:rPr>
                <w:sz w:val="20"/>
              </w:rPr>
            </w:r>
            <w:r>
              <w:rPr>
                <w:rFonts w:ascii="Times New Roman" w:hAnsi="Times New Roman" w:eastAsia="宋体"/>
                <w:b w:val="0"/>
                <w:sz w:val="20"/>
              </w:rPr>
              <w:t>3.61 (2.28–5.71)</w:t>
            </w:r>
          </w:p>
        </w:tc>
      </w:tr>
      <w:tr>
        <w:tc>
          <w:tcPr>
            <w:tcW w:type="dxa" w:w="2880"/>
          </w:tcPr>
          <w:p>
            <w:pPr>
              <w:spacing w:line="324" w:lineRule="auto" w:after="40"/>
            </w:pPr>
            <w:r>
              <w:rPr>
                <w:sz w:val="20"/>
              </w:rPr>
            </w:r>
            <w:r>
              <w:rPr>
                <w:rFonts w:ascii="Times New Roman" w:hAnsi="Times New Roman" w:eastAsia="宋体"/>
                <w:b w:val="0"/>
                <w:sz w:val="20"/>
              </w:rPr>
              <w:t>Stabilized IPW</w:t>
            </w:r>
          </w:p>
        </w:tc>
        <w:tc>
          <w:tcPr>
            <w:tcW w:type="dxa" w:w="2880"/>
          </w:tcPr>
          <w:p>
            <w:pPr>
              <w:spacing w:line="324" w:lineRule="auto" w:after="40"/>
            </w:pPr>
            <w:r>
              <w:rPr>
                <w:sz w:val="20"/>
              </w:rPr>
            </w:r>
            <w:r>
              <w:rPr>
                <w:rFonts w:ascii="Times New Roman" w:hAnsi="Times New Roman" w:eastAsia="宋体"/>
                <w:b w:val="0"/>
                <w:sz w:val="20"/>
              </w:rPr>
              <w:t>1.69 (1.09–2.64)</w:t>
            </w:r>
          </w:p>
        </w:tc>
        <w:tc>
          <w:tcPr>
            <w:tcW w:type="dxa" w:w="2880"/>
          </w:tcPr>
          <w:p>
            <w:pPr>
              <w:spacing w:line="324" w:lineRule="auto" w:after="40"/>
            </w:pPr>
            <w:r>
              <w:rPr>
                <w:sz w:val="20"/>
              </w:rPr>
            </w:r>
            <w:r>
              <w:rPr>
                <w:rFonts w:ascii="Times New Roman" w:hAnsi="Times New Roman" w:eastAsia="宋体"/>
                <w:b w:val="0"/>
                <w:sz w:val="20"/>
              </w:rPr>
              <w:t>2.99 (1.68–5.33)</w:t>
            </w:r>
          </w:p>
        </w:tc>
      </w:tr>
      <w:tr>
        <w:tc>
          <w:tcPr>
            <w:tcW w:type="dxa" w:w="2880"/>
          </w:tcPr>
          <w:p>
            <w:pPr>
              <w:spacing w:line="324" w:lineRule="auto" w:after="40"/>
            </w:pPr>
            <w:r>
              <w:rPr>
                <w:sz w:val="20"/>
              </w:rPr>
            </w:r>
            <w:r>
              <w:rPr>
                <w:rFonts w:ascii="Times New Roman" w:hAnsi="Times New Roman" w:eastAsia="宋体"/>
                <w:b w:val="0"/>
                <w:sz w:val="20"/>
              </w:rPr>
              <w:t>Stabilized + 99th-percentile truncation (≤3.59)</w:t>
            </w:r>
          </w:p>
        </w:tc>
        <w:tc>
          <w:tcPr>
            <w:tcW w:type="dxa" w:w="2880"/>
          </w:tcPr>
          <w:p>
            <w:pPr>
              <w:spacing w:line="324" w:lineRule="auto" w:after="40"/>
            </w:pPr>
            <w:r>
              <w:rPr>
                <w:sz w:val="20"/>
              </w:rPr>
            </w:r>
            <w:r>
              <w:rPr>
                <w:rFonts w:ascii="Times New Roman" w:hAnsi="Times New Roman" w:eastAsia="宋体"/>
                <w:b w:val="0"/>
                <w:sz w:val="20"/>
              </w:rPr>
              <w:t>1.91 (1.36–2.69)</w:t>
            </w:r>
          </w:p>
        </w:tc>
        <w:tc>
          <w:tcPr>
            <w:tcW w:type="dxa" w:w="2880"/>
          </w:tcPr>
          <w:p>
            <w:pPr>
              <w:spacing w:line="324" w:lineRule="auto" w:after="40"/>
            </w:pPr>
            <w:r>
              <w:rPr>
                <w:sz w:val="20"/>
              </w:rPr>
            </w:r>
            <w:r>
              <w:rPr>
                <w:rFonts w:ascii="Times New Roman" w:hAnsi="Times New Roman" w:eastAsia="宋体"/>
                <w:b w:val="0"/>
                <w:sz w:val="20"/>
              </w:rPr>
              <w:t>3.53 (2.28–5.47)</w:t>
            </w:r>
          </w:p>
        </w:tc>
      </w:tr>
    </w:tbl>
    <w:p/>
    <w:p>
      <w:pPr>
        <w:spacing w:line="360" w:lineRule="auto"/>
      </w:pPr>
      <w:r>
        <w:rPr>
          <w:rFonts w:ascii="Times New Roman" w:hAnsi="Times New Roman" w:eastAsia="宋体"/>
          <w:b w:val="0"/>
          <w:sz w:val="21"/>
        </w:rPr>
        <w:t>Note: The inclusion model estimated the probability of analytic-sample inclusion among the 14,318 baseline (2011) respondents with complete values of the model covariates (age, sex, education, marital status, residence, drinking, log household consumption, diabetes, dyslipidemia, chronic-condition count; of 17,708 baseline respondents, 3,390 had at least one missing covariate); the 3,934 "included" are those of the 4,646 analytic participants with complete model covariates. Stabilized weights (numerator: marginal inclusion probability) were well behaved (mean ≈1); with extreme-weight truncation, estimates were nearly identical to the unweighted analysis, indicating that selection into the analytic sample had limited influence. CHARLS individual sampling weights were not included in the harmonized analytic extract and cannot be applied to the non-probability longitudinal subsample (see main text Limitations, item 7).</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13. ΔLE8 (2015 − 2011) associations overall and by baseline-LE8 tertile (per 10 points; Model 3 covariates).</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440"/>
        <w:gridCol w:w="1440"/>
        <w:gridCol w:w="1440"/>
        <w:gridCol w:w="1440"/>
        <w:gridCol w:w="1440"/>
        <w:gridCol w:w="1440"/>
      </w:tblGrid>
      <w:tr>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Stratum</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n</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Events</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ΔLE8 HR (95% CI), unadjusted for baseline</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ΔLE8 HR (95% CI), adjusted for baseline</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Baseline LE8 HR (95% CI)</w:t>
            </w:r>
          </w:p>
        </w:tc>
      </w:tr>
      <w:tr>
        <w:tc>
          <w:tcPr>
            <w:tcW w:type="dxa" w:w="1440"/>
          </w:tcPr>
          <w:p>
            <w:pPr>
              <w:spacing w:line="324" w:lineRule="auto" w:after="40"/>
            </w:pPr>
            <w:r>
              <w:rPr>
                <w:sz w:val="20"/>
              </w:rPr>
            </w:r>
            <w:r>
              <w:rPr>
                <w:rFonts w:ascii="Times New Roman" w:hAnsi="Times New Roman" w:eastAsia="宋体"/>
                <w:b w:val="0"/>
                <w:sz w:val="20"/>
              </w:rPr>
              <w:t>Overall</w:t>
            </w:r>
          </w:p>
        </w:tc>
        <w:tc>
          <w:tcPr>
            <w:tcW w:type="dxa" w:w="1440"/>
          </w:tcPr>
          <w:p>
            <w:pPr>
              <w:spacing w:line="324" w:lineRule="auto" w:after="40"/>
            </w:pPr>
            <w:r>
              <w:rPr>
                <w:sz w:val="20"/>
              </w:rPr>
            </w:r>
            <w:r>
              <w:rPr>
                <w:rFonts w:ascii="Times New Roman" w:hAnsi="Times New Roman" w:eastAsia="宋体"/>
                <w:b w:val="0"/>
                <w:sz w:val="20"/>
              </w:rPr>
              <w:t>3,761</w:t>
            </w:r>
          </w:p>
        </w:tc>
        <w:tc>
          <w:tcPr>
            <w:tcW w:type="dxa" w:w="1440"/>
          </w:tcPr>
          <w:p>
            <w:pPr>
              <w:spacing w:line="324" w:lineRule="auto" w:after="40"/>
            </w:pPr>
            <w:r>
              <w:rPr>
                <w:sz w:val="20"/>
              </w:rPr>
            </w:r>
            <w:r>
              <w:rPr>
                <w:rFonts w:ascii="Times New Roman" w:hAnsi="Times New Roman" w:eastAsia="宋体"/>
                <w:b w:val="0"/>
                <w:sz w:val="20"/>
              </w:rPr>
              <w:t>283</w:t>
            </w:r>
          </w:p>
        </w:tc>
        <w:tc>
          <w:tcPr>
            <w:tcW w:type="dxa" w:w="1440"/>
          </w:tcPr>
          <w:p>
            <w:pPr>
              <w:spacing w:line="324" w:lineRule="auto" w:after="40"/>
            </w:pPr>
            <w:r>
              <w:rPr>
                <w:sz w:val="20"/>
              </w:rPr>
            </w:r>
            <w:r>
              <w:rPr>
                <w:rFonts w:ascii="Times New Roman" w:hAnsi="Times New Roman" w:eastAsia="宋体"/>
                <w:b w:val="0"/>
                <w:sz w:val="20"/>
              </w:rPr>
              <w:t>1.03 (0.92–1.15)</w:t>
            </w:r>
          </w:p>
        </w:tc>
        <w:tc>
          <w:tcPr>
            <w:tcW w:type="dxa" w:w="1440"/>
          </w:tcPr>
          <w:p>
            <w:pPr>
              <w:spacing w:line="324" w:lineRule="auto" w:after="40"/>
            </w:pPr>
            <w:r>
              <w:rPr>
                <w:sz w:val="20"/>
              </w:rPr>
            </w:r>
            <w:r>
              <w:rPr>
                <w:rFonts w:ascii="Times New Roman" w:hAnsi="Times New Roman" w:eastAsia="宋体"/>
                <w:b w:val="0"/>
                <w:sz w:val="20"/>
              </w:rPr>
              <w:t>0.82 (0.72–0.92)</w:t>
            </w:r>
          </w:p>
        </w:tc>
        <w:tc>
          <w:tcPr>
            <w:tcW w:type="dxa" w:w="1440"/>
          </w:tcPr>
          <w:p>
            <w:pPr>
              <w:spacing w:line="324" w:lineRule="auto" w:after="40"/>
            </w:pPr>
            <w:r>
              <w:rPr>
                <w:sz w:val="20"/>
              </w:rPr>
            </w:r>
            <w:r>
              <w:rPr>
                <w:rFonts w:ascii="Times New Roman" w:hAnsi="Times New Roman" w:eastAsia="宋体"/>
                <w:b w:val="0"/>
                <w:sz w:val="20"/>
              </w:rPr>
              <w:t>0.62 (0.55–0.70)</w:t>
            </w:r>
          </w:p>
        </w:tc>
      </w:tr>
      <w:tr>
        <w:tc>
          <w:tcPr>
            <w:tcW w:type="dxa" w:w="1440"/>
          </w:tcPr>
          <w:p>
            <w:pPr>
              <w:spacing w:line="324" w:lineRule="auto" w:after="40"/>
            </w:pPr>
            <w:r>
              <w:rPr>
                <w:sz w:val="20"/>
              </w:rPr>
            </w:r>
            <w:r>
              <w:rPr>
                <w:rFonts w:ascii="Times New Roman" w:hAnsi="Times New Roman" w:eastAsia="宋体"/>
                <w:b w:val="0"/>
                <w:sz w:val="20"/>
              </w:rPr>
              <w:t>T1 (lowest)</w:t>
            </w:r>
          </w:p>
        </w:tc>
        <w:tc>
          <w:tcPr>
            <w:tcW w:type="dxa" w:w="1440"/>
          </w:tcPr>
          <w:p>
            <w:pPr>
              <w:spacing w:line="324" w:lineRule="auto" w:after="40"/>
            </w:pPr>
            <w:r>
              <w:rPr>
                <w:sz w:val="20"/>
              </w:rPr>
            </w:r>
            <w:r>
              <w:rPr>
                <w:rFonts w:ascii="Times New Roman" w:hAnsi="Times New Roman" w:eastAsia="宋体"/>
                <w:b w:val="0"/>
                <w:sz w:val="20"/>
              </w:rPr>
              <w:t>1,253</w:t>
            </w:r>
          </w:p>
        </w:tc>
        <w:tc>
          <w:tcPr>
            <w:tcW w:type="dxa" w:w="1440"/>
          </w:tcPr>
          <w:p>
            <w:pPr>
              <w:spacing w:line="324" w:lineRule="auto" w:after="40"/>
            </w:pPr>
            <w:r>
              <w:rPr>
                <w:sz w:val="20"/>
              </w:rPr>
            </w:r>
            <w:r>
              <w:rPr>
                <w:rFonts w:ascii="Times New Roman" w:hAnsi="Times New Roman" w:eastAsia="宋体"/>
                <w:b w:val="0"/>
                <w:sz w:val="20"/>
              </w:rPr>
              <w:t>131</w:t>
            </w:r>
          </w:p>
        </w:tc>
        <w:tc>
          <w:tcPr>
            <w:tcW w:type="dxa" w:w="1440"/>
          </w:tcPr>
          <w:p>
            <w:pPr>
              <w:spacing w:line="324" w:lineRule="auto" w:after="40"/>
            </w:pPr>
            <w:r>
              <w:rPr>
                <w:sz w:val="20"/>
              </w:rPr>
            </w:r>
            <w:r>
              <w:rPr>
                <w:rFonts w:ascii="Times New Roman" w:hAnsi="Times New Roman" w:eastAsia="宋体"/>
                <w:b w:val="0"/>
                <w:sz w:val="20"/>
              </w:rPr>
              <w:t>0.89 (0.75–1.05)</w:t>
            </w:r>
          </w:p>
        </w:tc>
        <w:tc>
          <w:tcPr>
            <w:tcW w:type="dxa" w:w="1440"/>
          </w:tcPr>
          <w:p>
            <w:pPr>
              <w:spacing w:line="324" w:lineRule="auto" w:after="40"/>
            </w:pPr>
            <w:r>
              <w:rPr>
                <w:sz w:val="20"/>
              </w:rPr>
            </w:r>
            <w:r>
              <w:rPr>
                <w:rFonts w:ascii="Times New Roman" w:hAnsi="Times New Roman" w:eastAsia="宋体"/>
                <w:b w:val="0"/>
                <w:sz w:val="20"/>
              </w:rPr>
              <w:t>0.80 (0.67–0.95)</w:t>
            </w:r>
          </w:p>
        </w:tc>
        <w:tc>
          <w:tcPr>
            <w:tcW w:type="dxa" w:w="1440"/>
          </w:tcPr>
          <w:p>
            <w:pPr>
              <w:spacing w:line="324" w:lineRule="auto" w:after="40"/>
            </w:pPr>
            <w:r>
              <w:rPr>
                <w:sz w:val="20"/>
              </w:rPr>
            </w:r>
            <w:r>
              <w:rPr>
                <w:rFonts w:ascii="Times New Roman" w:hAnsi="Times New Roman" w:eastAsia="宋体"/>
                <w:b w:val="0"/>
                <w:sz w:val="20"/>
              </w:rPr>
              <w:t>0.63 (0.51–0.80)</w:t>
            </w:r>
          </w:p>
        </w:tc>
      </w:tr>
      <w:tr>
        <w:tc>
          <w:tcPr>
            <w:tcW w:type="dxa" w:w="1440"/>
          </w:tcPr>
          <w:p>
            <w:pPr>
              <w:spacing w:line="324" w:lineRule="auto" w:after="40"/>
            </w:pPr>
            <w:r>
              <w:rPr>
                <w:sz w:val="20"/>
              </w:rPr>
            </w:r>
            <w:r>
              <w:rPr>
                <w:rFonts w:ascii="Times New Roman" w:hAnsi="Times New Roman" w:eastAsia="宋体"/>
                <w:b w:val="0"/>
                <w:sz w:val="20"/>
              </w:rPr>
              <w:t>T2 (middle)</w:t>
            </w:r>
          </w:p>
        </w:tc>
        <w:tc>
          <w:tcPr>
            <w:tcW w:type="dxa" w:w="1440"/>
          </w:tcPr>
          <w:p>
            <w:pPr>
              <w:spacing w:line="324" w:lineRule="auto" w:after="40"/>
            </w:pPr>
            <w:r>
              <w:rPr>
                <w:sz w:val="20"/>
              </w:rPr>
            </w:r>
            <w:r>
              <w:rPr>
                <w:rFonts w:ascii="Times New Roman" w:hAnsi="Times New Roman" w:eastAsia="宋体"/>
                <w:b w:val="0"/>
                <w:sz w:val="20"/>
              </w:rPr>
              <w:t>1,263</w:t>
            </w:r>
          </w:p>
        </w:tc>
        <w:tc>
          <w:tcPr>
            <w:tcW w:type="dxa" w:w="1440"/>
          </w:tcPr>
          <w:p>
            <w:pPr>
              <w:spacing w:line="324" w:lineRule="auto" w:after="40"/>
            </w:pPr>
            <w:r>
              <w:rPr>
                <w:sz w:val="20"/>
              </w:rPr>
            </w:r>
            <w:r>
              <w:rPr>
                <w:rFonts w:ascii="Times New Roman" w:hAnsi="Times New Roman" w:eastAsia="宋体"/>
                <w:b w:val="0"/>
                <w:sz w:val="20"/>
              </w:rPr>
              <w:t>91</w:t>
            </w:r>
          </w:p>
        </w:tc>
        <w:tc>
          <w:tcPr>
            <w:tcW w:type="dxa" w:w="1440"/>
          </w:tcPr>
          <w:p>
            <w:pPr>
              <w:spacing w:line="324" w:lineRule="auto" w:after="40"/>
            </w:pPr>
            <w:r>
              <w:rPr>
                <w:sz w:val="20"/>
              </w:rPr>
            </w:r>
            <w:r>
              <w:rPr>
                <w:rFonts w:ascii="Times New Roman" w:hAnsi="Times New Roman" w:eastAsia="宋体"/>
                <w:b w:val="0"/>
                <w:sz w:val="20"/>
              </w:rPr>
              <w:t>0.80 (0.65–1.00)</w:t>
            </w:r>
          </w:p>
        </w:tc>
        <w:tc>
          <w:tcPr>
            <w:tcW w:type="dxa" w:w="1440"/>
          </w:tcPr>
          <w:p>
            <w:pPr>
              <w:spacing w:line="324" w:lineRule="auto" w:after="40"/>
            </w:pPr>
            <w:r>
              <w:rPr>
                <w:sz w:val="20"/>
              </w:rPr>
            </w:r>
            <w:r>
              <w:rPr>
                <w:rFonts w:ascii="Times New Roman" w:hAnsi="Times New Roman" w:eastAsia="宋体"/>
                <w:b w:val="0"/>
                <w:sz w:val="20"/>
              </w:rPr>
              <w:t>0.77 (0.63–0.96)</w:t>
            </w:r>
          </w:p>
        </w:tc>
        <w:tc>
          <w:tcPr>
            <w:tcW w:type="dxa" w:w="1440"/>
          </w:tcPr>
          <w:p>
            <w:pPr>
              <w:spacing w:line="324" w:lineRule="auto" w:after="40"/>
            </w:pPr>
            <w:r>
              <w:rPr>
                <w:sz w:val="20"/>
              </w:rPr>
            </w:r>
            <w:r>
              <w:rPr>
                <w:rFonts w:ascii="Times New Roman" w:hAnsi="Times New Roman" w:eastAsia="宋体"/>
                <w:b w:val="0"/>
                <w:sz w:val="20"/>
              </w:rPr>
              <w:t>0.37 (0.17–0.80)</w:t>
            </w:r>
          </w:p>
        </w:tc>
      </w:tr>
      <w:tr>
        <w:tc>
          <w:tcPr>
            <w:tcW w:type="dxa" w:w="1440"/>
          </w:tcPr>
          <w:p>
            <w:pPr>
              <w:spacing w:line="324" w:lineRule="auto" w:after="40"/>
            </w:pPr>
            <w:r>
              <w:rPr>
                <w:sz w:val="20"/>
              </w:rPr>
            </w:r>
            <w:r>
              <w:rPr>
                <w:rFonts w:ascii="Times New Roman" w:hAnsi="Times New Roman" w:eastAsia="宋体"/>
                <w:b w:val="0"/>
                <w:sz w:val="20"/>
              </w:rPr>
              <w:t>T3 (highest)</w:t>
            </w:r>
          </w:p>
        </w:tc>
        <w:tc>
          <w:tcPr>
            <w:tcW w:type="dxa" w:w="1440"/>
          </w:tcPr>
          <w:p>
            <w:pPr>
              <w:spacing w:line="324" w:lineRule="auto" w:after="40"/>
            </w:pPr>
            <w:r>
              <w:rPr>
                <w:sz w:val="20"/>
              </w:rPr>
            </w:r>
            <w:r>
              <w:rPr>
                <w:rFonts w:ascii="Times New Roman" w:hAnsi="Times New Roman" w:eastAsia="宋体"/>
                <w:b w:val="0"/>
                <w:sz w:val="20"/>
              </w:rPr>
              <w:t>1,245</w:t>
            </w:r>
          </w:p>
        </w:tc>
        <w:tc>
          <w:tcPr>
            <w:tcW w:type="dxa" w:w="1440"/>
          </w:tcPr>
          <w:p>
            <w:pPr>
              <w:spacing w:line="324" w:lineRule="auto" w:after="40"/>
            </w:pPr>
            <w:r>
              <w:rPr>
                <w:sz w:val="20"/>
              </w:rPr>
            </w:r>
            <w:r>
              <w:rPr>
                <w:rFonts w:ascii="Times New Roman" w:hAnsi="Times New Roman" w:eastAsia="宋体"/>
                <w:b w:val="0"/>
                <w:sz w:val="20"/>
              </w:rPr>
              <w:t>61</w:t>
            </w:r>
          </w:p>
        </w:tc>
        <w:tc>
          <w:tcPr>
            <w:tcW w:type="dxa" w:w="1440"/>
          </w:tcPr>
          <w:p>
            <w:pPr>
              <w:spacing w:line="324" w:lineRule="auto" w:after="40"/>
            </w:pPr>
            <w:r>
              <w:rPr>
                <w:sz w:val="20"/>
              </w:rPr>
            </w:r>
            <w:r>
              <w:rPr>
                <w:rFonts w:ascii="Times New Roman" w:hAnsi="Times New Roman" w:eastAsia="宋体"/>
                <w:b w:val="0"/>
                <w:sz w:val="20"/>
              </w:rPr>
              <w:t>0.99 (0.75–1.32)</w:t>
            </w:r>
          </w:p>
        </w:tc>
        <w:tc>
          <w:tcPr>
            <w:tcW w:type="dxa" w:w="1440"/>
          </w:tcPr>
          <w:p>
            <w:pPr>
              <w:spacing w:line="324" w:lineRule="auto" w:after="40"/>
            </w:pPr>
            <w:r>
              <w:rPr>
                <w:sz w:val="20"/>
              </w:rPr>
            </w:r>
            <w:r>
              <w:rPr>
                <w:rFonts w:ascii="Times New Roman" w:hAnsi="Times New Roman" w:eastAsia="宋体"/>
                <w:b w:val="0"/>
                <w:sz w:val="20"/>
              </w:rPr>
              <w:t>0.95 (0.72–1.27)</w:t>
            </w:r>
          </w:p>
        </w:tc>
        <w:tc>
          <w:tcPr>
            <w:tcW w:type="dxa" w:w="1440"/>
          </w:tcPr>
          <w:p>
            <w:pPr>
              <w:spacing w:line="324" w:lineRule="auto" w:after="40"/>
            </w:pPr>
            <w:r>
              <w:rPr>
                <w:sz w:val="20"/>
              </w:rPr>
            </w:r>
            <w:r>
              <w:rPr>
                <w:rFonts w:ascii="Times New Roman" w:hAnsi="Times New Roman" w:eastAsia="宋体"/>
                <w:b w:val="0"/>
                <w:sz w:val="20"/>
              </w:rPr>
              <w:t>0.54 (0.26–1.13)</w:t>
            </w:r>
          </w:p>
        </w:tc>
      </w:tr>
    </w:tbl>
    <w:p/>
    <w:p>
      <w:pPr>
        <w:spacing w:line="360" w:lineRule="auto"/>
      </w:pPr>
      <w:r>
        <w:rPr>
          <w:rFonts w:ascii="Times New Roman" w:hAnsi="Times New Roman" w:eastAsia="宋体"/>
          <w:b w:val="0"/>
          <w:sz w:val="21"/>
        </w:rPr>
        <w:t>Note: ΔLE8 was not associated with CVM without baseline adjustment but was after baseline adjustment (HR 0.82 per 10-point increase). Within tertiles, the adjusted effect was similar in the lowest and middle tertiles and attenuated in the highest, consistent with some regression to the mean (greater declines are partly mechanically expected at higher baselines) but not with regression to the mean being the sole explanation.</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14. Joint official-AHA rescoring (S15): physical activity, nicotine exposure, and sleep simultaneously re-scored with official AHA thresholds; trajectories re-enumerated and re-estimated.</w:t>
      </w:r>
    </w:p>
    <w:p>
      <w:pPr>
        <w:spacing w:line="360" w:lineRule="auto"/>
      </w:pPr>
      <w:r>
        <w:rPr>
          <w:rFonts w:ascii="Times New Roman" w:hAnsi="Times New Roman" w:eastAsia="宋体"/>
          <w:b w:val="0"/>
          <w:sz w:val="21"/>
        </w:rPr>
        <w:t>*Panel A: class enumeration under the jointly re-scored LE8 (1–5 classes; trajectory cohort).*</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728"/>
        <w:gridCol w:w="1728"/>
        <w:gridCol w:w="1728"/>
        <w:gridCol w:w="1728"/>
        <w:gridCol w:w="1728"/>
      </w:tblGrid>
      <w:tr>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Classes</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BIC</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Entropy</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Mean APP</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Min class %</w:t>
            </w:r>
          </w:p>
        </w:tc>
      </w:tr>
      <w:tr>
        <w:tc>
          <w:tcPr>
            <w:tcW w:type="dxa" w:w="1728"/>
          </w:tcPr>
          <w:p>
            <w:pPr>
              <w:spacing w:line="324" w:lineRule="auto" w:after="40"/>
            </w:pPr>
            <w:r>
              <w:rPr>
                <w:sz w:val="20"/>
              </w:rPr>
            </w:r>
            <w:r>
              <w:rPr>
                <w:rFonts w:ascii="Times New Roman" w:hAnsi="Times New Roman" w:eastAsia="宋体"/>
                <w:b w:val="0"/>
                <w:sz w:val="20"/>
              </w:rPr>
              <w:t>1</w:t>
            </w:r>
          </w:p>
        </w:tc>
        <w:tc>
          <w:tcPr>
            <w:tcW w:type="dxa" w:w="1728"/>
          </w:tcPr>
          <w:p>
            <w:pPr>
              <w:spacing w:line="324" w:lineRule="auto" w:after="40"/>
            </w:pPr>
            <w:r>
              <w:rPr>
                <w:sz w:val="20"/>
              </w:rPr>
            </w:r>
            <w:r>
              <w:rPr>
                <w:rFonts w:ascii="Times New Roman" w:hAnsi="Times New Roman" w:eastAsia="宋体"/>
                <w:b w:val="0"/>
                <w:sz w:val="20"/>
              </w:rPr>
              <w:t>103,205.0</w:t>
            </w:r>
          </w:p>
        </w:tc>
        <w:tc>
          <w:tcPr>
            <w:tcW w:type="dxa" w:w="1728"/>
          </w:tcPr>
          <w:p>
            <w:pPr>
              <w:spacing w:line="324" w:lineRule="auto" w:after="40"/>
            </w:pPr>
            <w:r>
              <w:rPr>
                <w:sz w:val="20"/>
              </w:rPr>
            </w:r>
            <w:r>
              <w:rPr>
                <w:rFonts w:ascii="Times New Roman" w:hAnsi="Times New Roman" w:eastAsia="宋体"/>
                <w:b w:val="0"/>
                <w:sz w:val="20"/>
              </w:rPr>
              <w:t>—</w:t>
            </w:r>
          </w:p>
        </w:tc>
        <w:tc>
          <w:tcPr>
            <w:tcW w:type="dxa" w:w="1728"/>
          </w:tcPr>
          <w:p>
            <w:pPr>
              <w:spacing w:line="324" w:lineRule="auto" w:after="40"/>
            </w:pPr>
            <w:r>
              <w:rPr>
                <w:sz w:val="20"/>
              </w:rPr>
            </w:r>
            <w:r>
              <w:rPr>
                <w:rFonts w:ascii="Times New Roman" w:hAnsi="Times New Roman" w:eastAsia="宋体"/>
                <w:b w:val="0"/>
                <w:sz w:val="20"/>
              </w:rPr>
              <w:t>—</w:t>
            </w:r>
          </w:p>
        </w:tc>
        <w:tc>
          <w:tcPr>
            <w:tcW w:type="dxa" w:w="1728"/>
          </w:tcPr>
          <w:p>
            <w:pPr>
              <w:spacing w:line="324" w:lineRule="auto" w:after="40"/>
            </w:pPr>
            <w:r>
              <w:rPr>
                <w:sz w:val="20"/>
              </w:rPr>
            </w:r>
            <w:r>
              <w:rPr>
                <w:rFonts w:ascii="Times New Roman" w:hAnsi="Times New Roman" w:eastAsia="宋体"/>
                <w:b w:val="0"/>
                <w:sz w:val="20"/>
              </w:rPr>
              <w:t>100.0</w:t>
            </w:r>
          </w:p>
        </w:tc>
      </w:tr>
      <w:tr>
        <w:tc>
          <w:tcPr>
            <w:tcW w:type="dxa" w:w="1728"/>
          </w:tcPr>
          <w:p>
            <w:pPr>
              <w:spacing w:line="324" w:lineRule="auto" w:after="40"/>
            </w:pPr>
            <w:r>
              <w:rPr>
                <w:sz w:val="20"/>
              </w:rPr>
            </w:r>
            <w:r>
              <w:rPr>
                <w:rFonts w:ascii="Times New Roman" w:hAnsi="Times New Roman" w:eastAsia="宋体"/>
                <w:b w:val="0"/>
                <w:sz w:val="20"/>
              </w:rPr>
              <w:t>2</w:t>
            </w:r>
          </w:p>
        </w:tc>
        <w:tc>
          <w:tcPr>
            <w:tcW w:type="dxa" w:w="1728"/>
          </w:tcPr>
          <w:p>
            <w:pPr>
              <w:spacing w:line="324" w:lineRule="auto" w:after="40"/>
            </w:pPr>
            <w:r>
              <w:rPr>
                <w:sz w:val="20"/>
              </w:rPr>
            </w:r>
            <w:r>
              <w:rPr>
                <w:rFonts w:ascii="Times New Roman" w:hAnsi="Times New Roman" w:eastAsia="宋体"/>
                <w:b w:val="0"/>
                <w:sz w:val="20"/>
              </w:rPr>
              <w:t>100,417.0</w:t>
            </w:r>
          </w:p>
        </w:tc>
        <w:tc>
          <w:tcPr>
            <w:tcW w:type="dxa" w:w="1728"/>
          </w:tcPr>
          <w:p>
            <w:pPr>
              <w:spacing w:line="324" w:lineRule="auto" w:after="40"/>
            </w:pPr>
            <w:r>
              <w:rPr>
                <w:sz w:val="20"/>
              </w:rPr>
            </w:r>
            <w:r>
              <w:rPr>
                <w:rFonts w:ascii="Times New Roman" w:hAnsi="Times New Roman" w:eastAsia="宋体"/>
                <w:b w:val="0"/>
                <w:sz w:val="20"/>
              </w:rPr>
              <w:t>0.895</w:t>
            </w:r>
          </w:p>
        </w:tc>
        <w:tc>
          <w:tcPr>
            <w:tcW w:type="dxa" w:w="1728"/>
          </w:tcPr>
          <w:p>
            <w:pPr>
              <w:spacing w:line="324" w:lineRule="auto" w:after="40"/>
            </w:pPr>
            <w:r>
              <w:rPr>
                <w:sz w:val="20"/>
              </w:rPr>
            </w:r>
            <w:r>
              <w:rPr>
                <w:rFonts w:ascii="Times New Roman" w:hAnsi="Times New Roman" w:eastAsia="宋体"/>
                <w:b w:val="0"/>
                <w:sz w:val="20"/>
              </w:rPr>
              <w:t>0.913</w:t>
            </w:r>
          </w:p>
        </w:tc>
        <w:tc>
          <w:tcPr>
            <w:tcW w:type="dxa" w:w="1728"/>
          </w:tcPr>
          <w:p>
            <w:pPr>
              <w:spacing w:line="324" w:lineRule="auto" w:after="40"/>
            </w:pPr>
            <w:r>
              <w:rPr>
                <w:sz w:val="20"/>
              </w:rPr>
            </w:r>
            <w:r>
              <w:rPr>
                <w:rFonts w:ascii="Times New Roman" w:hAnsi="Times New Roman" w:eastAsia="宋体"/>
                <w:b w:val="0"/>
                <w:sz w:val="20"/>
              </w:rPr>
              <w:t>35.4</w:t>
            </w:r>
          </w:p>
        </w:tc>
      </w:tr>
      <w:tr>
        <w:tc>
          <w:tcPr>
            <w:tcW w:type="dxa" w:w="1728"/>
          </w:tcPr>
          <w:p>
            <w:pPr>
              <w:spacing w:line="324" w:lineRule="auto" w:after="40"/>
            </w:pPr>
            <w:r>
              <w:rPr>
                <w:sz w:val="20"/>
              </w:rPr>
            </w:r>
            <w:r>
              <w:rPr>
                <w:rFonts w:ascii="Times New Roman" w:hAnsi="Times New Roman" w:eastAsia="宋体"/>
                <w:b w:val="0"/>
                <w:sz w:val="20"/>
              </w:rPr>
              <w:t>3</w:t>
            </w:r>
          </w:p>
        </w:tc>
        <w:tc>
          <w:tcPr>
            <w:tcW w:type="dxa" w:w="1728"/>
          </w:tcPr>
          <w:p>
            <w:pPr>
              <w:spacing w:line="324" w:lineRule="auto" w:after="40"/>
            </w:pPr>
            <w:r>
              <w:rPr>
                <w:sz w:val="20"/>
              </w:rPr>
            </w:r>
            <w:r>
              <w:rPr>
                <w:rFonts w:ascii="Times New Roman" w:hAnsi="Times New Roman" w:eastAsia="宋体"/>
                <w:b w:val="0"/>
                <w:sz w:val="20"/>
              </w:rPr>
              <w:t>99,710.4</w:t>
            </w:r>
          </w:p>
        </w:tc>
        <w:tc>
          <w:tcPr>
            <w:tcW w:type="dxa" w:w="1728"/>
          </w:tcPr>
          <w:p>
            <w:pPr>
              <w:spacing w:line="324" w:lineRule="auto" w:after="40"/>
            </w:pPr>
            <w:r>
              <w:rPr>
                <w:sz w:val="20"/>
              </w:rPr>
            </w:r>
            <w:r>
              <w:rPr>
                <w:rFonts w:ascii="Times New Roman" w:hAnsi="Times New Roman" w:eastAsia="宋体"/>
                <w:b w:val="0"/>
                <w:sz w:val="20"/>
              </w:rPr>
              <w:t>0.887</w:t>
            </w:r>
          </w:p>
        </w:tc>
        <w:tc>
          <w:tcPr>
            <w:tcW w:type="dxa" w:w="1728"/>
          </w:tcPr>
          <w:p>
            <w:pPr>
              <w:spacing w:line="324" w:lineRule="auto" w:after="40"/>
            </w:pPr>
            <w:r>
              <w:rPr>
                <w:sz w:val="20"/>
              </w:rPr>
            </w:r>
            <w:r>
              <w:rPr>
                <w:rFonts w:ascii="Times New Roman" w:hAnsi="Times New Roman" w:eastAsia="宋体"/>
                <w:b w:val="0"/>
                <w:sz w:val="20"/>
              </w:rPr>
              <w:t>0.851</w:t>
            </w:r>
          </w:p>
        </w:tc>
        <w:tc>
          <w:tcPr>
            <w:tcW w:type="dxa" w:w="1728"/>
          </w:tcPr>
          <w:p>
            <w:pPr>
              <w:spacing w:line="324" w:lineRule="auto" w:after="40"/>
            </w:pPr>
            <w:r>
              <w:rPr>
                <w:sz w:val="20"/>
              </w:rPr>
            </w:r>
            <w:r>
              <w:rPr>
                <w:rFonts w:ascii="Times New Roman" w:hAnsi="Times New Roman" w:eastAsia="宋体"/>
                <w:b w:val="0"/>
                <w:sz w:val="20"/>
              </w:rPr>
              <w:t>11.4</w:t>
            </w:r>
          </w:p>
        </w:tc>
      </w:tr>
      <w:tr>
        <w:tc>
          <w:tcPr>
            <w:tcW w:type="dxa" w:w="1728"/>
          </w:tcPr>
          <w:p>
            <w:pPr>
              <w:spacing w:line="324" w:lineRule="auto" w:after="40"/>
            </w:pPr>
            <w:r>
              <w:rPr>
                <w:sz w:val="20"/>
              </w:rPr>
            </w:r>
            <w:r>
              <w:rPr>
                <w:rFonts w:ascii="Times New Roman" w:hAnsi="Times New Roman" w:eastAsia="宋体"/>
                <w:b w:val="0"/>
                <w:sz w:val="20"/>
              </w:rPr>
              <w:t>4</w:t>
            </w:r>
          </w:p>
        </w:tc>
        <w:tc>
          <w:tcPr>
            <w:tcW w:type="dxa" w:w="1728"/>
          </w:tcPr>
          <w:p>
            <w:pPr>
              <w:spacing w:line="324" w:lineRule="auto" w:after="40"/>
            </w:pPr>
            <w:r>
              <w:rPr>
                <w:sz w:val="20"/>
              </w:rPr>
            </w:r>
            <w:r>
              <w:rPr>
                <w:rFonts w:ascii="Times New Roman" w:hAnsi="Times New Roman" w:eastAsia="宋体"/>
                <w:b w:val="0"/>
                <w:sz w:val="20"/>
              </w:rPr>
              <w:t>99,574.6</w:t>
            </w:r>
          </w:p>
        </w:tc>
        <w:tc>
          <w:tcPr>
            <w:tcW w:type="dxa" w:w="1728"/>
          </w:tcPr>
          <w:p>
            <w:pPr>
              <w:spacing w:line="324" w:lineRule="auto" w:after="40"/>
            </w:pPr>
            <w:r>
              <w:rPr>
                <w:sz w:val="20"/>
              </w:rPr>
            </w:r>
            <w:r>
              <w:rPr>
                <w:rFonts w:ascii="Times New Roman" w:hAnsi="Times New Roman" w:eastAsia="宋体"/>
                <w:b w:val="0"/>
                <w:sz w:val="20"/>
              </w:rPr>
              <w:t>0.880</w:t>
            </w:r>
          </w:p>
        </w:tc>
        <w:tc>
          <w:tcPr>
            <w:tcW w:type="dxa" w:w="1728"/>
          </w:tcPr>
          <w:p>
            <w:pPr>
              <w:spacing w:line="324" w:lineRule="auto" w:after="40"/>
            </w:pPr>
            <w:r>
              <w:rPr>
                <w:sz w:val="20"/>
              </w:rPr>
            </w:r>
            <w:r>
              <w:rPr>
                <w:rFonts w:ascii="Times New Roman" w:hAnsi="Times New Roman" w:eastAsia="宋体"/>
                <w:b w:val="0"/>
                <w:sz w:val="20"/>
              </w:rPr>
              <w:t>0.800</w:t>
            </w:r>
          </w:p>
        </w:tc>
        <w:tc>
          <w:tcPr>
            <w:tcW w:type="dxa" w:w="1728"/>
          </w:tcPr>
          <w:p>
            <w:pPr>
              <w:spacing w:line="324" w:lineRule="auto" w:after="40"/>
            </w:pPr>
            <w:r>
              <w:rPr>
                <w:sz w:val="20"/>
              </w:rPr>
            </w:r>
            <w:r>
              <w:rPr>
                <w:rFonts w:ascii="Times New Roman" w:hAnsi="Times New Roman" w:eastAsia="宋体"/>
                <w:b w:val="0"/>
                <w:sz w:val="20"/>
              </w:rPr>
              <w:t>2.6</w:t>
            </w:r>
          </w:p>
        </w:tc>
      </w:tr>
      <w:tr>
        <w:tc>
          <w:tcPr>
            <w:tcW w:type="dxa" w:w="1728"/>
          </w:tcPr>
          <w:p>
            <w:pPr>
              <w:spacing w:line="324" w:lineRule="auto" w:after="40"/>
            </w:pPr>
            <w:r>
              <w:rPr>
                <w:sz w:val="20"/>
              </w:rPr>
            </w:r>
            <w:r>
              <w:rPr>
                <w:rFonts w:ascii="Times New Roman" w:hAnsi="Times New Roman" w:eastAsia="宋体"/>
                <w:b w:val="0"/>
                <w:sz w:val="20"/>
              </w:rPr>
              <w:t>5</w:t>
            </w:r>
          </w:p>
        </w:tc>
        <w:tc>
          <w:tcPr>
            <w:tcW w:type="dxa" w:w="1728"/>
          </w:tcPr>
          <w:p>
            <w:pPr>
              <w:spacing w:line="324" w:lineRule="auto" w:after="40"/>
            </w:pPr>
            <w:r>
              <w:rPr>
                <w:sz w:val="20"/>
              </w:rPr>
            </w:r>
            <w:r>
              <w:rPr>
                <w:rFonts w:ascii="Times New Roman" w:hAnsi="Times New Roman" w:eastAsia="宋体"/>
                <w:b w:val="0"/>
                <w:sz w:val="20"/>
              </w:rPr>
              <w:t>99,560.7</w:t>
            </w:r>
          </w:p>
        </w:tc>
        <w:tc>
          <w:tcPr>
            <w:tcW w:type="dxa" w:w="1728"/>
          </w:tcPr>
          <w:p>
            <w:pPr>
              <w:spacing w:line="324" w:lineRule="auto" w:after="40"/>
            </w:pPr>
            <w:r>
              <w:rPr>
                <w:sz w:val="20"/>
              </w:rPr>
            </w:r>
            <w:r>
              <w:rPr>
                <w:rFonts w:ascii="Times New Roman" w:hAnsi="Times New Roman" w:eastAsia="宋体"/>
                <w:b w:val="0"/>
                <w:sz w:val="20"/>
              </w:rPr>
              <w:t>0.861</w:t>
            </w:r>
          </w:p>
        </w:tc>
        <w:tc>
          <w:tcPr>
            <w:tcW w:type="dxa" w:w="1728"/>
          </w:tcPr>
          <w:p>
            <w:pPr>
              <w:spacing w:line="324" w:lineRule="auto" w:after="40"/>
            </w:pPr>
            <w:r>
              <w:rPr>
                <w:sz w:val="20"/>
              </w:rPr>
            </w:r>
            <w:r>
              <w:rPr>
                <w:rFonts w:ascii="Times New Roman" w:hAnsi="Times New Roman" w:eastAsia="宋体"/>
                <w:b w:val="0"/>
                <w:sz w:val="20"/>
              </w:rPr>
              <w:t>0.724</w:t>
            </w:r>
          </w:p>
        </w:tc>
        <w:tc>
          <w:tcPr>
            <w:tcW w:type="dxa" w:w="1728"/>
          </w:tcPr>
          <w:p>
            <w:pPr>
              <w:spacing w:line="324" w:lineRule="auto" w:after="40"/>
            </w:pPr>
            <w:r>
              <w:rPr>
                <w:sz w:val="20"/>
              </w:rPr>
            </w:r>
            <w:r>
              <w:rPr>
                <w:rFonts w:ascii="Times New Roman" w:hAnsi="Times New Roman" w:eastAsia="宋体"/>
                <w:b w:val="0"/>
                <w:sz w:val="20"/>
              </w:rPr>
              <w:t>1.0</w:t>
            </w:r>
          </w:p>
        </w:tc>
      </w:tr>
    </w:tbl>
    <w:p/>
    <w:p>
      <w:pPr>
        <w:spacing w:line="360" w:lineRule="auto"/>
      </w:pPr>
      <w:r>
        <w:rPr>
          <w:rFonts w:ascii="Times New Roman" w:hAnsi="Times New Roman" w:eastAsia="宋体"/>
          <w:b w:val="0"/>
          <w:sz w:val="21"/>
        </w:rPr>
        <w:t>*Panel B: three-class solution under joint rescoring.*</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4320"/>
        <w:gridCol w:w="4320"/>
      </w:tblGrid>
      <w:tr>
        <w:tc>
          <w:tcPr>
            <w:tcW w:type="dxa" w:w="4320"/>
            <w:tcBorders>
              <w:bottom w:val="single" w:sz="6" w:color="000000" w:space="0"/>
            </w:tcBorders>
          </w:tcPr>
          <w:p>
            <w:pPr>
              <w:spacing w:line="324" w:lineRule="auto" w:after="40"/>
            </w:pPr>
            <w:r>
              <w:rPr>
                <w:b/>
                <w:sz w:val="20"/>
              </w:rPr>
            </w:r>
            <w:r>
              <w:rPr>
                <w:rFonts w:ascii="Times New Roman" w:hAnsi="Times New Roman" w:eastAsia="宋体"/>
                <w:b/>
                <w:sz w:val="20"/>
              </w:rPr>
              <w:t>Item</w:t>
            </w:r>
          </w:p>
        </w:tc>
        <w:tc>
          <w:tcPr>
            <w:tcW w:type="dxa" w:w="4320"/>
            <w:tcBorders>
              <w:bottom w:val="single" w:sz="6" w:color="000000" w:space="0"/>
            </w:tcBorders>
          </w:tcPr>
          <w:p>
            <w:pPr>
              <w:spacing w:line="324" w:lineRule="auto" w:after="40"/>
            </w:pPr>
            <w:r>
              <w:rPr>
                <w:b/>
                <w:sz w:val="20"/>
              </w:rPr>
            </w:r>
            <w:r>
              <w:rPr>
                <w:rFonts w:ascii="Times New Roman" w:hAnsi="Times New Roman" w:eastAsia="宋体"/>
                <w:b/>
                <w:sz w:val="20"/>
              </w:rPr>
              <w:t>Result</w:t>
            </w:r>
          </w:p>
        </w:tc>
      </w:tr>
      <w:tr>
        <w:tc>
          <w:tcPr>
            <w:tcW w:type="dxa" w:w="4320"/>
          </w:tcPr>
          <w:p>
            <w:pPr>
              <w:spacing w:line="324" w:lineRule="auto" w:after="40"/>
            </w:pPr>
            <w:r>
              <w:rPr>
                <w:sz w:val="20"/>
              </w:rPr>
            </w:r>
            <w:r>
              <w:rPr>
                <w:rFonts w:ascii="Times New Roman" w:hAnsi="Times New Roman" w:eastAsia="宋体"/>
                <w:b w:val="0"/>
                <w:sz w:val="20"/>
              </w:rPr>
              <w:t>Class proportions (high/moderate/low)</w:t>
            </w:r>
          </w:p>
        </w:tc>
        <w:tc>
          <w:tcPr>
            <w:tcW w:type="dxa" w:w="4320"/>
          </w:tcPr>
          <w:p>
            <w:pPr>
              <w:spacing w:line="324" w:lineRule="auto" w:after="40"/>
            </w:pPr>
            <w:r>
              <w:rPr>
                <w:sz w:val="20"/>
              </w:rPr>
            </w:r>
            <w:r>
              <w:rPr>
                <w:rFonts w:ascii="Times New Roman" w:hAnsi="Times New Roman" w:eastAsia="宋体"/>
                <w:b w:val="0"/>
                <w:sz w:val="20"/>
              </w:rPr>
              <w:t>47.8% / 11.4% / 40.7%</w:t>
            </w:r>
          </w:p>
        </w:tc>
      </w:tr>
      <w:tr>
        <w:tc>
          <w:tcPr>
            <w:tcW w:type="dxa" w:w="4320"/>
          </w:tcPr>
          <w:p>
            <w:pPr>
              <w:spacing w:line="324" w:lineRule="auto" w:after="40"/>
            </w:pPr>
            <w:r>
              <w:rPr>
                <w:sz w:val="20"/>
              </w:rPr>
            </w:r>
            <w:r>
              <w:rPr>
                <w:rFonts w:ascii="Times New Roman" w:hAnsi="Times New Roman" w:eastAsia="宋体"/>
                <w:b w:val="0"/>
                <w:sz w:val="20"/>
              </w:rPr>
              <w:t>Participants re-assigned vs main scoring</w:t>
            </w:r>
          </w:p>
        </w:tc>
        <w:tc>
          <w:tcPr>
            <w:tcW w:type="dxa" w:w="4320"/>
          </w:tcPr>
          <w:p>
            <w:pPr>
              <w:spacing w:line="324" w:lineRule="auto" w:after="40"/>
            </w:pPr>
            <w:r>
              <w:rPr>
                <w:sz w:val="20"/>
              </w:rPr>
            </w:r>
            <w:r>
              <w:rPr>
                <w:rFonts w:ascii="Times New Roman" w:hAnsi="Times New Roman" w:eastAsia="宋体"/>
                <w:b w:val="0"/>
                <w:sz w:val="20"/>
              </w:rPr>
              <w:t>459 (9.9%)</w:t>
            </w:r>
          </w:p>
        </w:tc>
      </w:tr>
      <w:tr>
        <w:tc>
          <w:tcPr>
            <w:tcW w:type="dxa" w:w="4320"/>
          </w:tcPr>
          <w:p>
            <w:pPr>
              <w:spacing w:line="324" w:lineRule="auto" w:after="40"/>
            </w:pPr>
            <w:r>
              <w:rPr>
                <w:sz w:val="20"/>
              </w:rPr>
            </w:r>
            <w:r>
              <w:rPr>
                <w:rFonts w:ascii="Times New Roman" w:hAnsi="Times New Roman" w:eastAsia="宋体"/>
                <w:b w:val="0"/>
                <w:sz w:val="20"/>
              </w:rPr>
              <w:t>Moderate HR (95% CI), Model 3</w:t>
            </w:r>
          </w:p>
        </w:tc>
        <w:tc>
          <w:tcPr>
            <w:tcW w:type="dxa" w:w="4320"/>
          </w:tcPr>
          <w:p>
            <w:pPr>
              <w:spacing w:line="324" w:lineRule="auto" w:after="40"/>
            </w:pPr>
            <w:r>
              <w:rPr>
                <w:sz w:val="20"/>
              </w:rPr>
            </w:r>
            <w:r>
              <w:rPr>
                <w:rFonts w:ascii="Times New Roman" w:hAnsi="Times New Roman" w:eastAsia="宋体"/>
                <w:b w:val="0"/>
                <w:sz w:val="20"/>
              </w:rPr>
              <w:t>1.93 (1.44–2.59)</w:t>
            </w:r>
          </w:p>
        </w:tc>
      </w:tr>
      <w:tr>
        <w:tc>
          <w:tcPr>
            <w:tcW w:type="dxa" w:w="4320"/>
          </w:tcPr>
          <w:p>
            <w:pPr>
              <w:spacing w:line="324" w:lineRule="auto" w:after="40"/>
            </w:pPr>
            <w:r>
              <w:rPr>
                <w:sz w:val="20"/>
              </w:rPr>
            </w:r>
            <w:r>
              <w:rPr>
                <w:rFonts w:ascii="Times New Roman" w:hAnsi="Times New Roman" w:eastAsia="宋体"/>
                <w:b w:val="0"/>
                <w:sz w:val="20"/>
              </w:rPr>
              <w:t>Low HR (95% CI), Model 3</w:t>
            </w:r>
          </w:p>
        </w:tc>
        <w:tc>
          <w:tcPr>
            <w:tcW w:type="dxa" w:w="4320"/>
          </w:tcPr>
          <w:p>
            <w:pPr>
              <w:spacing w:line="324" w:lineRule="auto" w:after="40"/>
            </w:pPr>
            <w:r>
              <w:rPr>
                <w:sz w:val="20"/>
              </w:rPr>
            </w:r>
            <w:r>
              <w:rPr>
                <w:rFonts w:ascii="Times New Roman" w:hAnsi="Times New Roman" w:eastAsia="宋体"/>
                <w:b w:val="0"/>
                <w:sz w:val="20"/>
              </w:rPr>
              <w:t>3.79 (2.64–5.42)</w:t>
            </w:r>
          </w:p>
        </w:tc>
      </w:tr>
      <w:tr>
        <w:tc>
          <w:tcPr>
            <w:tcW w:type="dxa" w:w="4320"/>
          </w:tcPr>
          <w:p>
            <w:pPr>
              <w:spacing w:line="324" w:lineRule="auto" w:after="40"/>
            </w:pPr>
            <w:r>
              <w:rPr>
                <w:sz w:val="20"/>
              </w:rPr>
            </w:r>
            <w:r>
              <w:rPr>
                <w:rFonts w:ascii="Times New Roman" w:hAnsi="Times New Roman" w:eastAsia="宋体"/>
                <w:b w:val="0"/>
                <w:sz w:val="20"/>
              </w:rPr>
              <w:t>P for trend</w:t>
            </w:r>
          </w:p>
        </w:tc>
        <w:tc>
          <w:tcPr>
            <w:tcW w:type="dxa" w:w="4320"/>
          </w:tcPr>
          <w:p>
            <w:pPr>
              <w:spacing w:line="324" w:lineRule="auto" w:after="40"/>
            </w:pPr>
            <w:r>
              <w:rPr>
                <w:sz w:val="20"/>
              </w:rPr>
            </w:r>
            <w:r>
              <w:rPr>
                <w:rFonts w:ascii="Times New Roman" w:hAnsi="Times New Roman" w:eastAsia="宋体"/>
                <w:b w:val="0"/>
                <w:sz w:val="20"/>
              </w:rPr>
              <w:t>&lt;0.001</w:t>
            </w:r>
          </w:p>
        </w:tc>
      </w:tr>
    </w:tbl>
    <w:p/>
    <w:p>
      <w:pPr>
        <w:spacing w:line="360" w:lineRule="auto"/>
      </w:pPr>
      <w:r>
        <w:rPr>
          <w:rFonts w:ascii="Times New Roman" w:hAnsi="Times New Roman" w:eastAsia="宋体"/>
          <w:b w:val="0"/>
          <w:sz w:val="21"/>
        </w:rPr>
        <w:t>*Panel C: score agreement and trajectory cross-classification (adapted vs official rescoring).*</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728"/>
        <w:gridCol w:w="1728"/>
        <w:gridCol w:w="1728"/>
        <w:gridCol w:w="1728"/>
        <w:gridCol w:w="1728"/>
      </w:tblGrid>
      <w:tr>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Wave</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n</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Pearson r</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Spearman ρ</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Mean difference (adapted − official)</w:t>
            </w:r>
          </w:p>
        </w:tc>
      </w:tr>
      <w:tr>
        <w:tc>
          <w:tcPr>
            <w:tcW w:type="dxa" w:w="1728"/>
          </w:tcPr>
          <w:p>
            <w:pPr>
              <w:spacing w:line="324" w:lineRule="auto" w:after="40"/>
            </w:pPr>
            <w:r>
              <w:rPr>
                <w:sz w:val="20"/>
              </w:rPr>
            </w:r>
            <w:r>
              <w:rPr>
                <w:rFonts w:ascii="Times New Roman" w:hAnsi="Times New Roman" w:eastAsia="宋体"/>
                <w:b w:val="0"/>
                <w:sz w:val="20"/>
              </w:rPr>
              <w:t>2011</w:t>
            </w:r>
          </w:p>
        </w:tc>
        <w:tc>
          <w:tcPr>
            <w:tcW w:type="dxa" w:w="1728"/>
          </w:tcPr>
          <w:p>
            <w:pPr>
              <w:spacing w:line="324" w:lineRule="auto" w:after="40"/>
            </w:pPr>
            <w:r>
              <w:rPr>
                <w:sz w:val="20"/>
              </w:rPr>
            </w:r>
            <w:r>
              <w:rPr>
                <w:rFonts w:ascii="Times New Roman" w:hAnsi="Times New Roman" w:eastAsia="宋体"/>
                <w:b w:val="0"/>
                <w:sz w:val="20"/>
              </w:rPr>
              <w:t>11,825</w:t>
            </w:r>
          </w:p>
        </w:tc>
        <w:tc>
          <w:tcPr>
            <w:tcW w:type="dxa" w:w="1728"/>
          </w:tcPr>
          <w:p>
            <w:pPr>
              <w:spacing w:line="324" w:lineRule="auto" w:after="40"/>
            </w:pPr>
            <w:r>
              <w:rPr>
                <w:sz w:val="20"/>
              </w:rPr>
            </w:r>
            <w:r>
              <w:rPr>
                <w:rFonts w:ascii="Times New Roman" w:hAnsi="Times New Roman" w:eastAsia="宋体"/>
                <w:b w:val="0"/>
                <w:sz w:val="20"/>
              </w:rPr>
              <w:t>0.951</w:t>
            </w:r>
          </w:p>
        </w:tc>
        <w:tc>
          <w:tcPr>
            <w:tcW w:type="dxa" w:w="1728"/>
          </w:tcPr>
          <w:p>
            <w:pPr>
              <w:spacing w:line="324" w:lineRule="auto" w:after="40"/>
            </w:pPr>
            <w:r>
              <w:rPr>
                <w:sz w:val="20"/>
              </w:rPr>
            </w:r>
            <w:r>
              <w:rPr>
                <w:rFonts w:ascii="Times New Roman" w:hAnsi="Times New Roman" w:eastAsia="宋体"/>
                <w:b w:val="0"/>
                <w:sz w:val="20"/>
              </w:rPr>
              <w:t>0.944</w:t>
            </w:r>
          </w:p>
        </w:tc>
        <w:tc>
          <w:tcPr>
            <w:tcW w:type="dxa" w:w="1728"/>
          </w:tcPr>
          <w:p>
            <w:pPr>
              <w:spacing w:line="324" w:lineRule="auto" w:after="40"/>
            </w:pPr>
            <w:r>
              <w:rPr>
                <w:sz w:val="20"/>
              </w:rPr>
            </w:r>
            <w:r>
              <w:rPr>
                <w:rFonts w:ascii="Times New Roman" w:hAnsi="Times New Roman" w:eastAsia="宋体"/>
                <w:b w:val="0"/>
                <w:sz w:val="20"/>
              </w:rPr>
              <w:t>3.23</w:t>
            </w:r>
          </w:p>
        </w:tc>
      </w:tr>
      <w:tr>
        <w:tc>
          <w:tcPr>
            <w:tcW w:type="dxa" w:w="1728"/>
          </w:tcPr>
          <w:p>
            <w:pPr>
              <w:spacing w:line="324" w:lineRule="auto" w:after="40"/>
            </w:pPr>
            <w:r>
              <w:rPr>
                <w:sz w:val="20"/>
              </w:rPr>
            </w:r>
            <w:r>
              <w:rPr>
                <w:rFonts w:ascii="Times New Roman" w:hAnsi="Times New Roman" w:eastAsia="宋体"/>
                <w:b w:val="0"/>
                <w:sz w:val="20"/>
              </w:rPr>
              <w:t>2013</w:t>
            </w:r>
          </w:p>
        </w:tc>
        <w:tc>
          <w:tcPr>
            <w:tcW w:type="dxa" w:w="1728"/>
          </w:tcPr>
          <w:p>
            <w:pPr>
              <w:spacing w:line="324" w:lineRule="auto" w:after="40"/>
            </w:pPr>
            <w:r>
              <w:rPr>
                <w:sz w:val="20"/>
              </w:rPr>
            </w:r>
            <w:r>
              <w:rPr>
                <w:rFonts w:ascii="Times New Roman" w:hAnsi="Times New Roman" w:eastAsia="宋体"/>
                <w:b w:val="0"/>
                <w:sz w:val="20"/>
              </w:rPr>
              <w:t>12,053</w:t>
            </w:r>
          </w:p>
        </w:tc>
        <w:tc>
          <w:tcPr>
            <w:tcW w:type="dxa" w:w="1728"/>
          </w:tcPr>
          <w:p>
            <w:pPr>
              <w:spacing w:line="324" w:lineRule="auto" w:after="40"/>
            </w:pPr>
            <w:r>
              <w:rPr>
                <w:sz w:val="20"/>
              </w:rPr>
            </w:r>
            <w:r>
              <w:rPr>
                <w:rFonts w:ascii="Times New Roman" w:hAnsi="Times New Roman" w:eastAsia="宋体"/>
                <w:b w:val="0"/>
                <w:sz w:val="20"/>
              </w:rPr>
              <w:t>0.978</w:t>
            </w:r>
          </w:p>
        </w:tc>
        <w:tc>
          <w:tcPr>
            <w:tcW w:type="dxa" w:w="1728"/>
          </w:tcPr>
          <w:p>
            <w:pPr>
              <w:spacing w:line="324" w:lineRule="auto" w:after="40"/>
            </w:pPr>
            <w:r>
              <w:rPr>
                <w:sz w:val="20"/>
              </w:rPr>
            </w:r>
            <w:r>
              <w:rPr>
                <w:rFonts w:ascii="Times New Roman" w:hAnsi="Times New Roman" w:eastAsia="宋体"/>
                <w:b w:val="0"/>
                <w:sz w:val="20"/>
              </w:rPr>
              <w:t>0.977</w:t>
            </w:r>
          </w:p>
        </w:tc>
        <w:tc>
          <w:tcPr>
            <w:tcW w:type="dxa" w:w="1728"/>
          </w:tcPr>
          <w:p>
            <w:pPr>
              <w:spacing w:line="324" w:lineRule="auto" w:after="40"/>
            </w:pPr>
            <w:r>
              <w:rPr>
                <w:sz w:val="20"/>
              </w:rPr>
            </w:r>
            <w:r>
              <w:rPr>
                <w:rFonts w:ascii="Times New Roman" w:hAnsi="Times New Roman" w:eastAsia="宋体"/>
                <w:b w:val="0"/>
                <w:sz w:val="20"/>
              </w:rPr>
              <w:t>2.56</w:t>
            </w:r>
          </w:p>
        </w:tc>
      </w:tr>
      <w:tr>
        <w:tc>
          <w:tcPr>
            <w:tcW w:type="dxa" w:w="1728"/>
          </w:tcPr>
          <w:p>
            <w:pPr>
              <w:spacing w:line="324" w:lineRule="auto" w:after="40"/>
            </w:pPr>
            <w:r>
              <w:rPr>
                <w:sz w:val="20"/>
              </w:rPr>
            </w:r>
            <w:r>
              <w:rPr>
                <w:rFonts w:ascii="Times New Roman" w:hAnsi="Times New Roman" w:eastAsia="宋体"/>
                <w:b w:val="0"/>
                <w:sz w:val="20"/>
              </w:rPr>
              <w:t>2015</w:t>
            </w:r>
          </w:p>
        </w:tc>
        <w:tc>
          <w:tcPr>
            <w:tcW w:type="dxa" w:w="1728"/>
          </w:tcPr>
          <w:p>
            <w:pPr>
              <w:spacing w:line="324" w:lineRule="auto" w:after="40"/>
            </w:pPr>
            <w:r>
              <w:rPr>
                <w:sz w:val="20"/>
              </w:rPr>
            </w:r>
            <w:r>
              <w:rPr>
                <w:rFonts w:ascii="Times New Roman" w:hAnsi="Times New Roman" w:eastAsia="宋体"/>
                <w:b w:val="0"/>
                <w:sz w:val="20"/>
              </w:rPr>
              <w:t>14,116</w:t>
            </w:r>
          </w:p>
        </w:tc>
        <w:tc>
          <w:tcPr>
            <w:tcW w:type="dxa" w:w="1728"/>
          </w:tcPr>
          <w:p>
            <w:pPr>
              <w:spacing w:line="324" w:lineRule="auto" w:after="40"/>
            </w:pPr>
            <w:r>
              <w:rPr>
                <w:sz w:val="20"/>
              </w:rPr>
            </w:r>
            <w:r>
              <w:rPr>
                <w:rFonts w:ascii="Times New Roman" w:hAnsi="Times New Roman" w:eastAsia="宋体"/>
                <w:b w:val="0"/>
                <w:sz w:val="20"/>
              </w:rPr>
              <w:t>0.976</w:t>
            </w:r>
          </w:p>
        </w:tc>
        <w:tc>
          <w:tcPr>
            <w:tcW w:type="dxa" w:w="1728"/>
          </w:tcPr>
          <w:p>
            <w:pPr>
              <w:spacing w:line="324" w:lineRule="auto" w:after="40"/>
            </w:pPr>
            <w:r>
              <w:rPr>
                <w:sz w:val="20"/>
              </w:rPr>
            </w:r>
            <w:r>
              <w:rPr>
                <w:rFonts w:ascii="Times New Roman" w:hAnsi="Times New Roman" w:eastAsia="宋体"/>
                <w:b w:val="0"/>
                <w:sz w:val="20"/>
              </w:rPr>
              <w:t>0.974</w:t>
            </w:r>
          </w:p>
        </w:tc>
        <w:tc>
          <w:tcPr>
            <w:tcW w:type="dxa" w:w="1728"/>
          </w:tcPr>
          <w:p>
            <w:pPr>
              <w:spacing w:line="324" w:lineRule="auto" w:after="40"/>
            </w:pPr>
            <w:r>
              <w:rPr>
                <w:sz w:val="20"/>
              </w:rPr>
            </w:r>
            <w:r>
              <w:rPr>
                <w:rFonts w:ascii="Times New Roman" w:hAnsi="Times New Roman" w:eastAsia="宋体"/>
                <w:b w:val="0"/>
                <w:sz w:val="20"/>
              </w:rPr>
              <w:t>2.67</w:t>
            </w:r>
          </w:p>
        </w:tc>
      </w:tr>
    </w:tbl>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2160"/>
        <w:gridCol w:w="2160"/>
        <w:gridCol w:w="2160"/>
        <w:gridCol w:w="2160"/>
      </w:tblGrid>
      <w:tr>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Trajectory (adapted)</w:t>
            </w:r>
          </w:p>
        </w:tc>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Official: high</w:t>
            </w:r>
          </w:p>
        </w:tc>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Official: moderate</w:t>
            </w:r>
          </w:p>
        </w:tc>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Official: low</w:t>
            </w:r>
          </w:p>
        </w:tc>
      </w:tr>
      <w:tr>
        <w:tc>
          <w:tcPr>
            <w:tcW w:type="dxa" w:w="2160"/>
          </w:tcPr>
          <w:p>
            <w:pPr>
              <w:spacing w:line="324" w:lineRule="auto" w:after="40"/>
            </w:pPr>
            <w:r>
              <w:rPr>
                <w:sz w:val="20"/>
              </w:rPr>
            </w:r>
            <w:r>
              <w:rPr>
                <w:rFonts w:ascii="Times New Roman" w:hAnsi="Times New Roman" w:eastAsia="宋体"/>
                <w:b w:val="0"/>
                <w:sz w:val="20"/>
              </w:rPr>
              <w:t>Persistent high</w:t>
            </w:r>
          </w:p>
        </w:tc>
        <w:tc>
          <w:tcPr>
            <w:tcW w:type="dxa" w:w="2160"/>
          </w:tcPr>
          <w:p>
            <w:pPr>
              <w:spacing w:line="324" w:lineRule="auto" w:after="40"/>
            </w:pPr>
            <w:r>
              <w:rPr>
                <w:sz w:val="20"/>
              </w:rPr>
            </w:r>
            <w:r>
              <w:rPr>
                <w:rFonts w:ascii="Times New Roman" w:hAnsi="Times New Roman" w:eastAsia="宋体"/>
                <w:b w:val="0"/>
                <w:sz w:val="20"/>
              </w:rPr>
              <w:t>1,805</w:t>
            </w:r>
          </w:p>
        </w:tc>
        <w:tc>
          <w:tcPr>
            <w:tcW w:type="dxa" w:w="2160"/>
          </w:tcPr>
          <w:p>
            <w:pPr>
              <w:spacing w:line="324" w:lineRule="auto" w:after="40"/>
            </w:pPr>
            <w:r>
              <w:rPr>
                <w:sz w:val="20"/>
              </w:rPr>
            </w:r>
            <w:r>
              <w:rPr>
                <w:rFonts w:ascii="Times New Roman" w:hAnsi="Times New Roman" w:eastAsia="宋体"/>
                <w:b w:val="0"/>
                <w:sz w:val="20"/>
              </w:rPr>
              <w:t>243</w:t>
            </w:r>
          </w:p>
        </w:tc>
        <w:tc>
          <w:tcPr>
            <w:tcW w:type="dxa" w:w="2160"/>
          </w:tcPr>
          <w:p>
            <w:pPr>
              <w:spacing w:line="324" w:lineRule="auto" w:after="40"/>
            </w:pPr>
            <w:r>
              <w:rPr>
                <w:sz w:val="20"/>
              </w:rPr>
            </w:r>
            <w:r>
              <w:rPr>
                <w:rFonts w:ascii="Times New Roman" w:hAnsi="Times New Roman" w:eastAsia="宋体"/>
                <w:b w:val="0"/>
                <w:sz w:val="20"/>
              </w:rPr>
              <w:t>0</w:t>
            </w:r>
          </w:p>
        </w:tc>
      </w:tr>
      <w:tr>
        <w:tc>
          <w:tcPr>
            <w:tcW w:type="dxa" w:w="2160"/>
          </w:tcPr>
          <w:p>
            <w:pPr>
              <w:spacing w:line="324" w:lineRule="auto" w:after="40"/>
            </w:pPr>
            <w:r>
              <w:rPr>
                <w:sz w:val="20"/>
              </w:rPr>
            </w:r>
            <w:r>
              <w:rPr>
                <w:rFonts w:ascii="Times New Roman" w:hAnsi="Times New Roman" w:eastAsia="宋体"/>
                <w:b w:val="0"/>
                <w:sz w:val="20"/>
              </w:rPr>
              <w:t>Persistent moderate</w:t>
            </w:r>
          </w:p>
        </w:tc>
        <w:tc>
          <w:tcPr>
            <w:tcW w:type="dxa" w:w="2160"/>
          </w:tcPr>
          <w:p>
            <w:pPr>
              <w:spacing w:line="324" w:lineRule="auto" w:after="40"/>
            </w:pPr>
            <w:r>
              <w:rPr>
                <w:sz w:val="20"/>
              </w:rPr>
            </w:r>
            <w:r>
              <w:rPr>
                <w:rFonts w:ascii="Times New Roman" w:hAnsi="Times New Roman" w:eastAsia="宋体"/>
                <w:b w:val="0"/>
                <w:sz w:val="20"/>
              </w:rPr>
              <w:t>78</w:t>
            </w:r>
          </w:p>
        </w:tc>
        <w:tc>
          <w:tcPr>
            <w:tcW w:type="dxa" w:w="2160"/>
          </w:tcPr>
          <w:p>
            <w:pPr>
              <w:spacing w:line="324" w:lineRule="auto" w:after="40"/>
            </w:pPr>
            <w:r>
              <w:rPr>
                <w:sz w:val="20"/>
              </w:rPr>
            </w:r>
            <w:r>
              <w:rPr>
                <w:rFonts w:ascii="Times New Roman" w:hAnsi="Times New Roman" w:eastAsia="宋体"/>
                <w:b w:val="0"/>
                <w:sz w:val="20"/>
              </w:rPr>
              <w:t>1,919</w:t>
            </w:r>
          </w:p>
        </w:tc>
        <w:tc>
          <w:tcPr>
            <w:tcW w:type="dxa" w:w="2160"/>
          </w:tcPr>
          <w:p>
            <w:pPr>
              <w:spacing w:line="324" w:lineRule="auto" w:after="40"/>
            </w:pPr>
            <w:r>
              <w:rPr>
                <w:sz w:val="20"/>
              </w:rPr>
            </w:r>
            <w:r>
              <w:rPr>
                <w:rFonts w:ascii="Times New Roman" w:hAnsi="Times New Roman" w:eastAsia="宋体"/>
                <w:b w:val="0"/>
                <w:sz w:val="20"/>
              </w:rPr>
              <w:t>87</w:t>
            </w:r>
          </w:p>
        </w:tc>
      </w:tr>
      <w:tr>
        <w:tc>
          <w:tcPr>
            <w:tcW w:type="dxa" w:w="2160"/>
          </w:tcPr>
          <w:p>
            <w:pPr>
              <w:spacing w:line="324" w:lineRule="auto" w:after="40"/>
            </w:pPr>
            <w:r>
              <w:rPr>
                <w:sz w:val="20"/>
              </w:rPr>
            </w:r>
            <w:r>
              <w:rPr>
                <w:rFonts w:ascii="Times New Roman" w:hAnsi="Times New Roman" w:eastAsia="宋体"/>
                <w:b w:val="0"/>
                <w:sz w:val="20"/>
              </w:rPr>
              <w:t>Persistent low</w:t>
            </w:r>
          </w:p>
        </w:tc>
        <w:tc>
          <w:tcPr>
            <w:tcW w:type="dxa" w:w="2160"/>
          </w:tcPr>
          <w:p>
            <w:pPr>
              <w:spacing w:line="324" w:lineRule="auto" w:after="40"/>
            </w:pPr>
            <w:r>
              <w:rPr>
                <w:sz w:val="20"/>
              </w:rPr>
            </w:r>
            <w:r>
              <w:rPr>
                <w:rFonts w:ascii="Times New Roman" w:hAnsi="Times New Roman" w:eastAsia="宋体"/>
                <w:b w:val="0"/>
                <w:sz w:val="20"/>
              </w:rPr>
              <w:t>0</w:t>
            </w:r>
          </w:p>
        </w:tc>
        <w:tc>
          <w:tcPr>
            <w:tcW w:type="dxa" w:w="2160"/>
          </w:tcPr>
          <w:p>
            <w:pPr>
              <w:spacing w:line="324" w:lineRule="auto" w:after="40"/>
            </w:pPr>
            <w:r>
              <w:rPr>
                <w:sz w:val="20"/>
              </w:rPr>
            </w:r>
            <w:r>
              <w:rPr>
                <w:rFonts w:ascii="Times New Roman" w:hAnsi="Times New Roman" w:eastAsia="宋体"/>
                <w:b w:val="0"/>
                <w:sz w:val="20"/>
              </w:rPr>
              <w:t>51</w:t>
            </w:r>
          </w:p>
        </w:tc>
        <w:tc>
          <w:tcPr>
            <w:tcW w:type="dxa" w:w="2160"/>
          </w:tcPr>
          <w:p>
            <w:pPr>
              <w:spacing w:line="324" w:lineRule="auto" w:after="40"/>
            </w:pPr>
            <w:r>
              <w:rPr>
                <w:sz w:val="20"/>
              </w:rPr>
            </w:r>
            <w:r>
              <w:rPr>
                <w:rFonts w:ascii="Times New Roman" w:hAnsi="Times New Roman" w:eastAsia="宋体"/>
                <w:b w:val="0"/>
                <w:sz w:val="20"/>
              </w:rPr>
              <w:t>442</w:t>
            </w:r>
          </w:p>
        </w:tc>
      </w:tr>
    </w:tbl>
    <w:p/>
    <w:p>
      <w:pPr>
        <w:spacing w:line="360" w:lineRule="auto"/>
      </w:pPr>
      <w:r>
        <w:rPr>
          <w:rFonts w:ascii="Times New Roman" w:hAnsi="Times New Roman" w:eastAsia="宋体"/>
          <w:b w:val="0"/>
          <w:sz w:val="21"/>
        </w:rPr>
        <w:t>Agreement 90.1%; Cohen κ = 0.832; 459 (9.9%) re-assigned.</w:t>
      </w:r>
    </w:p>
    <w:p>
      <w:pPr>
        <w:spacing w:line="360" w:lineRule="auto"/>
      </w:pPr>
      <w:r>
        <w:rPr>
          <w:rFonts w:ascii="Times New Roman" w:hAnsi="Times New Roman" w:eastAsia="宋体"/>
          <w:b w:val="0"/>
          <w:sz w:val="21"/>
        </w:rPr>
        <w:t xml:space="preserve">Note: Under the official (stricter) nicotine and sleep thresholds, the score distribution shifts downward (larger low-scoring class), but the pre-specified class-selection rule again selects the three-class solution (four- and five-class minimum class proportions 2.6% and 1.0%), and the fully adjusted estimates are essentially unchanged from the primary analysis (HR 1.90/3.75). However, the class composition changes materially (moderate class 45.1% → 11.4%; low class 10.7% → 40.7%): S15 therefore demonstrates </w:t>
      </w:r>
      <w:r>
        <w:rPr>
          <w:rFonts w:ascii="Times New Roman" w:hAnsi="Times New Roman" w:eastAsia="宋体"/>
          <w:b/>
          <w:sz w:val="21"/>
        </w:rPr>
        <w:t>robustness of the association</w:t>
      </w:r>
      <w:r>
        <w:rPr>
          <w:rFonts w:ascii="Times New Roman" w:hAnsi="Times New Roman" w:eastAsia="宋体"/>
          <w:b w:val="0"/>
          <w:sz w:val="21"/>
        </w:rPr>
        <w:t xml:space="preserve"> across scoring variants, not interchangeability of the classes, and the "persistent moderate" stratum does not denote the same population construct under the two scorings.</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15. Minimum detectable subgroup interaction effect sizes (two-sided α=0.05, 80% power).</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2880"/>
        <w:gridCol w:w="2880"/>
        <w:gridCol w:w="2880"/>
      </w:tblGrid>
      <w:tr>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Subgroup (contrast)</w:t>
            </w:r>
          </w:p>
        </w:tc>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Events (ref-high / ref-low / other-high / other-low)</w:t>
            </w:r>
          </w:p>
        </w:tc>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Minimum detectable interaction (ratio of HRs)</w:t>
            </w:r>
          </w:p>
        </w:tc>
      </w:tr>
      <w:tr>
        <w:tc>
          <w:tcPr>
            <w:tcW w:type="dxa" w:w="2880"/>
          </w:tcPr>
          <w:p>
            <w:pPr>
              <w:spacing w:line="324" w:lineRule="auto" w:after="40"/>
            </w:pPr>
            <w:r>
              <w:rPr>
                <w:sz w:val="20"/>
              </w:rPr>
            </w:r>
            <w:r>
              <w:rPr>
                <w:rFonts w:ascii="Times New Roman" w:hAnsi="Times New Roman" w:eastAsia="宋体"/>
                <w:b w:val="0"/>
                <w:sz w:val="20"/>
              </w:rPr>
              <w:t>Sex (women vs men)</w:t>
            </w:r>
          </w:p>
        </w:tc>
        <w:tc>
          <w:tcPr>
            <w:tcW w:type="dxa" w:w="2880"/>
          </w:tcPr>
          <w:p>
            <w:pPr>
              <w:spacing w:line="324" w:lineRule="auto" w:after="40"/>
            </w:pPr>
            <w:r>
              <w:rPr>
                <w:sz w:val="20"/>
              </w:rPr>
            </w:r>
            <w:r>
              <w:rPr>
                <w:rFonts w:ascii="Times New Roman" w:hAnsi="Times New Roman" w:eastAsia="宋体"/>
                <w:b w:val="0"/>
                <w:sz w:val="20"/>
              </w:rPr>
              <w:t>56 / 34 / 34 / 36</w:t>
            </w:r>
          </w:p>
        </w:tc>
        <w:tc>
          <w:tcPr>
            <w:tcW w:type="dxa" w:w="2880"/>
          </w:tcPr>
          <w:p>
            <w:pPr>
              <w:spacing w:line="324" w:lineRule="auto" w:after="40"/>
            </w:pPr>
            <w:r>
              <w:rPr>
                <w:sz w:val="20"/>
              </w:rPr>
            </w:r>
            <w:r>
              <w:rPr>
                <w:rFonts w:ascii="Times New Roman" w:hAnsi="Times New Roman" w:eastAsia="宋体"/>
                <w:b w:val="0"/>
                <w:sz w:val="20"/>
              </w:rPr>
              <w:t>2.47</w:t>
            </w:r>
          </w:p>
        </w:tc>
      </w:tr>
      <w:tr>
        <w:tc>
          <w:tcPr>
            <w:tcW w:type="dxa" w:w="2880"/>
          </w:tcPr>
          <w:p>
            <w:pPr>
              <w:spacing w:line="324" w:lineRule="auto" w:after="40"/>
            </w:pPr>
            <w:r>
              <w:rPr>
                <w:sz w:val="20"/>
              </w:rPr>
            </w:r>
            <w:r>
              <w:rPr>
                <w:rFonts w:ascii="Times New Roman" w:hAnsi="Times New Roman" w:eastAsia="宋体"/>
                <w:b w:val="0"/>
                <w:sz w:val="20"/>
              </w:rPr>
              <w:t>Age group (45–59 vs 60+)</w:t>
            </w:r>
          </w:p>
        </w:tc>
        <w:tc>
          <w:tcPr>
            <w:tcW w:type="dxa" w:w="2880"/>
          </w:tcPr>
          <w:p>
            <w:pPr>
              <w:spacing w:line="324" w:lineRule="auto" w:after="40"/>
            </w:pPr>
            <w:r>
              <w:rPr>
                <w:sz w:val="20"/>
              </w:rPr>
            </w:r>
            <w:r>
              <w:rPr>
                <w:rFonts w:ascii="Times New Roman" w:hAnsi="Times New Roman" w:eastAsia="宋体"/>
                <w:b w:val="0"/>
                <w:sz w:val="20"/>
              </w:rPr>
              <w:t>46 / 31 / 44 / 39</w:t>
            </w:r>
          </w:p>
        </w:tc>
        <w:tc>
          <w:tcPr>
            <w:tcW w:type="dxa" w:w="2880"/>
          </w:tcPr>
          <w:p>
            <w:pPr>
              <w:spacing w:line="324" w:lineRule="auto" w:after="40"/>
            </w:pPr>
            <w:r>
              <w:rPr>
                <w:sz w:val="20"/>
              </w:rPr>
            </w:r>
            <w:r>
              <w:rPr>
                <w:rFonts w:ascii="Times New Roman" w:hAnsi="Times New Roman" w:eastAsia="宋体"/>
                <w:b w:val="0"/>
                <w:sz w:val="20"/>
              </w:rPr>
              <w:t>2.45</w:t>
            </w:r>
          </w:p>
        </w:tc>
      </w:tr>
      <w:tr>
        <w:tc>
          <w:tcPr>
            <w:tcW w:type="dxa" w:w="2880"/>
          </w:tcPr>
          <w:p>
            <w:pPr>
              <w:spacing w:line="324" w:lineRule="auto" w:after="40"/>
            </w:pPr>
            <w:r>
              <w:rPr>
                <w:sz w:val="20"/>
              </w:rPr>
            </w:r>
            <w:r>
              <w:rPr>
                <w:rFonts w:ascii="Times New Roman" w:hAnsi="Times New Roman" w:eastAsia="宋体"/>
                <w:b w:val="0"/>
                <w:sz w:val="20"/>
              </w:rPr>
              <w:t>Residence (rural vs urban)</w:t>
            </w:r>
          </w:p>
        </w:tc>
        <w:tc>
          <w:tcPr>
            <w:tcW w:type="dxa" w:w="2880"/>
          </w:tcPr>
          <w:p>
            <w:pPr>
              <w:spacing w:line="324" w:lineRule="auto" w:after="40"/>
            </w:pPr>
            <w:r>
              <w:rPr>
                <w:sz w:val="20"/>
              </w:rPr>
            </w:r>
            <w:r>
              <w:rPr>
                <w:rFonts w:ascii="Times New Roman" w:hAnsi="Times New Roman" w:eastAsia="宋体"/>
                <w:b w:val="0"/>
                <w:sz w:val="20"/>
              </w:rPr>
              <w:t>77 / 50 / 13 / 20</w:t>
            </w:r>
          </w:p>
        </w:tc>
        <w:tc>
          <w:tcPr>
            <w:tcW w:type="dxa" w:w="2880"/>
          </w:tcPr>
          <w:p>
            <w:pPr>
              <w:spacing w:line="324" w:lineRule="auto" w:after="40"/>
            </w:pPr>
            <w:r>
              <w:rPr>
                <w:sz w:val="20"/>
              </w:rPr>
            </w:r>
            <w:r>
              <w:rPr>
                <w:rFonts w:ascii="Times New Roman" w:hAnsi="Times New Roman" w:eastAsia="宋体"/>
                <w:b w:val="0"/>
                <w:sz w:val="20"/>
              </w:rPr>
              <w:t>3.07</w:t>
            </w:r>
          </w:p>
        </w:tc>
      </w:tr>
    </w:tbl>
    <w:p/>
    <w:p>
      <w:pPr>
        <w:spacing w:line="360" w:lineRule="auto"/>
      </w:pPr>
      <w:r>
        <w:rPr>
          <w:rFonts w:ascii="Times New Roman" w:hAnsi="Times New Roman" w:eastAsia="宋体"/>
          <w:b w:val="0"/>
          <w:sz w:val="21"/>
        </w:rPr>
        <w:t>Note: Cell events are for persistent high vs persistent low within subgroup levels; Var(log HR_interaction) ≈ Σ(1/E_cell); MDE = exp((z_(0.975)+z_(0.80)) × √Var). With 330 events, only interaction effect sizes of approximately ≥2.5-fold (ratio of subgroup HRs) were detectable with 80% power; all subgroup analyses were therefore exploratory.</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16. Component-contribution decomposition: attenuation of the trajectory–CVM association when baseline (2011) component scores are added to Model 3 (component-complete sample, n=1,200; 278-event complete-case subset with all seven baseline components non-missing).</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728"/>
        <w:gridCol w:w="1728"/>
        <w:gridCol w:w="1728"/>
        <w:gridCol w:w="1728"/>
        <w:gridCol w:w="1728"/>
      </w:tblGrid>
      <w:tr>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Model</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Component HR (per 10 points)</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Low HR (95% CI)</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Moderate HR (95% CI)</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Attenuation of low-group log-HR</w:t>
            </w:r>
          </w:p>
        </w:tc>
      </w:tr>
      <w:tr>
        <w:tc>
          <w:tcPr>
            <w:tcW w:type="dxa" w:w="1728"/>
          </w:tcPr>
          <w:p>
            <w:pPr>
              <w:spacing w:line="324" w:lineRule="auto" w:after="40"/>
            </w:pPr>
            <w:r>
              <w:rPr>
                <w:sz w:val="20"/>
              </w:rPr>
            </w:r>
            <w:r>
              <w:rPr>
                <w:rFonts w:ascii="Times New Roman" w:hAnsi="Times New Roman" w:eastAsia="宋体"/>
                <w:b w:val="0"/>
                <w:sz w:val="20"/>
              </w:rPr>
              <w:t>Base (trajectory + covariates)</w:t>
            </w:r>
          </w:p>
        </w:tc>
        <w:tc>
          <w:tcPr>
            <w:tcW w:type="dxa" w:w="1728"/>
          </w:tcPr>
          <w:p>
            <w:pPr>
              <w:spacing w:line="324" w:lineRule="auto" w:after="40"/>
            </w:pPr>
            <w:r>
              <w:rPr>
                <w:sz w:val="20"/>
              </w:rPr>
            </w:r>
            <w:r>
              <w:rPr>
                <w:rFonts w:ascii="Times New Roman" w:hAnsi="Times New Roman" w:eastAsia="宋体"/>
                <w:b w:val="0"/>
                <w:sz w:val="20"/>
              </w:rPr>
              <w:t>—</w:t>
            </w:r>
          </w:p>
        </w:tc>
        <w:tc>
          <w:tcPr>
            <w:tcW w:type="dxa" w:w="1728"/>
          </w:tcPr>
          <w:p>
            <w:pPr>
              <w:spacing w:line="324" w:lineRule="auto" w:after="40"/>
            </w:pPr>
            <w:r>
              <w:rPr>
                <w:sz w:val="20"/>
              </w:rPr>
            </w:r>
            <w:r>
              <w:rPr>
                <w:rFonts w:ascii="Times New Roman" w:hAnsi="Times New Roman" w:eastAsia="宋体"/>
                <w:b w:val="0"/>
                <w:sz w:val="20"/>
              </w:rPr>
              <w:t>4.34 (2.38–7.93)</w:t>
            </w:r>
          </w:p>
        </w:tc>
        <w:tc>
          <w:tcPr>
            <w:tcW w:type="dxa" w:w="1728"/>
          </w:tcPr>
          <w:p>
            <w:pPr>
              <w:spacing w:line="324" w:lineRule="auto" w:after="40"/>
            </w:pPr>
            <w:r>
              <w:rPr>
                <w:sz w:val="20"/>
              </w:rPr>
            </w:r>
            <w:r>
              <w:rPr>
                <w:rFonts w:ascii="Times New Roman" w:hAnsi="Times New Roman" w:eastAsia="宋体"/>
                <w:b w:val="0"/>
                <w:sz w:val="20"/>
              </w:rPr>
              <w:t>1.65 (1.00–2.70)</w:t>
            </w:r>
          </w:p>
        </w:tc>
        <w:tc>
          <w:tcPr>
            <w:tcW w:type="dxa" w:w="1728"/>
          </w:tcPr>
          <w:p>
            <w:pPr>
              <w:spacing w:line="324" w:lineRule="auto" w:after="40"/>
            </w:pPr>
            <w:r>
              <w:rPr>
                <w:sz w:val="20"/>
              </w:rPr>
            </w:r>
            <w:r>
              <w:rPr>
                <w:rFonts w:ascii="Times New Roman" w:hAnsi="Times New Roman" w:eastAsia="宋体"/>
                <w:b w:val="0"/>
                <w:sz w:val="20"/>
              </w:rPr>
              <w:t>—</w:t>
            </w:r>
          </w:p>
        </w:tc>
      </w:tr>
      <w:tr>
        <w:tc>
          <w:tcPr>
            <w:tcW w:type="dxa" w:w="1728"/>
          </w:tcPr>
          <w:p>
            <w:pPr>
              <w:spacing w:line="324" w:lineRule="auto" w:after="40"/>
            </w:pPr>
            <w:r>
              <w:rPr>
                <w:sz w:val="20"/>
              </w:rPr>
            </w:r>
            <w:r>
              <w:rPr>
                <w:rFonts w:ascii="Times New Roman" w:hAnsi="Times New Roman" w:eastAsia="宋体"/>
                <w:b w:val="0"/>
                <w:sz w:val="20"/>
              </w:rPr>
              <w:t>+ PA</w:t>
            </w:r>
          </w:p>
        </w:tc>
        <w:tc>
          <w:tcPr>
            <w:tcW w:type="dxa" w:w="1728"/>
          </w:tcPr>
          <w:p>
            <w:pPr>
              <w:spacing w:line="324" w:lineRule="auto" w:after="40"/>
            </w:pPr>
            <w:r>
              <w:rPr>
                <w:sz w:val="20"/>
              </w:rPr>
            </w:r>
            <w:r>
              <w:rPr>
                <w:rFonts w:ascii="Times New Roman" w:hAnsi="Times New Roman" w:eastAsia="宋体"/>
                <w:b w:val="0"/>
                <w:sz w:val="20"/>
              </w:rPr>
              <w:t>1.00 (0.94–1.07)</w:t>
            </w:r>
          </w:p>
        </w:tc>
        <w:tc>
          <w:tcPr>
            <w:tcW w:type="dxa" w:w="1728"/>
          </w:tcPr>
          <w:p>
            <w:pPr>
              <w:spacing w:line="324" w:lineRule="auto" w:after="40"/>
            </w:pPr>
            <w:r>
              <w:rPr>
                <w:sz w:val="20"/>
              </w:rPr>
            </w:r>
            <w:r>
              <w:rPr>
                <w:rFonts w:ascii="Times New Roman" w:hAnsi="Times New Roman" w:eastAsia="宋体"/>
                <w:b w:val="0"/>
                <w:sz w:val="20"/>
              </w:rPr>
              <w:t>4.35 (2.34–8.09)</w:t>
            </w:r>
          </w:p>
        </w:tc>
        <w:tc>
          <w:tcPr>
            <w:tcW w:type="dxa" w:w="1728"/>
          </w:tcPr>
          <w:p>
            <w:pPr>
              <w:spacing w:line="324" w:lineRule="auto" w:after="40"/>
            </w:pPr>
            <w:r>
              <w:rPr>
                <w:sz w:val="20"/>
              </w:rPr>
            </w:r>
            <w:r>
              <w:rPr>
                <w:rFonts w:ascii="Times New Roman" w:hAnsi="Times New Roman" w:eastAsia="宋体"/>
                <w:b w:val="0"/>
                <w:sz w:val="20"/>
              </w:rPr>
              <w:t>1.65 (1.00–2.71)</w:t>
            </w:r>
          </w:p>
        </w:tc>
        <w:tc>
          <w:tcPr>
            <w:tcW w:type="dxa" w:w="1728"/>
          </w:tcPr>
          <w:p>
            <w:pPr>
              <w:spacing w:line="324" w:lineRule="auto" w:after="40"/>
            </w:pPr>
            <w:r>
              <w:rPr>
                <w:sz w:val="20"/>
              </w:rPr>
            </w:r>
            <w:r>
              <w:rPr>
                <w:rFonts w:ascii="Times New Roman" w:hAnsi="Times New Roman" w:eastAsia="宋体"/>
                <w:b w:val="0"/>
                <w:sz w:val="20"/>
              </w:rPr>
              <w:t>−0.2%</w:t>
            </w:r>
          </w:p>
        </w:tc>
      </w:tr>
      <w:tr>
        <w:tc>
          <w:tcPr>
            <w:tcW w:type="dxa" w:w="1728"/>
          </w:tcPr>
          <w:p>
            <w:pPr>
              <w:spacing w:line="324" w:lineRule="auto" w:after="40"/>
            </w:pPr>
            <w:r>
              <w:rPr>
                <w:sz w:val="20"/>
              </w:rPr>
            </w:r>
            <w:r>
              <w:rPr>
                <w:rFonts w:ascii="Times New Roman" w:hAnsi="Times New Roman" w:eastAsia="宋体"/>
                <w:b w:val="0"/>
                <w:sz w:val="20"/>
              </w:rPr>
              <w:t>+ Nicotine</w:t>
            </w:r>
          </w:p>
        </w:tc>
        <w:tc>
          <w:tcPr>
            <w:tcW w:type="dxa" w:w="1728"/>
          </w:tcPr>
          <w:p>
            <w:pPr>
              <w:spacing w:line="324" w:lineRule="auto" w:after="40"/>
            </w:pPr>
            <w:r>
              <w:rPr>
                <w:sz w:val="20"/>
              </w:rPr>
            </w:r>
            <w:r>
              <w:rPr>
                <w:rFonts w:ascii="Times New Roman" w:hAnsi="Times New Roman" w:eastAsia="宋体"/>
                <w:b w:val="0"/>
                <w:sz w:val="20"/>
              </w:rPr>
              <w:t>0.99 (0.92–1.07)</w:t>
            </w:r>
          </w:p>
        </w:tc>
        <w:tc>
          <w:tcPr>
            <w:tcW w:type="dxa" w:w="1728"/>
          </w:tcPr>
          <w:p>
            <w:pPr>
              <w:spacing w:line="324" w:lineRule="auto" w:after="40"/>
            </w:pPr>
            <w:r>
              <w:rPr>
                <w:sz w:val="20"/>
              </w:rPr>
            </w:r>
            <w:r>
              <w:rPr>
                <w:rFonts w:ascii="Times New Roman" w:hAnsi="Times New Roman" w:eastAsia="宋体"/>
                <w:b w:val="0"/>
                <w:sz w:val="20"/>
              </w:rPr>
              <w:t>4.23 (2.25–7.94)</w:t>
            </w:r>
          </w:p>
        </w:tc>
        <w:tc>
          <w:tcPr>
            <w:tcW w:type="dxa" w:w="1728"/>
          </w:tcPr>
          <w:p>
            <w:pPr>
              <w:spacing w:line="324" w:lineRule="auto" w:after="40"/>
            </w:pPr>
            <w:r>
              <w:rPr>
                <w:sz w:val="20"/>
              </w:rPr>
            </w:r>
            <w:r>
              <w:rPr>
                <w:rFonts w:ascii="Times New Roman" w:hAnsi="Times New Roman" w:eastAsia="宋体"/>
                <w:b w:val="0"/>
                <w:sz w:val="20"/>
              </w:rPr>
              <w:t>1.63 (0.99–2.69)</w:t>
            </w:r>
          </w:p>
        </w:tc>
        <w:tc>
          <w:tcPr>
            <w:tcW w:type="dxa" w:w="1728"/>
          </w:tcPr>
          <w:p>
            <w:pPr>
              <w:spacing w:line="324" w:lineRule="auto" w:after="40"/>
            </w:pPr>
            <w:r>
              <w:rPr>
                <w:sz w:val="20"/>
              </w:rPr>
            </w:r>
            <w:r>
              <w:rPr>
                <w:rFonts w:ascii="Times New Roman" w:hAnsi="Times New Roman" w:eastAsia="宋体"/>
                <w:b w:val="0"/>
                <w:sz w:val="20"/>
              </w:rPr>
              <w:t>1.7%</w:t>
            </w:r>
          </w:p>
        </w:tc>
      </w:tr>
      <w:tr>
        <w:tc>
          <w:tcPr>
            <w:tcW w:type="dxa" w:w="1728"/>
          </w:tcPr>
          <w:p>
            <w:pPr>
              <w:spacing w:line="324" w:lineRule="auto" w:after="40"/>
            </w:pPr>
            <w:r>
              <w:rPr>
                <w:sz w:val="20"/>
              </w:rPr>
            </w:r>
            <w:r>
              <w:rPr>
                <w:rFonts w:ascii="Times New Roman" w:hAnsi="Times New Roman" w:eastAsia="宋体"/>
                <w:b w:val="0"/>
                <w:sz w:val="20"/>
              </w:rPr>
              <w:t>+ Sleep</w:t>
            </w:r>
          </w:p>
        </w:tc>
        <w:tc>
          <w:tcPr>
            <w:tcW w:type="dxa" w:w="1728"/>
          </w:tcPr>
          <w:p>
            <w:pPr>
              <w:spacing w:line="324" w:lineRule="auto" w:after="40"/>
            </w:pPr>
            <w:r>
              <w:rPr>
                <w:sz w:val="20"/>
              </w:rPr>
            </w:r>
            <w:r>
              <w:rPr>
                <w:rFonts w:ascii="Times New Roman" w:hAnsi="Times New Roman" w:eastAsia="宋体"/>
                <w:b w:val="0"/>
                <w:sz w:val="20"/>
              </w:rPr>
              <w:t>1.01 (0.93–1.10)</w:t>
            </w:r>
          </w:p>
        </w:tc>
        <w:tc>
          <w:tcPr>
            <w:tcW w:type="dxa" w:w="1728"/>
          </w:tcPr>
          <w:p>
            <w:pPr>
              <w:spacing w:line="324" w:lineRule="auto" w:after="40"/>
            </w:pPr>
            <w:r>
              <w:rPr>
                <w:sz w:val="20"/>
              </w:rPr>
            </w:r>
            <w:r>
              <w:rPr>
                <w:rFonts w:ascii="Times New Roman" w:hAnsi="Times New Roman" w:eastAsia="宋体"/>
                <w:b w:val="0"/>
                <w:sz w:val="20"/>
              </w:rPr>
              <w:t>4.38 (2.39–8.04)</w:t>
            </w:r>
          </w:p>
        </w:tc>
        <w:tc>
          <w:tcPr>
            <w:tcW w:type="dxa" w:w="1728"/>
          </w:tcPr>
          <w:p>
            <w:pPr>
              <w:spacing w:line="324" w:lineRule="auto" w:after="40"/>
            </w:pPr>
            <w:r>
              <w:rPr>
                <w:sz w:val="20"/>
              </w:rPr>
            </w:r>
            <w:r>
              <w:rPr>
                <w:rFonts w:ascii="Times New Roman" w:hAnsi="Times New Roman" w:eastAsia="宋体"/>
                <w:b w:val="0"/>
                <w:sz w:val="20"/>
              </w:rPr>
              <w:t>1.66 (1.01–2.72)</w:t>
            </w:r>
          </w:p>
        </w:tc>
        <w:tc>
          <w:tcPr>
            <w:tcW w:type="dxa" w:w="1728"/>
          </w:tcPr>
          <w:p>
            <w:pPr>
              <w:spacing w:line="324" w:lineRule="auto" w:after="40"/>
            </w:pPr>
            <w:r>
              <w:rPr>
                <w:sz w:val="20"/>
              </w:rPr>
            </w:r>
            <w:r>
              <w:rPr>
                <w:rFonts w:ascii="Times New Roman" w:hAnsi="Times New Roman" w:eastAsia="宋体"/>
                <w:b w:val="0"/>
                <w:sz w:val="20"/>
              </w:rPr>
              <w:t>−0.7%</w:t>
            </w:r>
          </w:p>
        </w:tc>
      </w:tr>
      <w:tr>
        <w:tc>
          <w:tcPr>
            <w:tcW w:type="dxa" w:w="1728"/>
          </w:tcPr>
          <w:p>
            <w:pPr>
              <w:spacing w:line="324" w:lineRule="auto" w:after="40"/>
            </w:pPr>
            <w:r>
              <w:rPr>
                <w:sz w:val="20"/>
              </w:rPr>
            </w:r>
            <w:r>
              <w:rPr>
                <w:rFonts w:ascii="Times New Roman" w:hAnsi="Times New Roman" w:eastAsia="宋体"/>
                <w:b w:val="0"/>
                <w:sz w:val="20"/>
              </w:rPr>
              <w:t>+ BMI</w:t>
            </w:r>
          </w:p>
        </w:tc>
        <w:tc>
          <w:tcPr>
            <w:tcW w:type="dxa" w:w="1728"/>
          </w:tcPr>
          <w:p>
            <w:pPr>
              <w:spacing w:line="324" w:lineRule="auto" w:after="40"/>
            </w:pPr>
            <w:r>
              <w:rPr>
                <w:sz w:val="20"/>
              </w:rPr>
            </w:r>
            <w:r>
              <w:rPr>
                <w:rFonts w:ascii="Times New Roman" w:hAnsi="Times New Roman" w:eastAsia="宋体"/>
                <w:b w:val="0"/>
                <w:sz w:val="20"/>
              </w:rPr>
              <w:t>0.88 (0.77–1.01)</w:t>
            </w:r>
          </w:p>
        </w:tc>
        <w:tc>
          <w:tcPr>
            <w:tcW w:type="dxa" w:w="1728"/>
          </w:tcPr>
          <w:p>
            <w:pPr>
              <w:spacing w:line="324" w:lineRule="auto" w:after="40"/>
            </w:pPr>
            <w:r>
              <w:rPr>
                <w:sz w:val="20"/>
              </w:rPr>
            </w:r>
            <w:r>
              <w:rPr>
                <w:rFonts w:ascii="Times New Roman" w:hAnsi="Times New Roman" w:eastAsia="宋体"/>
                <w:b w:val="0"/>
                <w:sz w:val="20"/>
              </w:rPr>
              <w:t>3.57 (1.87–6.78)</w:t>
            </w:r>
          </w:p>
        </w:tc>
        <w:tc>
          <w:tcPr>
            <w:tcW w:type="dxa" w:w="1728"/>
          </w:tcPr>
          <w:p>
            <w:pPr>
              <w:spacing w:line="324" w:lineRule="auto" w:after="40"/>
            </w:pPr>
            <w:r>
              <w:rPr>
                <w:sz w:val="20"/>
              </w:rPr>
            </w:r>
            <w:r>
              <w:rPr>
                <w:rFonts w:ascii="Times New Roman" w:hAnsi="Times New Roman" w:eastAsia="宋体"/>
                <w:b w:val="0"/>
                <w:sz w:val="20"/>
              </w:rPr>
              <w:t>1.51 (0.91–2.50)</w:t>
            </w:r>
          </w:p>
        </w:tc>
        <w:tc>
          <w:tcPr>
            <w:tcW w:type="dxa" w:w="1728"/>
          </w:tcPr>
          <w:p>
            <w:pPr>
              <w:spacing w:line="324" w:lineRule="auto" w:after="40"/>
            </w:pPr>
            <w:r>
              <w:rPr>
                <w:sz w:val="20"/>
              </w:rPr>
            </w:r>
            <w:r>
              <w:rPr>
                <w:rFonts w:ascii="Times New Roman" w:hAnsi="Times New Roman" w:eastAsia="宋体"/>
                <w:b w:val="0"/>
                <w:sz w:val="20"/>
              </w:rPr>
              <w:t>13.4%</w:t>
            </w:r>
          </w:p>
        </w:tc>
      </w:tr>
      <w:tr>
        <w:tc>
          <w:tcPr>
            <w:tcW w:type="dxa" w:w="1728"/>
          </w:tcPr>
          <w:p>
            <w:pPr>
              <w:spacing w:line="324" w:lineRule="auto" w:after="40"/>
            </w:pPr>
            <w:r>
              <w:rPr>
                <w:sz w:val="20"/>
              </w:rPr>
            </w:r>
            <w:r>
              <w:rPr>
                <w:rFonts w:ascii="Times New Roman" w:hAnsi="Times New Roman" w:eastAsia="宋体"/>
                <w:b w:val="0"/>
                <w:sz w:val="20"/>
              </w:rPr>
              <w:t>+ Glucose</w:t>
            </w:r>
          </w:p>
        </w:tc>
        <w:tc>
          <w:tcPr>
            <w:tcW w:type="dxa" w:w="1728"/>
          </w:tcPr>
          <w:p>
            <w:pPr>
              <w:spacing w:line="324" w:lineRule="auto" w:after="40"/>
            </w:pPr>
            <w:r>
              <w:rPr>
                <w:sz w:val="20"/>
              </w:rPr>
            </w:r>
            <w:r>
              <w:rPr>
                <w:rFonts w:ascii="Times New Roman" w:hAnsi="Times New Roman" w:eastAsia="宋体"/>
                <w:b w:val="0"/>
                <w:sz w:val="20"/>
              </w:rPr>
              <w:t>1.11 (0.99–1.26)</w:t>
            </w:r>
          </w:p>
        </w:tc>
        <w:tc>
          <w:tcPr>
            <w:tcW w:type="dxa" w:w="1728"/>
          </w:tcPr>
          <w:p>
            <w:pPr>
              <w:spacing w:line="324" w:lineRule="auto" w:after="40"/>
            </w:pPr>
            <w:r>
              <w:rPr>
                <w:sz w:val="20"/>
              </w:rPr>
            </w:r>
            <w:r>
              <w:rPr>
                <w:rFonts w:ascii="Times New Roman" w:hAnsi="Times New Roman" w:eastAsia="宋体"/>
                <w:b w:val="0"/>
                <w:sz w:val="20"/>
              </w:rPr>
              <w:t>5.26 (2.81–9.86)</w:t>
            </w:r>
          </w:p>
        </w:tc>
        <w:tc>
          <w:tcPr>
            <w:tcW w:type="dxa" w:w="1728"/>
          </w:tcPr>
          <w:p>
            <w:pPr>
              <w:spacing w:line="324" w:lineRule="auto" w:after="40"/>
            </w:pPr>
            <w:r>
              <w:rPr>
                <w:sz w:val="20"/>
              </w:rPr>
            </w:r>
            <w:r>
              <w:rPr>
                <w:rFonts w:ascii="Times New Roman" w:hAnsi="Times New Roman" w:eastAsia="宋体"/>
                <w:b w:val="0"/>
                <w:sz w:val="20"/>
              </w:rPr>
              <w:t>1.75 (1.07–2.89)</w:t>
            </w:r>
          </w:p>
        </w:tc>
        <w:tc>
          <w:tcPr>
            <w:tcW w:type="dxa" w:w="1728"/>
          </w:tcPr>
          <w:p>
            <w:pPr>
              <w:spacing w:line="324" w:lineRule="auto" w:after="40"/>
            </w:pPr>
            <w:r>
              <w:rPr>
                <w:sz w:val="20"/>
              </w:rPr>
            </w:r>
            <w:r>
              <w:rPr>
                <w:rFonts w:ascii="Times New Roman" w:hAnsi="Times New Roman" w:eastAsia="宋体"/>
                <w:b w:val="0"/>
                <w:sz w:val="20"/>
              </w:rPr>
              <w:t>−13.1% (suppression)</w:t>
            </w:r>
          </w:p>
        </w:tc>
      </w:tr>
      <w:tr>
        <w:tc>
          <w:tcPr>
            <w:tcW w:type="dxa" w:w="1728"/>
          </w:tcPr>
          <w:p>
            <w:pPr>
              <w:spacing w:line="324" w:lineRule="auto" w:after="40"/>
            </w:pPr>
            <w:r>
              <w:rPr>
                <w:sz w:val="20"/>
              </w:rPr>
            </w:r>
            <w:r>
              <w:rPr>
                <w:rFonts w:ascii="Times New Roman" w:hAnsi="Times New Roman" w:eastAsia="宋体"/>
                <w:b w:val="0"/>
                <w:sz w:val="20"/>
              </w:rPr>
              <w:t>+ Lipids</w:t>
            </w:r>
          </w:p>
        </w:tc>
        <w:tc>
          <w:tcPr>
            <w:tcW w:type="dxa" w:w="1728"/>
          </w:tcPr>
          <w:p>
            <w:pPr>
              <w:spacing w:line="324" w:lineRule="auto" w:after="40"/>
            </w:pPr>
            <w:r>
              <w:rPr>
                <w:sz w:val="20"/>
              </w:rPr>
            </w:r>
            <w:r>
              <w:rPr>
                <w:rFonts w:ascii="Times New Roman" w:hAnsi="Times New Roman" w:eastAsia="宋体"/>
                <w:b w:val="0"/>
                <w:sz w:val="20"/>
              </w:rPr>
              <w:t>1.03 (0.95–1.12)</w:t>
            </w:r>
          </w:p>
        </w:tc>
        <w:tc>
          <w:tcPr>
            <w:tcW w:type="dxa" w:w="1728"/>
          </w:tcPr>
          <w:p>
            <w:pPr>
              <w:spacing w:line="324" w:lineRule="auto" w:after="40"/>
            </w:pPr>
            <w:r>
              <w:rPr>
                <w:sz w:val="20"/>
              </w:rPr>
            </w:r>
            <w:r>
              <w:rPr>
                <w:rFonts w:ascii="Times New Roman" w:hAnsi="Times New Roman" w:eastAsia="宋体"/>
                <w:b w:val="0"/>
                <w:sz w:val="20"/>
              </w:rPr>
              <w:t>5.04 (2.50–10.18)</w:t>
            </w:r>
          </w:p>
        </w:tc>
        <w:tc>
          <w:tcPr>
            <w:tcW w:type="dxa" w:w="1728"/>
          </w:tcPr>
          <w:p>
            <w:pPr>
              <w:spacing w:line="324" w:lineRule="auto" w:after="40"/>
            </w:pPr>
            <w:r>
              <w:rPr>
                <w:sz w:val="20"/>
              </w:rPr>
            </w:r>
            <w:r>
              <w:rPr>
                <w:rFonts w:ascii="Times New Roman" w:hAnsi="Times New Roman" w:eastAsia="宋体"/>
                <w:b w:val="0"/>
                <w:sz w:val="20"/>
              </w:rPr>
              <w:t>1.77 (1.05–3.00)</w:t>
            </w:r>
          </w:p>
        </w:tc>
        <w:tc>
          <w:tcPr>
            <w:tcW w:type="dxa" w:w="1728"/>
          </w:tcPr>
          <w:p>
            <w:pPr>
              <w:spacing w:line="324" w:lineRule="auto" w:after="40"/>
            </w:pPr>
            <w:r>
              <w:rPr>
                <w:sz w:val="20"/>
              </w:rPr>
            </w:r>
            <w:r>
              <w:rPr>
                <w:rFonts w:ascii="Times New Roman" w:hAnsi="Times New Roman" w:eastAsia="宋体"/>
                <w:b w:val="0"/>
                <w:sz w:val="20"/>
              </w:rPr>
              <w:t>−10.3% (suppression)</w:t>
            </w:r>
          </w:p>
        </w:tc>
      </w:tr>
      <w:tr>
        <w:tc>
          <w:tcPr>
            <w:tcW w:type="dxa" w:w="1728"/>
          </w:tcPr>
          <w:p>
            <w:pPr>
              <w:spacing w:line="324" w:lineRule="auto" w:after="40"/>
            </w:pPr>
            <w:r>
              <w:rPr>
                <w:sz w:val="20"/>
              </w:rPr>
            </w:r>
            <w:r>
              <w:rPr>
                <w:rFonts w:ascii="Times New Roman" w:hAnsi="Times New Roman" w:eastAsia="宋体"/>
                <w:b w:val="0"/>
                <w:sz w:val="20"/>
              </w:rPr>
              <w:t>+ Blood pressure</w:t>
            </w:r>
          </w:p>
        </w:tc>
        <w:tc>
          <w:tcPr>
            <w:tcW w:type="dxa" w:w="1728"/>
          </w:tcPr>
          <w:p>
            <w:pPr>
              <w:spacing w:line="324" w:lineRule="auto" w:after="40"/>
            </w:pPr>
            <w:r>
              <w:rPr>
                <w:sz w:val="20"/>
              </w:rPr>
            </w:r>
            <w:r>
              <w:rPr>
                <w:rFonts w:ascii="Times New Roman" w:hAnsi="Times New Roman" w:eastAsia="宋体"/>
                <w:b w:val="0"/>
                <w:sz w:val="20"/>
              </w:rPr>
              <w:t>0.86 (0.80–0.92)</w:t>
            </w:r>
          </w:p>
        </w:tc>
        <w:tc>
          <w:tcPr>
            <w:tcW w:type="dxa" w:w="1728"/>
          </w:tcPr>
          <w:p>
            <w:pPr>
              <w:spacing w:line="324" w:lineRule="auto" w:after="40"/>
            </w:pPr>
            <w:r>
              <w:rPr>
                <w:sz w:val="20"/>
              </w:rPr>
            </w:r>
            <w:r>
              <w:rPr>
                <w:rFonts w:ascii="Times New Roman" w:hAnsi="Times New Roman" w:eastAsia="宋体"/>
                <w:b w:val="0"/>
                <w:sz w:val="20"/>
              </w:rPr>
              <w:t>2.14 (1.07–4.25)</w:t>
            </w:r>
          </w:p>
        </w:tc>
        <w:tc>
          <w:tcPr>
            <w:tcW w:type="dxa" w:w="1728"/>
          </w:tcPr>
          <w:p>
            <w:pPr>
              <w:spacing w:line="324" w:lineRule="auto" w:after="40"/>
            </w:pPr>
            <w:r>
              <w:rPr>
                <w:sz w:val="20"/>
              </w:rPr>
            </w:r>
            <w:r>
              <w:rPr>
                <w:rFonts w:ascii="Times New Roman" w:hAnsi="Times New Roman" w:eastAsia="宋体"/>
                <w:b w:val="0"/>
                <w:sz w:val="20"/>
              </w:rPr>
              <w:t>1.19 (0.70–2.00)</w:t>
            </w:r>
          </w:p>
        </w:tc>
        <w:tc>
          <w:tcPr>
            <w:tcW w:type="dxa" w:w="1728"/>
          </w:tcPr>
          <w:p>
            <w:pPr>
              <w:spacing w:line="324" w:lineRule="auto" w:after="40"/>
            </w:pPr>
            <w:r>
              <w:rPr>
                <w:sz w:val="20"/>
              </w:rPr>
            </w:r>
            <w:r>
              <w:rPr>
                <w:rFonts w:ascii="Times New Roman" w:hAnsi="Times New Roman" w:eastAsia="宋体"/>
                <w:b w:val="0"/>
                <w:sz w:val="20"/>
              </w:rPr>
              <w:t>48.2%</w:t>
            </w:r>
          </w:p>
        </w:tc>
      </w:tr>
      <w:tr>
        <w:tc>
          <w:tcPr>
            <w:tcW w:type="dxa" w:w="1728"/>
          </w:tcPr>
          <w:p>
            <w:pPr>
              <w:spacing w:line="324" w:lineRule="auto" w:after="40"/>
            </w:pPr>
            <w:r>
              <w:rPr>
                <w:sz w:val="20"/>
              </w:rPr>
            </w:r>
            <w:r>
              <w:rPr>
                <w:rFonts w:ascii="Times New Roman" w:hAnsi="Times New Roman" w:eastAsia="宋体"/>
                <w:b w:val="0"/>
                <w:sz w:val="20"/>
              </w:rPr>
              <w:t>+ All seven components</w:t>
            </w:r>
          </w:p>
        </w:tc>
        <w:tc>
          <w:tcPr>
            <w:tcW w:type="dxa" w:w="1728"/>
          </w:tcPr>
          <w:p>
            <w:pPr>
              <w:spacing w:line="324" w:lineRule="auto" w:after="40"/>
            </w:pPr>
            <w:r>
              <w:rPr>
                <w:sz w:val="20"/>
              </w:rPr>
            </w:r>
            <w:r>
              <w:rPr>
                <w:rFonts w:ascii="Times New Roman" w:hAnsi="Times New Roman" w:eastAsia="宋体"/>
                <w:b w:val="0"/>
                <w:sz w:val="20"/>
              </w:rPr>
              <w:t>—</w:t>
            </w:r>
          </w:p>
        </w:tc>
        <w:tc>
          <w:tcPr>
            <w:tcW w:type="dxa" w:w="1728"/>
          </w:tcPr>
          <w:p>
            <w:pPr>
              <w:spacing w:line="324" w:lineRule="auto" w:after="40"/>
            </w:pPr>
            <w:r>
              <w:rPr>
                <w:sz w:val="20"/>
              </w:rPr>
            </w:r>
            <w:r>
              <w:rPr>
                <w:rFonts w:ascii="Times New Roman" w:hAnsi="Times New Roman" w:eastAsia="宋体"/>
                <w:b w:val="0"/>
                <w:sz w:val="20"/>
              </w:rPr>
              <w:t>1.89 (0.71–5.06)</w:t>
            </w:r>
          </w:p>
        </w:tc>
        <w:tc>
          <w:tcPr>
            <w:tcW w:type="dxa" w:w="1728"/>
          </w:tcPr>
          <w:p>
            <w:pPr>
              <w:spacing w:line="324" w:lineRule="auto" w:after="40"/>
            </w:pPr>
            <w:r>
              <w:rPr>
                <w:sz w:val="20"/>
              </w:rPr>
            </w:r>
            <w:r>
              <w:rPr>
                <w:rFonts w:ascii="Times New Roman" w:hAnsi="Times New Roman" w:eastAsia="宋体"/>
                <w:b w:val="0"/>
                <w:sz w:val="20"/>
              </w:rPr>
              <w:t>1.10 (0.60–2.02)</w:t>
            </w:r>
          </w:p>
        </w:tc>
        <w:tc>
          <w:tcPr>
            <w:tcW w:type="dxa" w:w="1728"/>
          </w:tcPr>
          <w:p>
            <w:pPr>
              <w:spacing w:line="324" w:lineRule="auto" w:after="40"/>
            </w:pPr>
            <w:r>
              <w:rPr>
                <w:sz w:val="20"/>
              </w:rPr>
            </w:r>
            <w:r>
              <w:rPr>
                <w:rFonts w:ascii="Times New Roman" w:hAnsi="Times New Roman" w:eastAsia="宋体"/>
                <w:b w:val="0"/>
                <w:sz w:val="20"/>
              </w:rPr>
              <w:t>56.6%</w:t>
            </w:r>
          </w:p>
        </w:tc>
      </w:tr>
    </w:tbl>
    <w:p/>
    <w:p>
      <w:pPr>
        <w:spacing w:line="360" w:lineRule="auto"/>
      </w:pPr>
      <w:r>
        <w:rPr>
          <w:rFonts w:ascii="Times New Roman" w:hAnsi="Times New Roman" w:eastAsia="宋体"/>
          <w:b w:val="0"/>
          <w:sz w:val="21"/>
        </w:rPr>
        <w:t>Note: Each row adds one baseline component score (per 10 points) to the fully adjusted model; attenuation = reduction in the log-HR for persistent low vs persistent high relative to the base model. Because physical activity is available in only about half of households, the analytic sample is restricted to participants with all seven baseline components (n=1,200), in which the base-model estimate (4.34) differs slightly from the primary complete-case estimate (3.75). The blood-pressure component accounts for approximately half of the association and BMI for ~13%; glucose and lipid adjustments slightly increase the estimate (negative suppression), and PA, nicotine, and sleep contribute negligibly.</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17. Trajectory-model identification: linear versus quadratic time specification, and classification quality by class.</w:t>
      </w:r>
    </w:p>
    <w:p>
      <w:pPr>
        <w:spacing w:line="360" w:lineRule="auto"/>
      </w:pPr>
      <w:r>
        <w:rPr>
          <w:rFonts w:ascii="Times New Roman" w:hAnsi="Times New Roman" w:eastAsia="宋体"/>
          <w:b w:val="0"/>
          <w:sz w:val="21"/>
        </w:rPr>
        <w:t>*Panel A: class enumeration under a linear-time specification (trajectory cohort n=4,625).*</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728"/>
        <w:gridCol w:w="1728"/>
        <w:gridCol w:w="1728"/>
        <w:gridCol w:w="1728"/>
        <w:gridCol w:w="1728"/>
      </w:tblGrid>
      <w:tr>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Classes</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BIC</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Entropy</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Mean APP</w:t>
            </w:r>
          </w:p>
        </w:tc>
        <w:tc>
          <w:tcPr>
            <w:tcW w:type="dxa" w:w="1728"/>
            <w:tcBorders>
              <w:bottom w:val="single" w:sz="6" w:color="000000" w:space="0"/>
            </w:tcBorders>
          </w:tcPr>
          <w:p>
            <w:pPr>
              <w:spacing w:line="324" w:lineRule="auto" w:after="40"/>
            </w:pPr>
            <w:r>
              <w:rPr>
                <w:b/>
                <w:sz w:val="20"/>
              </w:rPr>
            </w:r>
            <w:r>
              <w:rPr>
                <w:rFonts w:ascii="Times New Roman" w:hAnsi="Times New Roman" w:eastAsia="宋体"/>
                <w:b/>
                <w:sz w:val="20"/>
              </w:rPr>
              <w:t>Min class %</w:t>
            </w:r>
          </w:p>
        </w:tc>
      </w:tr>
      <w:tr>
        <w:tc>
          <w:tcPr>
            <w:tcW w:type="dxa" w:w="1728"/>
          </w:tcPr>
          <w:p>
            <w:pPr>
              <w:spacing w:line="324" w:lineRule="auto" w:after="40"/>
            </w:pPr>
            <w:r>
              <w:rPr>
                <w:sz w:val="20"/>
              </w:rPr>
            </w:r>
            <w:r>
              <w:rPr>
                <w:rFonts w:ascii="Times New Roman" w:hAnsi="Times New Roman" w:eastAsia="宋体"/>
                <w:b w:val="0"/>
                <w:sz w:val="20"/>
              </w:rPr>
              <w:t>1</w:t>
            </w:r>
          </w:p>
        </w:tc>
        <w:tc>
          <w:tcPr>
            <w:tcW w:type="dxa" w:w="1728"/>
          </w:tcPr>
          <w:p>
            <w:pPr>
              <w:spacing w:line="324" w:lineRule="auto" w:after="40"/>
            </w:pPr>
            <w:r>
              <w:rPr>
                <w:sz w:val="20"/>
              </w:rPr>
            </w:r>
            <w:r>
              <w:rPr>
                <w:rFonts w:ascii="Times New Roman" w:hAnsi="Times New Roman" w:eastAsia="宋体"/>
                <w:b w:val="0"/>
                <w:sz w:val="20"/>
              </w:rPr>
              <w:t>100,961.0</w:t>
            </w:r>
          </w:p>
        </w:tc>
        <w:tc>
          <w:tcPr>
            <w:tcW w:type="dxa" w:w="1728"/>
          </w:tcPr>
          <w:p>
            <w:pPr>
              <w:spacing w:line="324" w:lineRule="auto" w:after="40"/>
            </w:pPr>
            <w:r>
              <w:rPr>
                <w:sz w:val="20"/>
              </w:rPr>
            </w:r>
            <w:r>
              <w:rPr>
                <w:rFonts w:ascii="Times New Roman" w:hAnsi="Times New Roman" w:eastAsia="宋体"/>
                <w:b w:val="0"/>
                <w:sz w:val="20"/>
              </w:rPr>
              <w:t>—</w:t>
            </w:r>
          </w:p>
        </w:tc>
        <w:tc>
          <w:tcPr>
            <w:tcW w:type="dxa" w:w="1728"/>
          </w:tcPr>
          <w:p>
            <w:pPr>
              <w:spacing w:line="324" w:lineRule="auto" w:after="40"/>
            </w:pPr>
            <w:r>
              <w:rPr>
                <w:sz w:val="20"/>
              </w:rPr>
            </w:r>
            <w:r>
              <w:rPr>
                <w:rFonts w:ascii="Times New Roman" w:hAnsi="Times New Roman" w:eastAsia="宋体"/>
                <w:b w:val="0"/>
                <w:sz w:val="20"/>
              </w:rPr>
              <w:t>—</w:t>
            </w:r>
          </w:p>
        </w:tc>
        <w:tc>
          <w:tcPr>
            <w:tcW w:type="dxa" w:w="1728"/>
          </w:tcPr>
          <w:p>
            <w:pPr>
              <w:spacing w:line="324" w:lineRule="auto" w:after="40"/>
            </w:pPr>
            <w:r>
              <w:rPr>
                <w:sz w:val="20"/>
              </w:rPr>
            </w:r>
            <w:r>
              <w:rPr>
                <w:rFonts w:ascii="Times New Roman" w:hAnsi="Times New Roman" w:eastAsia="宋体"/>
                <w:b w:val="0"/>
                <w:sz w:val="20"/>
              </w:rPr>
              <w:t>100.0</w:t>
            </w:r>
          </w:p>
        </w:tc>
      </w:tr>
      <w:tr>
        <w:tc>
          <w:tcPr>
            <w:tcW w:type="dxa" w:w="1728"/>
          </w:tcPr>
          <w:p>
            <w:pPr>
              <w:spacing w:line="324" w:lineRule="auto" w:after="40"/>
            </w:pPr>
            <w:r>
              <w:rPr>
                <w:sz w:val="20"/>
              </w:rPr>
            </w:r>
            <w:r>
              <w:rPr>
                <w:rFonts w:ascii="Times New Roman" w:hAnsi="Times New Roman" w:eastAsia="宋体"/>
                <w:b w:val="0"/>
                <w:sz w:val="20"/>
              </w:rPr>
              <w:t>2</w:t>
            </w:r>
          </w:p>
        </w:tc>
        <w:tc>
          <w:tcPr>
            <w:tcW w:type="dxa" w:w="1728"/>
          </w:tcPr>
          <w:p>
            <w:pPr>
              <w:spacing w:line="324" w:lineRule="auto" w:after="40"/>
            </w:pPr>
            <w:r>
              <w:rPr>
                <w:sz w:val="20"/>
              </w:rPr>
            </w:r>
            <w:r>
              <w:rPr>
                <w:rFonts w:ascii="Times New Roman" w:hAnsi="Times New Roman" w:eastAsia="宋体"/>
                <w:b w:val="0"/>
                <w:sz w:val="20"/>
              </w:rPr>
              <w:t>98,175.0</w:t>
            </w:r>
          </w:p>
        </w:tc>
        <w:tc>
          <w:tcPr>
            <w:tcW w:type="dxa" w:w="1728"/>
          </w:tcPr>
          <w:p>
            <w:pPr>
              <w:spacing w:line="324" w:lineRule="auto" w:after="40"/>
            </w:pPr>
            <w:r>
              <w:rPr>
                <w:sz w:val="20"/>
              </w:rPr>
            </w:r>
            <w:r>
              <w:rPr>
                <w:rFonts w:ascii="Times New Roman" w:hAnsi="Times New Roman" w:eastAsia="宋体"/>
                <w:b w:val="0"/>
                <w:sz w:val="20"/>
              </w:rPr>
              <w:t>0.898</w:t>
            </w:r>
          </w:p>
        </w:tc>
        <w:tc>
          <w:tcPr>
            <w:tcW w:type="dxa" w:w="1728"/>
          </w:tcPr>
          <w:p>
            <w:pPr>
              <w:spacing w:line="324" w:lineRule="auto" w:after="40"/>
            </w:pPr>
            <w:r>
              <w:rPr>
                <w:sz w:val="20"/>
              </w:rPr>
            </w:r>
            <w:r>
              <w:rPr>
                <w:rFonts w:ascii="Times New Roman" w:hAnsi="Times New Roman" w:eastAsia="宋体"/>
                <w:b w:val="0"/>
                <w:sz w:val="20"/>
              </w:rPr>
              <w:t>0.915</w:t>
            </w:r>
          </w:p>
        </w:tc>
        <w:tc>
          <w:tcPr>
            <w:tcW w:type="dxa" w:w="1728"/>
          </w:tcPr>
          <w:p>
            <w:pPr>
              <w:spacing w:line="324" w:lineRule="auto" w:after="40"/>
            </w:pPr>
            <w:r>
              <w:rPr>
                <w:sz w:val="20"/>
              </w:rPr>
            </w:r>
            <w:r>
              <w:rPr>
                <w:rFonts w:ascii="Times New Roman" w:hAnsi="Times New Roman" w:eastAsia="宋体"/>
                <w:b w:val="0"/>
                <w:sz w:val="20"/>
              </w:rPr>
              <w:t>33.0</w:t>
            </w:r>
          </w:p>
        </w:tc>
      </w:tr>
      <w:tr>
        <w:tc>
          <w:tcPr>
            <w:tcW w:type="dxa" w:w="1728"/>
          </w:tcPr>
          <w:p>
            <w:pPr>
              <w:spacing w:line="324" w:lineRule="auto" w:after="40"/>
            </w:pPr>
            <w:r>
              <w:rPr>
                <w:sz w:val="20"/>
              </w:rPr>
            </w:r>
            <w:r>
              <w:rPr>
                <w:rFonts w:ascii="Times New Roman" w:hAnsi="Times New Roman" w:eastAsia="宋体"/>
                <w:b w:val="0"/>
                <w:sz w:val="20"/>
              </w:rPr>
              <w:t>3</w:t>
            </w:r>
          </w:p>
        </w:tc>
        <w:tc>
          <w:tcPr>
            <w:tcW w:type="dxa" w:w="1728"/>
          </w:tcPr>
          <w:p>
            <w:pPr>
              <w:spacing w:line="324" w:lineRule="auto" w:after="40"/>
            </w:pPr>
            <w:r>
              <w:rPr>
                <w:sz w:val="20"/>
              </w:rPr>
            </w:r>
            <w:r>
              <w:rPr>
                <w:rFonts w:ascii="Times New Roman" w:hAnsi="Times New Roman" w:eastAsia="宋体"/>
                <w:b w:val="0"/>
                <w:sz w:val="20"/>
              </w:rPr>
              <w:t>97,453.0</w:t>
            </w:r>
          </w:p>
        </w:tc>
        <w:tc>
          <w:tcPr>
            <w:tcW w:type="dxa" w:w="1728"/>
          </w:tcPr>
          <w:p>
            <w:pPr>
              <w:spacing w:line="324" w:lineRule="auto" w:after="40"/>
            </w:pPr>
            <w:r>
              <w:rPr>
                <w:sz w:val="20"/>
              </w:rPr>
            </w:r>
            <w:r>
              <w:rPr>
                <w:rFonts w:ascii="Times New Roman" w:hAnsi="Times New Roman" w:eastAsia="宋体"/>
                <w:b w:val="0"/>
                <w:sz w:val="20"/>
              </w:rPr>
              <w:t>0.891</w:t>
            </w:r>
          </w:p>
        </w:tc>
        <w:tc>
          <w:tcPr>
            <w:tcW w:type="dxa" w:w="1728"/>
          </w:tcPr>
          <w:p>
            <w:pPr>
              <w:spacing w:line="324" w:lineRule="auto" w:after="40"/>
            </w:pPr>
            <w:r>
              <w:rPr>
                <w:sz w:val="20"/>
              </w:rPr>
            </w:r>
            <w:r>
              <w:rPr>
                <w:rFonts w:ascii="Times New Roman" w:hAnsi="Times New Roman" w:eastAsia="宋体"/>
                <w:b w:val="0"/>
                <w:sz w:val="20"/>
              </w:rPr>
              <w:t>0.856</w:t>
            </w:r>
          </w:p>
        </w:tc>
        <w:tc>
          <w:tcPr>
            <w:tcW w:type="dxa" w:w="1728"/>
          </w:tcPr>
          <w:p>
            <w:pPr>
              <w:spacing w:line="324" w:lineRule="auto" w:after="40"/>
            </w:pPr>
            <w:r>
              <w:rPr>
                <w:sz w:val="20"/>
              </w:rPr>
            </w:r>
            <w:r>
              <w:rPr>
                <w:rFonts w:ascii="Times New Roman" w:hAnsi="Times New Roman" w:eastAsia="宋体"/>
                <w:b w:val="0"/>
                <w:sz w:val="20"/>
              </w:rPr>
              <w:t>10.3</w:t>
            </w:r>
          </w:p>
        </w:tc>
      </w:tr>
      <w:tr>
        <w:tc>
          <w:tcPr>
            <w:tcW w:type="dxa" w:w="1728"/>
          </w:tcPr>
          <w:p>
            <w:pPr>
              <w:spacing w:line="324" w:lineRule="auto" w:after="40"/>
            </w:pPr>
            <w:r>
              <w:rPr>
                <w:sz w:val="20"/>
              </w:rPr>
            </w:r>
            <w:r>
              <w:rPr>
                <w:rFonts w:ascii="Times New Roman" w:hAnsi="Times New Roman" w:eastAsia="宋体"/>
                <w:b w:val="0"/>
                <w:sz w:val="20"/>
              </w:rPr>
              <w:t>4</w:t>
            </w:r>
          </w:p>
        </w:tc>
        <w:tc>
          <w:tcPr>
            <w:tcW w:type="dxa" w:w="1728"/>
          </w:tcPr>
          <w:p>
            <w:pPr>
              <w:spacing w:line="324" w:lineRule="auto" w:after="40"/>
            </w:pPr>
            <w:r>
              <w:rPr>
                <w:sz w:val="20"/>
              </w:rPr>
            </w:r>
            <w:r>
              <w:rPr>
                <w:rFonts w:ascii="Times New Roman" w:hAnsi="Times New Roman" w:eastAsia="宋体"/>
                <w:b w:val="0"/>
                <w:sz w:val="20"/>
              </w:rPr>
              <w:t>97,297.6</w:t>
            </w:r>
          </w:p>
        </w:tc>
        <w:tc>
          <w:tcPr>
            <w:tcW w:type="dxa" w:w="1728"/>
          </w:tcPr>
          <w:p>
            <w:pPr>
              <w:spacing w:line="324" w:lineRule="auto" w:after="40"/>
            </w:pPr>
            <w:r>
              <w:rPr>
                <w:sz w:val="20"/>
              </w:rPr>
            </w:r>
            <w:r>
              <w:rPr>
                <w:rFonts w:ascii="Times New Roman" w:hAnsi="Times New Roman" w:eastAsia="宋体"/>
                <w:b w:val="0"/>
                <w:sz w:val="20"/>
              </w:rPr>
              <w:t>0.895</w:t>
            </w:r>
          </w:p>
        </w:tc>
        <w:tc>
          <w:tcPr>
            <w:tcW w:type="dxa" w:w="1728"/>
          </w:tcPr>
          <w:p>
            <w:pPr>
              <w:spacing w:line="324" w:lineRule="auto" w:after="40"/>
            </w:pPr>
            <w:r>
              <w:rPr>
                <w:sz w:val="20"/>
              </w:rPr>
            </w:r>
            <w:r>
              <w:rPr>
                <w:rFonts w:ascii="Times New Roman" w:hAnsi="Times New Roman" w:eastAsia="宋体"/>
                <w:b w:val="0"/>
                <w:sz w:val="20"/>
              </w:rPr>
              <w:t>0.826</w:t>
            </w:r>
          </w:p>
        </w:tc>
        <w:tc>
          <w:tcPr>
            <w:tcW w:type="dxa" w:w="1728"/>
          </w:tcPr>
          <w:p>
            <w:pPr>
              <w:spacing w:line="324" w:lineRule="auto" w:after="40"/>
            </w:pPr>
            <w:r>
              <w:rPr>
                <w:sz w:val="20"/>
              </w:rPr>
            </w:r>
            <w:r>
              <w:rPr>
                <w:rFonts w:ascii="Times New Roman" w:hAnsi="Times New Roman" w:eastAsia="宋体"/>
                <w:b w:val="0"/>
                <w:sz w:val="20"/>
              </w:rPr>
              <w:t>1.2</w:t>
            </w:r>
          </w:p>
        </w:tc>
      </w:tr>
      <w:tr>
        <w:tc>
          <w:tcPr>
            <w:tcW w:type="dxa" w:w="1728"/>
          </w:tcPr>
          <w:p>
            <w:pPr>
              <w:spacing w:line="324" w:lineRule="auto" w:after="40"/>
            </w:pPr>
            <w:r>
              <w:rPr>
                <w:sz w:val="20"/>
              </w:rPr>
            </w:r>
            <w:r>
              <w:rPr>
                <w:rFonts w:ascii="Times New Roman" w:hAnsi="Times New Roman" w:eastAsia="宋体"/>
                <w:b w:val="0"/>
                <w:sz w:val="20"/>
              </w:rPr>
              <w:t>5</w:t>
            </w:r>
          </w:p>
        </w:tc>
        <w:tc>
          <w:tcPr>
            <w:tcW w:type="dxa" w:w="1728"/>
          </w:tcPr>
          <w:p>
            <w:pPr>
              <w:spacing w:line="324" w:lineRule="auto" w:after="40"/>
            </w:pPr>
            <w:r>
              <w:rPr>
                <w:sz w:val="20"/>
              </w:rPr>
            </w:r>
            <w:r>
              <w:rPr>
                <w:rFonts w:ascii="Times New Roman" w:hAnsi="Times New Roman" w:eastAsia="宋体"/>
                <w:b w:val="0"/>
                <w:sz w:val="20"/>
              </w:rPr>
              <w:t>97,275.1</w:t>
            </w:r>
          </w:p>
        </w:tc>
        <w:tc>
          <w:tcPr>
            <w:tcW w:type="dxa" w:w="1728"/>
          </w:tcPr>
          <w:p>
            <w:pPr>
              <w:spacing w:line="324" w:lineRule="auto" w:after="40"/>
            </w:pPr>
            <w:r>
              <w:rPr>
                <w:sz w:val="20"/>
              </w:rPr>
            </w:r>
            <w:r>
              <w:rPr>
                <w:rFonts w:ascii="Times New Roman" w:hAnsi="Times New Roman" w:eastAsia="宋体"/>
                <w:b w:val="0"/>
                <w:sz w:val="20"/>
              </w:rPr>
              <w:t>0.858</w:t>
            </w:r>
          </w:p>
        </w:tc>
        <w:tc>
          <w:tcPr>
            <w:tcW w:type="dxa" w:w="1728"/>
          </w:tcPr>
          <w:p>
            <w:pPr>
              <w:spacing w:line="324" w:lineRule="auto" w:after="40"/>
            </w:pPr>
            <w:r>
              <w:rPr>
                <w:sz w:val="20"/>
              </w:rPr>
            </w:r>
            <w:r>
              <w:rPr>
                <w:rFonts w:ascii="Times New Roman" w:hAnsi="Times New Roman" w:eastAsia="宋体"/>
                <w:b w:val="0"/>
                <w:sz w:val="20"/>
              </w:rPr>
              <w:t>0.715</w:t>
            </w:r>
          </w:p>
        </w:tc>
        <w:tc>
          <w:tcPr>
            <w:tcW w:type="dxa" w:w="1728"/>
          </w:tcPr>
          <w:p>
            <w:pPr>
              <w:spacing w:line="324" w:lineRule="auto" w:after="40"/>
            </w:pPr>
            <w:r>
              <w:rPr>
                <w:sz w:val="20"/>
              </w:rPr>
            </w:r>
            <w:r>
              <w:rPr>
                <w:rFonts w:ascii="Times New Roman" w:hAnsi="Times New Roman" w:eastAsia="宋体"/>
                <w:b w:val="0"/>
                <w:sz w:val="20"/>
              </w:rPr>
              <w:t>0.8</w:t>
            </w:r>
          </w:p>
        </w:tc>
      </w:tr>
    </w:tbl>
    <w:p/>
    <w:p>
      <w:pPr>
        <w:spacing w:line="360" w:lineRule="auto"/>
      </w:pPr>
      <w:r>
        <w:rPr>
          <w:rFonts w:ascii="Times New Roman" w:hAnsi="Times New Roman" w:eastAsia="宋体"/>
          <w:b w:val="0"/>
          <w:sz w:val="21"/>
        </w:rPr>
        <w:t>*Panel B: quadratic versus linear specification (three-class solutions).*</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2160"/>
        <w:gridCol w:w="2160"/>
        <w:gridCol w:w="2160"/>
        <w:gridCol w:w="2160"/>
      </w:tblGrid>
      <w:tr>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Specification</w:t>
            </w:r>
          </w:p>
        </w:tc>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BIC</w:t>
            </w:r>
          </w:p>
        </w:tc>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Min class %</w:t>
            </w:r>
          </w:p>
        </w:tc>
        <w:tc>
          <w:tcPr>
            <w:tcW w:type="dxa" w:w="2160"/>
            <w:tcBorders>
              <w:bottom w:val="single" w:sz="6" w:color="000000" w:space="0"/>
            </w:tcBorders>
          </w:tcPr>
          <w:p>
            <w:pPr>
              <w:spacing w:line="324" w:lineRule="auto" w:after="40"/>
            </w:pPr>
            <w:r>
              <w:rPr>
                <w:b/>
                <w:sz w:val="20"/>
              </w:rPr>
            </w:r>
            <w:r>
              <w:rPr>
                <w:rFonts w:ascii="Times New Roman" w:hAnsi="Times New Roman" w:eastAsia="宋体"/>
                <w:b/>
                <w:sz w:val="20"/>
              </w:rPr>
              <w:t>Interpretation</w:t>
            </w:r>
          </w:p>
        </w:tc>
      </w:tr>
      <w:tr>
        <w:tc>
          <w:tcPr>
            <w:tcW w:type="dxa" w:w="2160"/>
          </w:tcPr>
          <w:p>
            <w:pPr>
              <w:spacing w:line="324" w:lineRule="auto" w:after="40"/>
            </w:pPr>
            <w:r>
              <w:rPr>
                <w:sz w:val="20"/>
              </w:rPr>
            </w:r>
            <w:r>
              <w:rPr>
                <w:rFonts w:ascii="Times New Roman" w:hAnsi="Times New Roman" w:eastAsia="宋体"/>
                <w:b w:val="0"/>
                <w:sz w:val="20"/>
              </w:rPr>
              <w:t>Quadratic time (primary)</w:t>
            </w:r>
          </w:p>
        </w:tc>
        <w:tc>
          <w:tcPr>
            <w:tcW w:type="dxa" w:w="2160"/>
          </w:tcPr>
          <w:p>
            <w:pPr>
              <w:spacing w:line="324" w:lineRule="auto" w:after="40"/>
            </w:pPr>
            <w:r>
              <w:rPr>
                <w:sz w:val="20"/>
              </w:rPr>
            </w:r>
            <w:r>
              <w:rPr>
                <w:rFonts w:ascii="Times New Roman" w:hAnsi="Times New Roman" w:eastAsia="宋体"/>
                <w:b w:val="0"/>
                <w:sz w:val="20"/>
              </w:rPr>
              <w:t>92,181.7</w:t>
            </w:r>
          </w:p>
        </w:tc>
        <w:tc>
          <w:tcPr>
            <w:tcW w:type="dxa" w:w="2160"/>
          </w:tcPr>
          <w:p>
            <w:pPr>
              <w:spacing w:line="324" w:lineRule="auto" w:after="40"/>
            </w:pPr>
            <w:r>
              <w:rPr>
                <w:sz w:val="20"/>
              </w:rPr>
            </w:r>
            <w:r>
              <w:rPr>
                <w:rFonts w:ascii="Times New Roman" w:hAnsi="Times New Roman" w:eastAsia="宋体"/>
                <w:b w:val="0"/>
                <w:sz w:val="20"/>
              </w:rPr>
              <w:t>10.7</w:t>
            </w:r>
          </w:p>
        </w:tc>
        <w:tc>
          <w:tcPr>
            <w:tcW w:type="dxa" w:w="2160"/>
          </w:tcPr>
          <w:p>
            <w:pPr>
              <w:spacing w:line="324" w:lineRule="auto" w:after="40"/>
            </w:pPr>
            <w:r>
              <w:rPr>
                <w:sz w:val="20"/>
              </w:rPr>
            </w:r>
            <w:r>
              <w:rPr>
                <w:rFonts w:ascii="Times New Roman" w:hAnsi="Times New Roman" w:eastAsia="宋体"/>
                <w:b w:val="0"/>
                <w:sz w:val="20"/>
              </w:rPr>
              <w:t>Selected</w:t>
            </w:r>
          </w:p>
        </w:tc>
      </w:tr>
      <w:tr>
        <w:tc>
          <w:tcPr>
            <w:tcW w:type="dxa" w:w="2160"/>
          </w:tcPr>
          <w:p>
            <w:pPr>
              <w:spacing w:line="324" w:lineRule="auto" w:after="40"/>
            </w:pPr>
            <w:r>
              <w:rPr>
                <w:sz w:val="20"/>
              </w:rPr>
            </w:r>
            <w:r>
              <w:rPr>
                <w:rFonts w:ascii="Times New Roman" w:hAnsi="Times New Roman" w:eastAsia="宋体"/>
                <w:b w:val="0"/>
                <w:sz w:val="20"/>
              </w:rPr>
              <w:t>Linear time only</w:t>
            </w:r>
          </w:p>
        </w:tc>
        <w:tc>
          <w:tcPr>
            <w:tcW w:type="dxa" w:w="2160"/>
          </w:tcPr>
          <w:p>
            <w:pPr>
              <w:spacing w:line="324" w:lineRule="auto" w:after="40"/>
            </w:pPr>
            <w:r>
              <w:rPr>
                <w:sz w:val="20"/>
              </w:rPr>
            </w:r>
            <w:r>
              <w:rPr>
                <w:rFonts w:ascii="Times New Roman" w:hAnsi="Times New Roman" w:eastAsia="宋体"/>
                <w:b w:val="0"/>
                <w:sz w:val="20"/>
              </w:rPr>
              <w:t>97,453.0</w:t>
            </w:r>
          </w:p>
        </w:tc>
        <w:tc>
          <w:tcPr>
            <w:tcW w:type="dxa" w:w="2160"/>
          </w:tcPr>
          <w:p>
            <w:pPr>
              <w:spacing w:line="324" w:lineRule="auto" w:after="40"/>
            </w:pPr>
            <w:r>
              <w:rPr>
                <w:sz w:val="20"/>
              </w:rPr>
            </w:r>
            <w:r>
              <w:rPr>
                <w:rFonts w:ascii="Times New Roman" w:hAnsi="Times New Roman" w:eastAsia="宋体"/>
                <w:b w:val="0"/>
                <w:sz w:val="20"/>
              </w:rPr>
              <w:t>10.3</w:t>
            </w:r>
          </w:p>
        </w:tc>
        <w:tc>
          <w:tcPr>
            <w:tcW w:type="dxa" w:w="2160"/>
          </w:tcPr>
          <w:p>
            <w:pPr>
              <w:spacing w:line="324" w:lineRule="auto" w:after="40"/>
            </w:pPr>
            <w:r>
              <w:rPr>
                <w:sz w:val="20"/>
              </w:rPr>
            </w:r>
            <w:r>
              <w:rPr>
                <w:rFonts w:ascii="Times New Roman" w:hAnsi="Times New Roman" w:eastAsia="宋体"/>
                <w:b w:val="0"/>
                <w:sz w:val="20"/>
              </w:rPr>
              <w:t>Decisively worse fit (ΔBIC ≈ 5,270); similar class structure</w:t>
            </w:r>
          </w:p>
        </w:tc>
      </w:tr>
    </w:tbl>
    <w:p/>
    <w:p>
      <w:pPr>
        <w:spacing w:line="360" w:lineRule="auto"/>
      </w:pPr>
      <w:r>
        <w:rPr>
          <w:rFonts w:ascii="Times New Roman" w:hAnsi="Times New Roman" w:eastAsia="宋体"/>
          <w:b w:val="0"/>
          <w:sz w:val="21"/>
        </w:rPr>
        <w:t>*Panel C: classification quality by class (primary three-class solution).*</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2880"/>
        <w:gridCol w:w="2880"/>
        <w:gridCol w:w="2880"/>
      </w:tblGrid>
      <w:tr>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Class</w:t>
            </w:r>
          </w:p>
        </w:tc>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n</w:t>
            </w:r>
          </w:p>
        </w:tc>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Mean maximum posterior probability</w:t>
            </w:r>
          </w:p>
        </w:tc>
      </w:tr>
      <w:tr>
        <w:tc>
          <w:tcPr>
            <w:tcW w:type="dxa" w:w="2880"/>
          </w:tcPr>
          <w:p>
            <w:pPr>
              <w:spacing w:line="324" w:lineRule="auto" w:after="40"/>
            </w:pPr>
            <w:r>
              <w:rPr>
                <w:sz w:val="20"/>
              </w:rPr>
            </w:r>
            <w:r>
              <w:rPr>
                <w:rFonts w:ascii="Times New Roman" w:hAnsi="Times New Roman" w:eastAsia="宋体"/>
                <w:b w:val="0"/>
                <w:sz w:val="20"/>
              </w:rPr>
              <w:t>Persistent high</w:t>
            </w:r>
          </w:p>
        </w:tc>
        <w:tc>
          <w:tcPr>
            <w:tcW w:type="dxa" w:w="2880"/>
          </w:tcPr>
          <w:p>
            <w:pPr>
              <w:spacing w:line="324" w:lineRule="auto" w:after="40"/>
            </w:pPr>
            <w:r>
              <w:rPr>
                <w:sz w:val="20"/>
              </w:rPr>
            </w:r>
            <w:r>
              <w:rPr>
                <w:rFonts w:ascii="Times New Roman" w:hAnsi="Times New Roman" w:eastAsia="宋体"/>
                <w:b w:val="0"/>
                <w:sz w:val="20"/>
              </w:rPr>
              <w:t>2,048</w:t>
            </w:r>
          </w:p>
        </w:tc>
        <w:tc>
          <w:tcPr>
            <w:tcW w:type="dxa" w:w="2880"/>
          </w:tcPr>
          <w:p>
            <w:pPr>
              <w:spacing w:line="324" w:lineRule="auto" w:after="40"/>
            </w:pPr>
            <w:r>
              <w:rPr>
                <w:sz w:val="20"/>
              </w:rPr>
            </w:r>
            <w:r>
              <w:rPr>
                <w:rFonts w:ascii="Times New Roman" w:hAnsi="Times New Roman" w:eastAsia="宋体"/>
                <w:b w:val="0"/>
                <w:sz w:val="20"/>
              </w:rPr>
              <w:t>0.881</w:t>
            </w:r>
          </w:p>
        </w:tc>
      </w:tr>
      <w:tr>
        <w:tc>
          <w:tcPr>
            <w:tcW w:type="dxa" w:w="2880"/>
          </w:tcPr>
          <w:p>
            <w:pPr>
              <w:spacing w:line="324" w:lineRule="auto" w:after="40"/>
            </w:pPr>
            <w:r>
              <w:rPr>
                <w:sz w:val="20"/>
              </w:rPr>
            </w:r>
            <w:r>
              <w:rPr>
                <w:rFonts w:ascii="Times New Roman" w:hAnsi="Times New Roman" w:eastAsia="宋体"/>
                <w:b w:val="0"/>
                <w:sz w:val="20"/>
              </w:rPr>
              <w:t>Persistent moderate</w:t>
            </w:r>
          </w:p>
        </w:tc>
        <w:tc>
          <w:tcPr>
            <w:tcW w:type="dxa" w:w="2880"/>
          </w:tcPr>
          <w:p>
            <w:pPr>
              <w:spacing w:line="324" w:lineRule="auto" w:after="40"/>
            </w:pPr>
            <w:r>
              <w:rPr>
                <w:sz w:val="20"/>
              </w:rPr>
            </w:r>
            <w:r>
              <w:rPr>
                <w:rFonts w:ascii="Times New Roman" w:hAnsi="Times New Roman" w:eastAsia="宋体"/>
                <w:b w:val="0"/>
                <w:sz w:val="20"/>
              </w:rPr>
              <w:t>2,084</w:t>
            </w:r>
          </w:p>
        </w:tc>
        <w:tc>
          <w:tcPr>
            <w:tcW w:type="dxa" w:w="2880"/>
          </w:tcPr>
          <w:p>
            <w:pPr>
              <w:spacing w:line="324" w:lineRule="auto" w:after="40"/>
            </w:pPr>
            <w:r>
              <w:rPr>
                <w:sz w:val="20"/>
              </w:rPr>
            </w:r>
            <w:r>
              <w:rPr>
                <w:rFonts w:ascii="Times New Roman" w:hAnsi="Times New Roman" w:eastAsia="宋体"/>
                <w:b w:val="0"/>
                <w:sz w:val="20"/>
              </w:rPr>
              <w:t>0.834</w:t>
            </w:r>
          </w:p>
        </w:tc>
      </w:tr>
      <w:tr>
        <w:tc>
          <w:tcPr>
            <w:tcW w:type="dxa" w:w="2880"/>
          </w:tcPr>
          <w:p>
            <w:pPr>
              <w:spacing w:line="324" w:lineRule="auto" w:after="40"/>
            </w:pPr>
            <w:r>
              <w:rPr>
                <w:sz w:val="20"/>
              </w:rPr>
            </w:r>
            <w:r>
              <w:rPr>
                <w:rFonts w:ascii="Times New Roman" w:hAnsi="Times New Roman" w:eastAsia="宋体"/>
                <w:b w:val="0"/>
                <w:sz w:val="20"/>
              </w:rPr>
              <w:t>Persistent low</w:t>
            </w:r>
          </w:p>
        </w:tc>
        <w:tc>
          <w:tcPr>
            <w:tcW w:type="dxa" w:w="2880"/>
          </w:tcPr>
          <w:p>
            <w:pPr>
              <w:spacing w:line="324" w:lineRule="auto" w:after="40"/>
            </w:pPr>
            <w:r>
              <w:rPr>
                <w:sz w:val="20"/>
              </w:rPr>
            </w:r>
            <w:r>
              <w:rPr>
                <w:rFonts w:ascii="Times New Roman" w:hAnsi="Times New Roman" w:eastAsia="宋体"/>
                <w:b w:val="0"/>
                <w:sz w:val="20"/>
              </w:rPr>
              <w:t>493</w:t>
            </w:r>
          </w:p>
        </w:tc>
        <w:tc>
          <w:tcPr>
            <w:tcW w:type="dxa" w:w="2880"/>
          </w:tcPr>
          <w:p>
            <w:pPr>
              <w:spacing w:line="324" w:lineRule="auto" w:after="40"/>
            </w:pPr>
            <w:r>
              <w:rPr>
                <w:sz w:val="20"/>
              </w:rPr>
            </w:r>
            <w:r>
              <w:rPr>
                <w:rFonts w:ascii="Times New Roman" w:hAnsi="Times New Roman" w:eastAsia="宋体"/>
                <w:b w:val="0"/>
                <w:sz w:val="20"/>
              </w:rPr>
              <w:t>0.850</w:t>
            </w:r>
          </w:p>
        </w:tc>
      </w:tr>
      <w:tr>
        <w:tc>
          <w:tcPr>
            <w:tcW w:type="dxa" w:w="2880"/>
          </w:tcPr>
          <w:p>
            <w:pPr>
              <w:spacing w:line="324" w:lineRule="auto" w:after="40"/>
            </w:pPr>
            <w:r>
              <w:rPr>
                <w:sz w:val="20"/>
              </w:rPr>
            </w:r>
            <w:r>
              <w:rPr>
                <w:rFonts w:ascii="Times New Roman" w:hAnsi="Times New Roman" w:eastAsia="宋体"/>
                <w:b w:val="0"/>
                <w:sz w:val="20"/>
              </w:rPr>
              <w:t>Overall (pooled)</w:t>
            </w:r>
          </w:p>
        </w:tc>
        <w:tc>
          <w:tcPr>
            <w:tcW w:type="dxa" w:w="2880"/>
          </w:tcPr>
          <w:p>
            <w:pPr>
              <w:spacing w:line="324" w:lineRule="auto" w:after="40"/>
            </w:pPr>
            <w:r>
              <w:rPr>
                <w:sz w:val="20"/>
              </w:rPr>
            </w:r>
            <w:r>
              <w:rPr>
                <w:rFonts w:ascii="Times New Roman" w:hAnsi="Times New Roman" w:eastAsia="宋体"/>
                <w:b w:val="0"/>
                <w:sz w:val="20"/>
              </w:rPr>
              <w:t>4,625</w:t>
            </w:r>
          </w:p>
        </w:tc>
        <w:tc>
          <w:tcPr>
            <w:tcW w:type="dxa" w:w="2880"/>
          </w:tcPr>
          <w:p>
            <w:pPr>
              <w:spacing w:line="324" w:lineRule="auto" w:after="40"/>
            </w:pPr>
            <w:r>
              <w:rPr>
                <w:sz w:val="20"/>
              </w:rPr>
            </w:r>
            <w:r>
              <w:rPr>
                <w:rFonts w:ascii="Times New Roman" w:hAnsi="Times New Roman" w:eastAsia="宋体"/>
                <w:b w:val="0"/>
                <w:sz w:val="20"/>
              </w:rPr>
              <w:t>0.866</w:t>
            </w:r>
          </w:p>
        </w:tc>
      </w:tr>
    </w:tbl>
    <w:p/>
    <w:p>
      <w:pPr>
        <w:spacing w:line="360" w:lineRule="auto"/>
      </w:pPr>
      <w:r>
        <w:rPr>
          <w:rFonts w:ascii="Times New Roman" w:hAnsi="Times New Roman" w:eastAsia="宋体"/>
          <w:b w:val="0"/>
          <w:sz w:val="21"/>
        </w:rPr>
        <w:t>Note: The linear-time enumeration again selects three classes under the pre-specified rule (four- and five-class minimum proportions 1.2% and 0.8%), with nearly identical class proportions; the quadratic term is decisively required by BIC. The fitted model is a latent-class linear mixed model (class-specific fixed intercept and time coefficients plus a shared random participant intercept, i.e., a growth-mixture-type specification allowing within-class heterogeneity). The Hessian of the fitted quadratic model was numerically singular at the optimum, so standard errors of class-specific parameters could not be estimated; the 95% bands in Figure 2 of the main text rest on parametric draws and should be read as indicative.</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18. Incremental-value (Aim 3) analysis sample flow.</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2880"/>
        <w:gridCol w:w="2880"/>
        <w:gridCol w:w="2880"/>
      </w:tblGrid>
      <w:tr>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Step</w:t>
            </w:r>
          </w:p>
        </w:tc>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n</w:t>
            </w:r>
          </w:p>
        </w:tc>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Events</w:t>
            </w:r>
          </w:p>
        </w:tc>
      </w:tr>
      <w:tr>
        <w:tc>
          <w:tcPr>
            <w:tcW w:type="dxa" w:w="2880"/>
          </w:tcPr>
          <w:p>
            <w:pPr>
              <w:spacing w:line="324" w:lineRule="auto" w:after="40"/>
            </w:pPr>
            <w:r>
              <w:rPr>
                <w:sz w:val="20"/>
              </w:rPr>
            </w:r>
            <w:r>
              <w:rPr>
                <w:rFonts w:ascii="Times New Roman" w:hAnsi="Times New Roman" w:eastAsia="宋体"/>
                <w:b w:val="0"/>
                <w:sz w:val="20"/>
              </w:rPr>
              <w:t>Primary risk set (free of CVM through 2015)</w:t>
            </w:r>
          </w:p>
        </w:tc>
        <w:tc>
          <w:tcPr>
            <w:tcW w:type="dxa" w:w="2880"/>
          </w:tcPr>
          <w:p>
            <w:pPr>
              <w:spacing w:line="324" w:lineRule="auto" w:after="40"/>
            </w:pPr>
            <w:r>
              <w:rPr>
                <w:sz w:val="20"/>
              </w:rPr>
            </w:r>
            <w:r>
              <w:rPr>
                <w:rFonts w:ascii="Times New Roman" w:hAnsi="Times New Roman" w:eastAsia="宋体"/>
                <w:b w:val="0"/>
                <w:sz w:val="20"/>
              </w:rPr>
              <w:t>4,547</w:t>
            </w:r>
          </w:p>
        </w:tc>
        <w:tc>
          <w:tcPr>
            <w:tcW w:type="dxa" w:w="2880"/>
          </w:tcPr>
          <w:p>
            <w:pPr>
              <w:spacing w:line="324" w:lineRule="auto" w:after="40"/>
            </w:pPr>
            <w:r>
              <w:rPr>
                <w:sz w:val="20"/>
              </w:rPr>
            </w:r>
            <w:r>
              <w:rPr>
                <w:rFonts w:ascii="Times New Roman" w:hAnsi="Times New Roman" w:eastAsia="宋体"/>
                <w:b w:val="0"/>
                <w:sz w:val="20"/>
              </w:rPr>
              <w:t>330</w:t>
            </w:r>
          </w:p>
        </w:tc>
      </w:tr>
      <w:tr>
        <w:tc>
          <w:tcPr>
            <w:tcW w:type="dxa" w:w="2880"/>
          </w:tcPr>
          <w:p>
            <w:pPr>
              <w:spacing w:line="324" w:lineRule="auto" w:after="40"/>
            </w:pPr>
            <w:r>
              <w:rPr>
                <w:sz w:val="20"/>
              </w:rPr>
            </w:r>
            <w:r>
              <w:rPr>
                <w:rFonts w:ascii="Times New Roman" w:hAnsi="Times New Roman" w:eastAsia="宋体"/>
                <w:b w:val="0"/>
                <w:sz w:val="20"/>
              </w:rPr>
              <w:t>With baseline (2011) LE8 total</w:t>
            </w:r>
          </w:p>
        </w:tc>
        <w:tc>
          <w:tcPr>
            <w:tcW w:type="dxa" w:w="2880"/>
          </w:tcPr>
          <w:p>
            <w:pPr>
              <w:spacing w:line="324" w:lineRule="auto" w:after="40"/>
            </w:pPr>
            <w:r>
              <w:rPr>
                <w:sz w:val="20"/>
              </w:rPr>
            </w:r>
            <w:r>
              <w:rPr>
                <w:rFonts w:ascii="Times New Roman" w:hAnsi="Times New Roman" w:eastAsia="宋体"/>
                <w:b w:val="0"/>
                <w:sz w:val="20"/>
              </w:rPr>
              <w:t>4,046</w:t>
            </w:r>
          </w:p>
        </w:tc>
        <w:tc>
          <w:tcPr>
            <w:tcW w:type="dxa" w:w="2880"/>
          </w:tcPr>
          <w:p>
            <w:pPr>
              <w:spacing w:line="324" w:lineRule="auto" w:after="40"/>
            </w:pPr>
            <w:r>
              <w:rPr>
                <w:sz w:val="20"/>
              </w:rPr>
            </w:r>
            <w:r>
              <w:rPr>
                <w:rFonts w:ascii="Times New Roman" w:hAnsi="Times New Roman" w:eastAsia="宋体"/>
                <w:b w:val="0"/>
                <w:sz w:val="20"/>
              </w:rPr>
              <w:t>295</w:t>
            </w:r>
          </w:p>
        </w:tc>
      </w:tr>
      <w:tr>
        <w:tc>
          <w:tcPr>
            <w:tcW w:type="dxa" w:w="2880"/>
          </w:tcPr>
          <w:p>
            <w:pPr>
              <w:spacing w:line="324" w:lineRule="auto" w:after="40"/>
            </w:pPr>
            <w:r>
              <w:rPr>
                <w:sz w:val="20"/>
              </w:rPr>
            </w:r>
            <w:r>
              <w:rPr>
                <w:rFonts w:ascii="Times New Roman" w:hAnsi="Times New Roman" w:eastAsia="宋体"/>
                <w:b w:val="0"/>
                <w:sz w:val="20"/>
              </w:rPr>
              <w:t>Without baseline total (scored waves 2013 + 2015 only)</w:t>
            </w:r>
          </w:p>
        </w:tc>
        <w:tc>
          <w:tcPr>
            <w:tcW w:type="dxa" w:w="2880"/>
          </w:tcPr>
          <w:p>
            <w:pPr>
              <w:spacing w:line="324" w:lineRule="auto" w:after="40"/>
            </w:pPr>
            <w:r>
              <w:rPr>
                <w:sz w:val="20"/>
              </w:rPr>
            </w:r>
            <w:r>
              <w:rPr>
                <w:rFonts w:ascii="Times New Roman" w:hAnsi="Times New Roman" w:eastAsia="宋体"/>
                <w:b w:val="0"/>
                <w:sz w:val="20"/>
              </w:rPr>
              <w:t>501</w:t>
            </w:r>
          </w:p>
        </w:tc>
        <w:tc>
          <w:tcPr>
            <w:tcW w:type="dxa" w:w="2880"/>
          </w:tcPr>
          <w:p>
            <w:pPr>
              <w:spacing w:line="324" w:lineRule="auto" w:after="40"/>
            </w:pPr>
            <w:r>
              <w:rPr>
                <w:sz w:val="20"/>
              </w:rPr>
            </w:r>
            <w:r>
              <w:rPr>
                <w:rFonts w:ascii="Times New Roman" w:hAnsi="Times New Roman" w:eastAsia="宋体"/>
                <w:b w:val="0"/>
                <w:sz w:val="20"/>
              </w:rPr>
              <w:t>35</w:t>
            </w:r>
          </w:p>
        </w:tc>
      </w:tr>
      <w:tr>
        <w:tc>
          <w:tcPr>
            <w:tcW w:type="dxa" w:w="2880"/>
          </w:tcPr>
          <w:p>
            <w:pPr>
              <w:spacing w:line="324" w:lineRule="auto" w:after="40"/>
            </w:pPr>
            <w:r>
              <w:rPr>
                <w:sz w:val="20"/>
              </w:rPr>
            </w:r>
            <w:r>
              <w:rPr>
                <w:rFonts w:ascii="Times New Roman" w:hAnsi="Times New Roman" w:eastAsia="宋体"/>
                <w:b w:val="0"/>
                <w:sz w:val="20"/>
              </w:rPr>
              <w:t>With baseline total × Model 1–3 complete cases</w:t>
            </w:r>
          </w:p>
        </w:tc>
        <w:tc>
          <w:tcPr>
            <w:tcW w:type="dxa" w:w="2880"/>
          </w:tcPr>
          <w:p>
            <w:pPr>
              <w:spacing w:line="324" w:lineRule="auto" w:after="40"/>
            </w:pPr>
            <w:r>
              <w:rPr>
                <w:sz w:val="20"/>
              </w:rPr>
            </w:r>
            <w:r>
              <w:rPr>
                <w:rFonts w:ascii="Times New Roman" w:hAnsi="Times New Roman" w:eastAsia="宋体"/>
                <w:b w:val="0"/>
                <w:sz w:val="20"/>
              </w:rPr>
              <w:t>3,434</w:t>
            </w:r>
          </w:p>
        </w:tc>
        <w:tc>
          <w:tcPr>
            <w:tcW w:type="dxa" w:w="2880"/>
          </w:tcPr>
          <w:p>
            <w:pPr>
              <w:spacing w:line="324" w:lineRule="auto" w:after="40"/>
            </w:pPr>
            <w:r>
              <w:rPr>
                <w:sz w:val="20"/>
              </w:rPr>
            </w:r>
            <w:r>
              <w:rPr>
                <w:rFonts w:ascii="Times New Roman" w:hAnsi="Times New Roman" w:eastAsia="宋体"/>
                <w:b w:val="0"/>
                <w:sz w:val="20"/>
              </w:rPr>
              <w:t>251</w:t>
            </w:r>
          </w:p>
        </w:tc>
      </w:tr>
      <w:tr>
        <w:tc>
          <w:tcPr>
            <w:tcW w:type="dxa" w:w="2880"/>
          </w:tcPr>
          <w:p>
            <w:pPr>
              <w:spacing w:line="324" w:lineRule="auto" w:after="40"/>
            </w:pPr>
            <w:r>
              <w:rPr>
                <w:sz w:val="20"/>
              </w:rPr>
            </w:r>
            <w:r>
              <w:rPr>
                <w:rFonts w:ascii="Times New Roman" w:hAnsi="Times New Roman" w:eastAsia="宋体"/>
                <w:b w:val="0"/>
                <w:sz w:val="20"/>
              </w:rPr>
              <w:t>With baseline total × joint model complete cases (Model 3 + baseline LE8)</w:t>
            </w:r>
          </w:p>
        </w:tc>
        <w:tc>
          <w:tcPr>
            <w:tcW w:type="dxa" w:w="2880"/>
          </w:tcPr>
          <w:p>
            <w:pPr>
              <w:spacing w:line="324" w:lineRule="auto" w:after="40"/>
            </w:pPr>
            <w:r>
              <w:rPr>
                <w:sz w:val="20"/>
              </w:rPr>
            </w:r>
            <w:r>
              <w:rPr>
                <w:rFonts w:ascii="Times New Roman" w:hAnsi="Times New Roman" w:eastAsia="宋体"/>
                <w:b w:val="0"/>
                <w:sz w:val="20"/>
              </w:rPr>
              <w:t>3,434</w:t>
            </w:r>
          </w:p>
        </w:tc>
        <w:tc>
          <w:tcPr>
            <w:tcW w:type="dxa" w:w="2880"/>
          </w:tcPr>
          <w:p>
            <w:pPr>
              <w:spacing w:line="324" w:lineRule="auto" w:after="40"/>
            </w:pPr>
            <w:r>
              <w:rPr>
                <w:sz w:val="20"/>
              </w:rPr>
            </w:r>
            <w:r>
              <w:rPr>
                <w:rFonts w:ascii="Times New Roman" w:hAnsi="Times New Roman" w:eastAsia="宋体"/>
                <w:b w:val="0"/>
                <w:sz w:val="20"/>
              </w:rPr>
              <w:t>251</w:t>
            </w:r>
          </w:p>
        </w:tc>
      </w:tr>
      <w:tr>
        <w:tc>
          <w:tcPr>
            <w:tcW w:type="dxa" w:w="2880"/>
          </w:tcPr>
          <w:p>
            <w:pPr>
              <w:spacing w:line="324" w:lineRule="auto" w:after="40"/>
            </w:pPr>
            <w:r>
              <w:rPr>
                <w:sz w:val="20"/>
              </w:rPr>
            </w:r>
            <w:r>
              <w:rPr>
                <w:rFonts w:ascii="Times New Roman" w:hAnsi="Times New Roman" w:eastAsia="宋体"/>
                <w:b w:val="0"/>
                <w:sz w:val="20"/>
              </w:rPr>
              <w:t>ΔLE8 analysis (baseline + 2015 scores)</w:t>
            </w:r>
          </w:p>
        </w:tc>
        <w:tc>
          <w:tcPr>
            <w:tcW w:type="dxa" w:w="2880"/>
          </w:tcPr>
          <w:p>
            <w:pPr>
              <w:spacing w:line="324" w:lineRule="auto" w:after="40"/>
            </w:pPr>
            <w:r>
              <w:rPr>
                <w:sz w:val="20"/>
              </w:rPr>
            </w:r>
            <w:r>
              <w:rPr>
                <w:rFonts w:ascii="Times New Roman" w:hAnsi="Times New Roman" w:eastAsia="宋体"/>
                <w:b w:val="0"/>
                <w:sz w:val="20"/>
              </w:rPr>
              <w:t>3,761</w:t>
            </w:r>
          </w:p>
        </w:tc>
        <w:tc>
          <w:tcPr>
            <w:tcW w:type="dxa" w:w="2880"/>
          </w:tcPr>
          <w:p>
            <w:pPr>
              <w:spacing w:line="324" w:lineRule="auto" w:after="40"/>
            </w:pPr>
            <w:r>
              <w:rPr>
                <w:sz w:val="20"/>
              </w:rPr>
            </w:r>
            <w:r>
              <w:rPr>
                <w:rFonts w:ascii="Times New Roman" w:hAnsi="Times New Roman" w:eastAsia="宋体"/>
                <w:b w:val="0"/>
                <w:sz w:val="20"/>
              </w:rPr>
              <w:t>283</w:t>
            </w:r>
          </w:p>
        </w:tc>
      </w:tr>
      <w:tr>
        <w:tc>
          <w:tcPr>
            <w:tcW w:type="dxa" w:w="2880"/>
          </w:tcPr>
          <w:p>
            <w:pPr>
              <w:spacing w:line="324" w:lineRule="auto" w:after="40"/>
            </w:pPr>
            <w:r>
              <w:rPr>
                <w:sz w:val="20"/>
              </w:rPr>
            </w:r>
            <w:r>
              <w:rPr>
                <w:rFonts w:ascii="Times New Roman" w:hAnsi="Times New Roman" w:eastAsia="宋体"/>
                <w:b w:val="0"/>
                <w:sz w:val="20"/>
              </w:rPr>
              <w:t>Within-tertile associations (complete cases with baseline total)</w:t>
            </w:r>
          </w:p>
        </w:tc>
        <w:tc>
          <w:tcPr>
            <w:tcW w:type="dxa" w:w="2880"/>
          </w:tcPr>
          <w:p>
            <w:pPr>
              <w:spacing w:line="324" w:lineRule="auto" w:after="40"/>
            </w:pPr>
            <w:r>
              <w:rPr>
                <w:sz w:val="20"/>
              </w:rPr>
            </w:r>
            <w:r>
              <w:rPr>
                <w:rFonts w:ascii="Times New Roman" w:hAnsi="Times New Roman" w:eastAsia="宋体"/>
                <w:b w:val="0"/>
                <w:sz w:val="20"/>
              </w:rPr>
              <w:t>3,434</w:t>
            </w:r>
          </w:p>
        </w:tc>
        <w:tc>
          <w:tcPr>
            <w:tcW w:type="dxa" w:w="2880"/>
          </w:tcPr>
          <w:p>
            <w:pPr>
              <w:spacing w:line="324" w:lineRule="auto" w:after="40"/>
            </w:pPr>
            <w:r>
              <w:rPr>
                <w:sz w:val="20"/>
              </w:rPr>
            </w:r>
            <w:r>
              <w:rPr>
                <w:rFonts w:ascii="Times New Roman" w:hAnsi="Times New Roman" w:eastAsia="宋体"/>
                <w:b w:val="0"/>
                <w:sz w:val="20"/>
              </w:rPr>
              <w:t>251</w:t>
            </w:r>
          </w:p>
        </w:tc>
      </w:tr>
    </w:tbl>
    <w:p/>
    <w:p>
      <w:pPr>
        <w:spacing w:line="360" w:lineRule="auto"/>
      </w:pPr>
      <w:r>
        <w:rPr>
          <w:rFonts w:ascii="Times New Roman" w:hAnsi="Times New Roman" w:eastAsia="宋体"/>
          <w:b w:val="0"/>
          <w:sz w:val="21"/>
        </w:rPr>
        <w:t>Note: 501 risk-set participants (11.0%) had no 2011 LE8 total because their two scored waves were 2013 and 2015 (a valid trajectory contribution under the ≥2-wave rule but no baseline level). All analyses that involve the baseline score—joint models, within-tertile comparisons, and the baseline-adjusted ΔLE8 models—were therefore restricted to the 4,046 participants with a baseline total (complete-case analyses: 3,434). The joint model in Table 2 of the main text is fitted on this common-baseline subsample, so the trajectory coefficient is interpreted at a given baseline score. Participants without a baseline total were retained in all other analyses (Models 1–3 on the full complete-case sample of 3,848; sensitivity analyses; subgroup analyses).</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eTable 19. Undetected measured hypertension at baseline (2011): prevalence, distribution across trajectory classes, association with CVM, and exclusion sensitivity analyses.</w:t>
      </w:r>
    </w:p>
    <w:p>
      <w:pPr>
        <w:spacing w:line="360" w:lineRule="auto"/>
      </w:pPr>
      <w:r>
        <w:rPr>
          <w:rFonts w:ascii="Times New Roman" w:hAnsi="Times New Roman" w:eastAsia="宋体"/>
          <w:b w:val="0"/>
          <w:sz w:val="21"/>
        </w:rPr>
        <w:t>*Panel A: prevalence and distribution.*</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440"/>
        <w:gridCol w:w="1440"/>
        <w:gridCol w:w="1440"/>
        <w:gridCol w:w="1440"/>
        <w:gridCol w:w="1440"/>
        <w:gridCol w:w="1440"/>
      </w:tblGrid>
      <w:tr>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Group</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n</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Measured HTN, %</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CVM events</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Event rate among measured-HTN+, %</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Event rate among measured-HTN−, %</w:t>
            </w:r>
          </w:p>
        </w:tc>
      </w:tr>
      <w:tr>
        <w:tc>
          <w:tcPr>
            <w:tcW w:type="dxa" w:w="1440"/>
          </w:tcPr>
          <w:p>
            <w:pPr>
              <w:spacing w:line="324" w:lineRule="auto" w:after="40"/>
            </w:pPr>
            <w:r>
              <w:rPr>
                <w:sz w:val="20"/>
              </w:rPr>
            </w:r>
            <w:r>
              <w:rPr>
                <w:rFonts w:ascii="Times New Roman" w:hAnsi="Times New Roman" w:eastAsia="宋体"/>
                <w:b w:val="0"/>
                <w:sz w:val="20"/>
              </w:rPr>
              <w:t>Persistent high</w:t>
            </w:r>
          </w:p>
        </w:tc>
        <w:tc>
          <w:tcPr>
            <w:tcW w:type="dxa" w:w="1440"/>
          </w:tcPr>
          <w:p>
            <w:pPr>
              <w:spacing w:line="324" w:lineRule="auto" w:after="40"/>
            </w:pPr>
            <w:r>
              <w:rPr>
                <w:sz w:val="20"/>
              </w:rPr>
            </w:r>
            <w:r>
              <w:rPr>
                <w:rFonts w:ascii="Times New Roman" w:hAnsi="Times New Roman" w:eastAsia="宋体"/>
                <w:b w:val="0"/>
                <w:sz w:val="20"/>
              </w:rPr>
              <w:t>2,019</w:t>
            </w:r>
          </w:p>
        </w:tc>
        <w:tc>
          <w:tcPr>
            <w:tcW w:type="dxa" w:w="1440"/>
          </w:tcPr>
          <w:p>
            <w:pPr>
              <w:spacing w:line="324" w:lineRule="auto" w:after="40"/>
            </w:pPr>
            <w:r>
              <w:rPr>
                <w:sz w:val="20"/>
              </w:rPr>
            </w:r>
            <w:r>
              <w:rPr>
                <w:rFonts w:ascii="Times New Roman" w:hAnsi="Times New Roman" w:eastAsia="宋体"/>
                <w:b w:val="0"/>
                <w:sz w:val="20"/>
              </w:rPr>
              <w:t>7.6</w:t>
            </w:r>
          </w:p>
        </w:tc>
        <w:tc>
          <w:tcPr>
            <w:tcW w:type="dxa" w:w="1440"/>
          </w:tcPr>
          <w:p>
            <w:pPr>
              <w:spacing w:line="324" w:lineRule="auto" w:after="40"/>
            </w:pPr>
            <w:r>
              <w:rPr>
                <w:sz w:val="20"/>
              </w:rPr>
            </w:r>
            <w:r>
              <w:rPr>
                <w:rFonts w:ascii="Times New Roman" w:hAnsi="Times New Roman" w:eastAsia="宋体"/>
                <w:b w:val="0"/>
                <w:sz w:val="20"/>
              </w:rPr>
              <w:t>90</w:t>
            </w:r>
          </w:p>
        </w:tc>
        <w:tc>
          <w:tcPr>
            <w:tcW w:type="dxa" w:w="1440"/>
          </w:tcPr>
          <w:p>
            <w:pPr>
              <w:spacing w:line="324" w:lineRule="auto" w:after="40"/>
            </w:pPr>
            <w:r>
              <w:rPr>
                <w:sz w:val="20"/>
              </w:rPr>
            </w:r>
            <w:r>
              <w:rPr>
                <w:rFonts w:ascii="Times New Roman" w:hAnsi="Times New Roman" w:eastAsia="宋体"/>
                <w:b w:val="0"/>
                <w:sz w:val="20"/>
              </w:rPr>
              <w:t>9.2</w:t>
            </w:r>
          </w:p>
        </w:tc>
        <w:tc>
          <w:tcPr>
            <w:tcW w:type="dxa" w:w="1440"/>
          </w:tcPr>
          <w:p>
            <w:pPr>
              <w:spacing w:line="324" w:lineRule="auto" w:after="40"/>
            </w:pPr>
            <w:r>
              <w:rPr>
                <w:sz w:val="20"/>
              </w:rPr>
            </w:r>
            <w:r>
              <w:rPr>
                <w:rFonts w:ascii="Times New Roman" w:hAnsi="Times New Roman" w:eastAsia="宋体"/>
                <w:b w:val="0"/>
                <w:sz w:val="20"/>
              </w:rPr>
              <w:t>4.1</w:t>
            </w:r>
          </w:p>
        </w:tc>
      </w:tr>
      <w:tr>
        <w:tc>
          <w:tcPr>
            <w:tcW w:type="dxa" w:w="1440"/>
          </w:tcPr>
          <w:p>
            <w:pPr>
              <w:spacing w:line="324" w:lineRule="auto" w:after="40"/>
            </w:pPr>
            <w:r>
              <w:rPr>
                <w:sz w:val="20"/>
              </w:rPr>
            </w:r>
            <w:r>
              <w:rPr>
                <w:rFonts w:ascii="Times New Roman" w:hAnsi="Times New Roman" w:eastAsia="宋体"/>
                <w:b w:val="0"/>
                <w:sz w:val="20"/>
              </w:rPr>
              <w:t>Persistent moderate</w:t>
            </w:r>
          </w:p>
        </w:tc>
        <w:tc>
          <w:tcPr>
            <w:tcW w:type="dxa" w:w="1440"/>
          </w:tcPr>
          <w:p>
            <w:pPr>
              <w:spacing w:line="324" w:lineRule="auto" w:after="40"/>
            </w:pPr>
            <w:r>
              <w:rPr>
                <w:sz w:val="20"/>
              </w:rPr>
            </w:r>
            <w:r>
              <w:rPr>
                <w:rFonts w:ascii="Times New Roman" w:hAnsi="Times New Roman" w:eastAsia="宋体"/>
                <w:b w:val="0"/>
                <w:sz w:val="20"/>
              </w:rPr>
              <w:t>2,030</w:t>
            </w:r>
          </w:p>
        </w:tc>
        <w:tc>
          <w:tcPr>
            <w:tcW w:type="dxa" w:w="1440"/>
          </w:tcPr>
          <w:p>
            <w:pPr>
              <w:spacing w:line="324" w:lineRule="auto" w:after="40"/>
            </w:pPr>
            <w:r>
              <w:rPr>
                <w:sz w:val="20"/>
              </w:rPr>
            </w:r>
            <w:r>
              <w:rPr>
                <w:rFonts w:ascii="Times New Roman" w:hAnsi="Times New Roman" w:eastAsia="宋体"/>
                <w:b w:val="0"/>
                <w:sz w:val="20"/>
              </w:rPr>
              <w:t>23.8</w:t>
            </w:r>
          </w:p>
        </w:tc>
        <w:tc>
          <w:tcPr>
            <w:tcW w:type="dxa" w:w="1440"/>
          </w:tcPr>
          <w:p>
            <w:pPr>
              <w:spacing w:line="324" w:lineRule="auto" w:after="40"/>
            </w:pPr>
            <w:r>
              <w:rPr>
                <w:sz w:val="20"/>
              </w:rPr>
            </w:r>
            <w:r>
              <w:rPr>
                <w:rFonts w:ascii="Times New Roman" w:hAnsi="Times New Roman" w:eastAsia="宋体"/>
                <w:b w:val="0"/>
                <w:sz w:val="20"/>
              </w:rPr>
              <w:t>170</w:t>
            </w:r>
          </w:p>
        </w:tc>
        <w:tc>
          <w:tcPr>
            <w:tcW w:type="dxa" w:w="1440"/>
          </w:tcPr>
          <w:p>
            <w:pPr>
              <w:spacing w:line="324" w:lineRule="auto" w:after="40"/>
            </w:pPr>
            <w:r>
              <w:rPr>
                <w:sz w:val="20"/>
              </w:rPr>
            </w:r>
            <w:r>
              <w:rPr>
                <w:rFonts w:ascii="Times New Roman" w:hAnsi="Times New Roman" w:eastAsia="宋体"/>
                <w:b w:val="0"/>
                <w:sz w:val="20"/>
              </w:rPr>
              <w:t>14.1</w:t>
            </w:r>
          </w:p>
        </w:tc>
        <w:tc>
          <w:tcPr>
            <w:tcW w:type="dxa" w:w="1440"/>
          </w:tcPr>
          <w:p>
            <w:pPr>
              <w:spacing w:line="324" w:lineRule="auto" w:after="40"/>
            </w:pPr>
            <w:r>
              <w:rPr>
                <w:sz w:val="20"/>
              </w:rPr>
            </w:r>
            <w:r>
              <w:rPr>
                <w:rFonts w:ascii="Times New Roman" w:hAnsi="Times New Roman" w:eastAsia="宋体"/>
                <w:b w:val="0"/>
                <w:sz w:val="20"/>
              </w:rPr>
              <w:t>6.6</w:t>
            </w:r>
          </w:p>
        </w:tc>
      </w:tr>
      <w:tr>
        <w:tc>
          <w:tcPr>
            <w:tcW w:type="dxa" w:w="1440"/>
          </w:tcPr>
          <w:p>
            <w:pPr>
              <w:spacing w:line="324" w:lineRule="auto" w:after="40"/>
            </w:pPr>
            <w:r>
              <w:rPr>
                <w:sz w:val="20"/>
              </w:rPr>
            </w:r>
            <w:r>
              <w:rPr>
                <w:rFonts w:ascii="Times New Roman" w:hAnsi="Times New Roman" w:eastAsia="宋体"/>
                <w:b w:val="0"/>
                <w:sz w:val="20"/>
              </w:rPr>
              <w:t>Persistent low</w:t>
            </w:r>
          </w:p>
        </w:tc>
        <w:tc>
          <w:tcPr>
            <w:tcW w:type="dxa" w:w="1440"/>
          </w:tcPr>
          <w:p>
            <w:pPr>
              <w:spacing w:line="324" w:lineRule="auto" w:after="40"/>
            </w:pPr>
            <w:r>
              <w:rPr>
                <w:sz w:val="20"/>
              </w:rPr>
            </w:r>
            <w:r>
              <w:rPr>
                <w:rFonts w:ascii="Times New Roman" w:hAnsi="Times New Roman" w:eastAsia="宋体"/>
                <w:b w:val="0"/>
                <w:sz w:val="20"/>
              </w:rPr>
              <w:t>479</w:t>
            </w:r>
          </w:p>
        </w:tc>
        <w:tc>
          <w:tcPr>
            <w:tcW w:type="dxa" w:w="1440"/>
          </w:tcPr>
          <w:p>
            <w:pPr>
              <w:spacing w:line="324" w:lineRule="auto" w:after="40"/>
            </w:pPr>
            <w:r>
              <w:rPr>
                <w:sz w:val="20"/>
              </w:rPr>
            </w:r>
            <w:r>
              <w:rPr>
                <w:rFonts w:ascii="Times New Roman" w:hAnsi="Times New Roman" w:eastAsia="宋体"/>
                <w:b w:val="0"/>
                <w:sz w:val="20"/>
              </w:rPr>
              <w:t>50.7</w:t>
            </w:r>
          </w:p>
        </w:tc>
        <w:tc>
          <w:tcPr>
            <w:tcW w:type="dxa" w:w="1440"/>
          </w:tcPr>
          <w:p>
            <w:pPr>
              <w:spacing w:line="324" w:lineRule="auto" w:after="40"/>
            </w:pPr>
            <w:r>
              <w:rPr>
                <w:sz w:val="20"/>
              </w:rPr>
            </w:r>
            <w:r>
              <w:rPr>
                <w:rFonts w:ascii="Times New Roman" w:hAnsi="Times New Roman" w:eastAsia="宋体"/>
                <w:b w:val="0"/>
                <w:sz w:val="20"/>
              </w:rPr>
              <w:t>70</w:t>
            </w:r>
          </w:p>
        </w:tc>
        <w:tc>
          <w:tcPr>
            <w:tcW w:type="dxa" w:w="1440"/>
          </w:tcPr>
          <w:p>
            <w:pPr>
              <w:spacing w:line="324" w:lineRule="auto" w:after="40"/>
            </w:pPr>
            <w:r>
              <w:rPr>
                <w:sz w:val="20"/>
              </w:rPr>
            </w:r>
            <w:r>
              <w:rPr>
                <w:rFonts w:ascii="Times New Roman" w:hAnsi="Times New Roman" w:eastAsia="宋体"/>
                <w:b w:val="0"/>
                <w:sz w:val="20"/>
              </w:rPr>
              <w:t>17.7</w:t>
            </w:r>
          </w:p>
        </w:tc>
        <w:tc>
          <w:tcPr>
            <w:tcW w:type="dxa" w:w="1440"/>
          </w:tcPr>
          <w:p>
            <w:pPr>
              <w:spacing w:line="324" w:lineRule="auto" w:after="40"/>
            </w:pPr>
            <w:r>
              <w:rPr>
                <w:sz w:val="20"/>
              </w:rPr>
            </w:r>
            <w:r>
              <w:rPr>
                <w:rFonts w:ascii="Times New Roman" w:hAnsi="Times New Roman" w:eastAsia="宋体"/>
                <w:b w:val="0"/>
                <w:sz w:val="20"/>
              </w:rPr>
              <w:t>11.4</w:t>
            </w:r>
          </w:p>
        </w:tc>
      </w:tr>
      <w:tr>
        <w:tc>
          <w:tcPr>
            <w:tcW w:type="dxa" w:w="1440"/>
          </w:tcPr>
          <w:p>
            <w:pPr>
              <w:spacing w:line="324" w:lineRule="auto" w:after="40"/>
            </w:pPr>
            <w:r>
              <w:rPr>
                <w:sz w:val="20"/>
              </w:rPr>
            </w:r>
            <w:r>
              <w:rPr>
                <w:rFonts w:ascii="Times New Roman" w:hAnsi="Times New Roman" w:eastAsia="宋体"/>
                <w:b w:val="0"/>
                <w:sz w:val="20"/>
              </w:rPr>
              <w:t>Overall</w:t>
            </w:r>
          </w:p>
        </w:tc>
        <w:tc>
          <w:tcPr>
            <w:tcW w:type="dxa" w:w="1440"/>
          </w:tcPr>
          <w:p>
            <w:pPr>
              <w:spacing w:line="324" w:lineRule="auto" w:after="40"/>
            </w:pPr>
            <w:r>
              <w:rPr>
                <w:sz w:val="20"/>
              </w:rPr>
            </w:r>
            <w:r>
              <w:rPr>
                <w:rFonts w:ascii="Times New Roman" w:hAnsi="Times New Roman" w:eastAsia="宋体"/>
                <w:b w:val="0"/>
                <w:sz w:val="20"/>
              </w:rPr>
              <w:t>4,547</w:t>
            </w:r>
          </w:p>
        </w:tc>
        <w:tc>
          <w:tcPr>
            <w:tcW w:type="dxa" w:w="1440"/>
          </w:tcPr>
          <w:p>
            <w:pPr>
              <w:spacing w:line="324" w:lineRule="auto" w:after="40"/>
            </w:pPr>
            <w:r>
              <w:rPr>
                <w:sz w:val="20"/>
              </w:rPr>
            </w:r>
            <w:r>
              <w:rPr>
                <w:rFonts w:ascii="Times New Roman" w:hAnsi="Times New Roman" w:eastAsia="宋体"/>
                <w:b w:val="0"/>
                <w:sz w:val="20"/>
              </w:rPr>
              <w:t>19.4</w:t>
            </w:r>
          </w:p>
        </w:tc>
        <w:tc>
          <w:tcPr>
            <w:tcW w:type="dxa" w:w="1440"/>
          </w:tcPr>
          <w:p>
            <w:pPr>
              <w:spacing w:line="324" w:lineRule="auto" w:after="40"/>
            </w:pPr>
            <w:r>
              <w:rPr>
                <w:sz w:val="20"/>
              </w:rPr>
            </w:r>
            <w:r>
              <w:rPr>
                <w:rFonts w:ascii="Times New Roman" w:hAnsi="Times New Roman" w:eastAsia="宋体"/>
                <w:b w:val="0"/>
                <w:sz w:val="20"/>
              </w:rPr>
              <w:t>330</w:t>
            </w:r>
          </w:p>
        </w:tc>
        <w:tc>
          <w:tcPr>
            <w:tcW w:type="dxa" w:w="1440"/>
          </w:tcPr>
          <w:p>
            <w:pPr>
              <w:spacing w:line="324" w:lineRule="auto" w:after="40"/>
            </w:pPr>
            <w:r>
              <w:rPr>
                <w:sz w:val="20"/>
              </w:rPr>
            </w:r>
            <w:r>
              <w:rPr>
                <w:rFonts w:ascii="Times New Roman" w:hAnsi="Times New Roman" w:eastAsia="宋体"/>
                <w:b w:val="0"/>
                <w:sz w:val="20"/>
              </w:rPr>
              <w:t>—</w:t>
            </w:r>
          </w:p>
        </w:tc>
        <w:tc>
          <w:tcPr>
            <w:tcW w:type="dxa" w:w="1440"/>
          </w:tcPr>
          <w:p>
            <w:pPr>
              <w:spacing w:line="324" w:lineRule="auto" w:after="40"/>
            </w:pPr>
            <w:r>
              <w:rPr>
                <w:sz w:val="20"/>
              </w:rPr>
            </w:r>
            <w:r>
              <w:rPr>
                <w:rFonts w:ascii="Times New Roman" w:hAnsi="Times New Roman" w:eastAsia="宋体"/>
                <w:b w:val="0"/>
                <w:sz w:val="20"/>
              </w:rPr>
              <w:t>—</w:t>
            </w:r>
          </w:p>
        </w:tc>
      </w:tr>
    </w:tbl>
    <w:p/>
    <w:p>
      <w:pPr>
        <w:spacing w:line="360" w:lineRule="auto"/>
      </w:pPr>
      <w:r>
        <w:rPr>
          <w:rFonts w:ascii="Times New Roman" w:hAnsi="Times New Roman" w:eastAsia="宋体"/>
          <w:b w:val="0"/>
          <w:sz w:val="21"/>
        </w:rPr>
        <w:t>Measured hypertension at 2015 (t0): 24.9%; baseline or 2015: 33.0%. Adjusted association of baseline measured hypertension with CVM: OR 2.76 (95% CI 2.11–3.59).</w:t>
      </w:r>
    </w:p>
    <w:p>
      <w:pPr>
        <w:spacing w:line="360" w:lineRule="auto"/>
      </w:pPr>
      <w:r>
        <w:rPr>
          <w:rFonts w:ascii="Times New Roman" w:hAnsi="Times New Roman" w:eastAsia="宋体"/>
          <w:b w:val="0"/>
          <w:sz w:val="21"/>
        </w:rPr>
        <w:t>*Panel B: exclusion sensitivity analyses (S17a/S17b; Cox, Model 3).*</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1440"/>
        <w:gridCol w:w="1440"/>
        <w:gridCol w:w="1440"/>
        <w:gridCol w:w="1440"/>
        <w:gridCol w:w="1440"/>
        <w:gridCol w:w="1440"/>
      </w:tblGrid>
      <w:tr>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Analysis</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n</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Events</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Moderate HR (95% CI)</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Low HR (95% CI)</w:t>
            </w:r>
          </w:p>
        </w:tc>
        <w:tc>
          <w:tcPr>
            <w:tcW w:type="dxa" w:w="1440"/>
            <w:tcBorders>
              <w:bottom w:val="single" w:sz="6" w:color="000000" w:space="0"/>
            </w:tcBorders>
          </w:tcPr>
          <w:p>
            <w:pPr>
              <w:spacing w:line="324" w:lineRule="auto" w:after="40"/>
            </w:pPr>
            <w:r>
              <w:rPr>
                <w:b/>
                <w:sz w:val="20"/>
              </w:rPr>
            </w:r>
            <w:r>
              <w:rPr>
                <w:rFonts w:ascii="Times New Roman" w:hAnsi="Times New Roman" w:eastAsia="宋体"/>
                <w:b/>
                <w:sz w:val="20"/>
              </w:rPr>
              <w:t>P trend</w:t>
            </w:r>
          </w:p>
        </w:tc>
      </w:tr>
      <w:tr>
        <w:tc>
          <w:tcPr>
            <w:tcW w:type="dxa" w:w="1440"/>
          </w:tcPr>
          <w:p>
            <w:pPr>
              <w:spacing w:line="324" w:lineRule="auto" w:after="40"/>
            </w:pPr>
            <w:r>
              <w:rPr>
                <w:sz w:val="20"/>
              </w:rPr>
            </w:r>
            <w:r>
              <w:rPr>
                <w:rFonts w:ascii="Times New Roman" w:hAnsi="Times New Roman" w:eastAsia="宋体"/>
                <w:b w:val="0"/>
                <w:sz w:val="20"/>
              </w:rPr>
              <w:t>S17a: excluding baseline measured hypertension</w:t>
            </w:r>
          </w:p>
        </w:tc>
        <w:tc>
          <w:tcPr>
            <w:tcW w:type="dxa" w:w="1440"/>
          </w:tcPr>
          <w:p>
            <w:pPr>
              <w:spacing w:line="324" w:lineRule="auto" w:after="40"/>
            </w:pPr>
            <w:r>
              <w:rPr>
                <w:sz w:val="20"/>
              </w:rPr>
            </w:r>
            <w:r>
              <w:rPr>
                <w:rFonts w:ascii="Times New Roman" w:hAnsi="Times New Roman" w:eastAsia="宋体"/>
                <w:b w:val="0"/>
                <w:sz w:val="20"/>
              </w:rPr>
              <w:t>3,110</w:t>
            </w:r>
          </w:p>
        </w:tc>
        <w:tc>
          <w:tcPr>
            <w:tcW w:type="dxa" w:w="1440"/>
          </w:tcPr>
          <w:p>
            <w:pPr>
              <w:spacing w:line="324" w:lineRule="auto" w:after="40"/>
            </w:pPr>
            <w:r>
              <w:rPr>
                <w:sz w:val="20"/>
              </w:rPr>
            </w:r>
            <w:r>
              <w:rPr>
                <w:rFonts w:ascii="Times New Roman" w:hAnsi="Times New Roman" w:eastAsia="宋体"/>
                <w:b w:val="0"/>
                <w:sz w:val="20"/>
              </w:rPr>
              <w:t>171</w:t>
            </w:r>
          </w:p>
        </w:tc>
        <w:tc>
          <w:tcPr>
            <w:tcW w:type="dxa" w:w="1440"/>
          </w:tcPr>
          <w:p>
            <w:pPr>
              <w:spacing w:line="324" w:lineRule="auto" w:after="40"/>
            </w:pPr>
            <w:r>
              <w:rPr>
                <w:sz w:val="20"/>
              </w:rPr>
            </w:r>
            <w:r>
              <w:rPr>
                <w:rFonts w:ascii="Times New Roman" w:hAnsi="Times New Roman" w:eastAsia="宋体"/>
                <w:b w:val="0"/>
                <w:sz w:val="20"/>
              </w:rPr>
              <w:t>1.54 (1.11–2.15)</w:t>
            </w:r>
          </w:p>
        </w:tc>
        <w:tc>
          <w:tcPr>
            <w:tcW w:type="dxa" w:w="1440"/>
          </w:tcPr>
          <w:p>
            <w:pPr>
              <w:spacing w:line="324" w:lineRule="auto" w:after="40"/>
            </w:pPr>
            <w:r>
              <w:rPr>
                <w:sz w:val="20"/>
              </w:rPr>
            </w:r>
            <w:r>
              <w:rPr>
                <w:rFonts w:ascii="Times New Roman" w:hAnsi="Times New Roman" w:eastAsia="宋体"/>
                <w:b w:val="0"/>
                <w:sz w:val="20"/>
              </w:rPr>
              <w:t>3.02 (1.85–4.91)</w:t>
            </w:r>
          </w:p>
        </w:tc>
        <w:tc>
          <w:tcPr>
            <w:tcW w:type="dxa" w:w="1440"/>
          </w:tcPr>
          <w:p>
            <w:pPr>
              <w:spacing w:line="324" w:lineRule="auto" w:after="40"/>
            </w:pPr>
            <w:r>
              <w:rPr>
                <w:sz w:val="20"/>
              </w:rPr>
            </w:r>
            <w:r>
              <w:rPr>
                <w:rFonts w:ascii="Times New Roman" w:hAnsi="Times New Roman" w:eastAsia="宋体"/>
                <w:b w:val="0"/>
                <w:sz w:val="20"/>
              </w:rPr>
              <w:t>&lt;0.001</w:t>
            </w:r>
          </w:p>
        </w:tc>
      </w:tr>
      <w:tr>
        <w:tc>
          <w:tcPr>
            <w:tcW w:type="dxa" w:w="1440"/>
          </w:tcPr>
          <w:p>
            <w:pPr>
              <w:spacing w:line="324" w:lineRule="auto" w:after="40"/>
            </w:pPr>
            <w:r>
              <w:rPr>
                <w:sz w:val="20"/>
              </w:rPr>
            </w:r>
            <w:r>
              <w:rPr>
                <w:rFonts w:ascii="Times New Roman" w:hAnsi="Times New Roman" w:eastAsia="宋体"/>
                <w:b w:val="0"/>
                <w:sz w:val="20"/>
              </w:rPr>
              <w:t>S17b: additionally excluding 2015 measured hypertension</w:t>
            </w:r>
          </w:p>
        </w:tc>
        <w:tc>
          <w:tcPr>
            <w:tcW w:type="dxa" w:w="1440"/>
          </w:tcPr>
          <w:p>
            <w:pPr>
              <w:spacing w:line="324" w:lineRule="auto" w:after="40"/>
            </w:pPr>
            <w:r>
              <w:rPr>
                <w:sz w:val="20"/>
              </w:rPr>
            </w:r>
            <w:r>
              <w:rPr>
                <w:rFonts w:ascii="Times New Roman" w:hAnsi="Times New Roman" w:eastAsia="宋体"/>
                <w:b w:val="0"/>
                <w:sz w:val="20"/>
              </w:rPr>
              <w:t>2,597</w:t>
            </w:r>
          </w:p>
        </w:tc>
        <w:tc>
          <w:tcPr>
            <w:tcW w:type="dxa" w:w="1440"/>
          </w:tcPr>
          <w:p>
            <w:pPr>
              <w:spacing w:line="324" w:lineRule="auto" w:after="40"/>
            </w:pPr>
            <w:r>
              <w:rPr>
                <w:sz w:val="20"/>
              </w:rPr>
            </w:r>
            <w:r>
              <w:rPr>
                <w:rFonts w:ascii="Times New Roman" w:hAnsi="Times New Roman" w:eastAsia="宋体"/>
                <w:b w:val="0"/>
                <w:sz w:val="20"/>
              </w:rPr>
              <w:t>98</w:t>
            </w:r>
          </w:p>
        </w:tc>
        <w:tc>
          <w:tcPr>
            <w:tcW w:type="dxa" w:w="1440"/>
          </w:tcPr>
          <w:p>
            <w:pPr>
              <w:spacing w:line="324" w:lineRule="auto" w:after="40"/>
            </w:pPr>
            <w:r>
              <w:rPr>
                <w:sz w:val="20"/>
              </w:rPr>
            </w:r>
            <w:r>
              <w:rPr>
                <w:rFonts w:ascii="Times New Roman" w:hAnsi="Times New Roman" w:eastAsia="宋体"/>
                <w:b w:val="0"/>
                <w:sz w:val="20"/>
              </w:rPr>
              <w:t>1.17 (0.76–1.80)</w:t>
            </w:r>
          </w:p>
        </w:tc>
        <w:tc>
          <w:tcPr>
            <w:tcW w:type="dxa" w:w="1440"/>
          </w:tcPr>
          <w:p>
            <w:pPr>
              <w:spacing w:line="324" w:lineRule="auto" w:after="40"/>
            </w:pPr>
            <w:r>
              <w:rPr>
                <w:sz w:val="20"/>
              </w:rPr>
            </w:r>
            <w:r>
              <w:rPr>
                <w:rFonts w:ascii="Times New Roman" w:hAnsi="Times New Roman" w:eastAsia="宋体"/>
                <w:b w:val="0"/>
                <w:sz w:val="20"/>
              </w:rPr>
              <w:t>2.57 (1.27–5.23)</w:t>
            </w:r>
          </w:p>
        </w:tc>
        <w:tc>
          <w:tcPr>
            <w:tcW w:type="dxa" w:w="1440"/>
          </w:tcPr>
          <w:p>
            <w:pPr>
              <w:spacing w:line="324" w:lineRule="auto" w:after="40"/>
            </w:pPr>
            <w:r>
              <w:rPr>
                <w:sz w:val="20"/>
              </w:rPr>
            </w:r>
            <w:r>
              <w:rPr>
                <w:rFonts w:ascii="Times New Roman" w:hAnsi="Times New Roman" w:eastAsia="宋体"/>
                <w:b w:val="0"/>
                <w:sz w:val="20"/>
              </w:rPr>
              <w:t>0.043</w:t>
            </w:r>
          </w:p>
        </w:tc>
      </w:tr>
    </w:tbl>
    <w:p/>
    <w:p>
      <w:pPr>
        <w:spacing w:line="360" w:lineRule="auto"/>
      </w:pPr>
      <w:r>
        <w:rPr>
          <w:rFonts w:ascii="Times New Roman" w:hAnsi="Times New Roman" w:eastAsia="宋体"/>
          <w:b w:val="0"/>
          <w:sz w:val="21"/>
        </w:rPr>
        <w:t>Note: "Undetected measured hypertension" = SBP ≥140 or DBP ≥90 mmHg or antihypertensive treatment at the survey wave, among participants denying a hypertension diagnosis (all cohort members denied diagnosis at baseline by the exclusion criteria). Undetected hypertension overlapped the lower-BP-score strata (50.7% in the persistent low class) and was itself associated with CVM, confirming that the detection-bias channel is real; excluding these participants (S17a) and additionally those measured hypertensive at 2015 (S17b) attenuated but did not remove the graded association, bounding the contribution of detection bias.</w:t>
      </w:r>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val="0"/>
          <w:sz w:val="22"/>
        </w:rPr>
        <w:t xml:space="preserve">eTable 20. Split-sample internal validation of the trajectory–CVM association (stratified 7:3 split of the trajectory cohort; derivation and validation samples). Trajectory classes in the validation sample were assigned by the derivation LCGM (posterior-probability classification). Cox/logistic models are Model 3 (complete cases).</w:t>
      </w:r>
    </w:p>
    <w:tb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00"/>
        <w:gridCol w:w="3200"/>
        <w:gridCol w:w="3200"/>
      </w:tblGrid>
      <w:tr>
        <w:tc>
          <w:tcPr>
            <w:tcW w:w="0" w:type="auto"/>
          </w:tcPr>
          <w:p>
            <w:pPr>
              <w:spacing w:line="240" w:lineRule="auto"/>
            </w:pPr>
            <w:r>
              <w:rPr>
                <w:rFonts w:ascii="Times New Roman" w:hAnsi="Times New Roman" w:eastAsia="宋体"/>
                <w:b/>
                <w:sz w:val="18"/>
              </w:rPr>
              <w:t xml:space="preserve">Item</w:t>
            </w:r>
          </w:p>
        </w:tc>
        <w:tc>
          <w:tcPr>
            <w:tcW w:w="0" w:type="auto"/>
          </w:tcPr>
          <w:p>
            <w:pPr>
              <w:spacing w:line="240" w:lineRule="auto"/>
            </w:pPr>
            <w:r>
              <w:rPr>
                <w:rFonts w:ascii="Times New Roman" w:hAnsi="Times New Roman" w:eastAsia="宋体"/>
                <w:b/>
                <w:sz w:val="18"/>
              </w:rPr>
              <w:t xml:space="preserve">Derivation (70%)</w:t>
            </w:r>
          </w:p>
        </w:tc>
        <w:tc>
          <w:tcPr>
            <w:tcW w:w="0" w:type="auto"/>
          </w:tcPr>
          <w:p>
            <w:pPr>
              <w:spacing w:line="240" w:lineRule="auto"/>
            </w:pPr>
            <w:r>
              <w:rPr>
                <w:rFonts w:ascii="Times New Roman" w:hAnsi="Times New Roman" w:eastAsia="宋体"/>
                <w:b/>
                <w:sz w:val="18"/>
              </w:rPr>
              <w:t xml:space="preserve">Validation (30%)</w:t>
            </w:r>
          </w:p>
        </w:tc>
      </w:tr>
      <w:tr>
        <w:tc>
          <w:tcPr>
            <w:tcW w:w="0" w:type="auto"/>
          </w:tcPr>
          <w:p>
            <w:pPr>
              <w:spacing w:line="240" w:lineRule="auto"/>
            </w:pPr>
            <w:r>
              <w:rPr>
                <w:rFonts w:ascii="Times New Roman" w:hAnsi="Times New Roman" w:eastAsia="宋体"/>
                <w:b w:val="0"/>
                <w:sz w:val="18"/>
              </w:rPr>
              <w:t xml:space="preserve">Participants (risk set), n</w:t>
            </w:r>
          </w:p>
        </w:tc>
        <w:tc>
          <w:tcPr>
            <w:tcW w:w="0" w:type="auto"/>
          </w:tcPr>
          <w:p>
            <w:pPr>
              <w:spacing w:line="240" w:lineRule="auto"/>
            </w:pPr>
            <w:r>
              <w:rPr>
                <w:rFonts w:ascii="Times New Roman" w:hAnsi="Times New Roman" w:eastAsia="宋体"/>
                <w:b w:val="0"/>
                <w:sz w:val="18"/>
              </w:rPr>
              <w:t xml:space="preserve">3,183</w:t>
            </w:r>
          </w:p>
        </w:tc>
        <w:tc>
          <w:tcPr>
            <w:tcW w:w="0" w:type="auto"/>
          </w:tcPr>
          <w:p>
            <w:pPr>
              <w:spacing w:line="240" w:lineRule="auto"/>
            </w:pPr>
            <w:r>
              <w:rPr>
                <w:rFonts w:ascii="Times New Roman" w:hAnsi="Times New Roman" w:eastAsia="宋体"/>
                <w:b w:val="0"/>
                <w:sz w:val="18"/>
              </w:rPr>
              <w:t xml:space="preserve">1,364</w:t>
            </w:r>
          </w:p>
        </w:tc>
      </w:tr>
      <w:tr>
        <w:tc>
          <w:tcPr>
            <w:tcW w:w="0" w:type="auto"/>
          </w:tcPr>
          <w:p>
            <w:pPr>
              <w:spacing w:line="240" w:lineRule="auto"/>
            </w:pPr>
            <w:r>
              <w:rPr>
                <w:rFonts w:ascii="Times New Roman" w:hAnsi="Times New Roman" w:eastAsia="宋体"/>
                <w:b w:val="0"/>
                <w:sz w:val="18"/>
              </w:rPr>
              <w:t xml:space="preserve">CVM events, n (%)</w:t>
            </w:r>
          </w:p>
        </w:tc>
        <w:tc>
          <w:tcPr>
            <w:tcW w:w="0" w:type="auto"/>
          </w:tcPr>
          <w:p>
            <w:pPr>
              <w:spacing w:line="240" w:lineRule="auto"/>
            </w:pPr>
            <w:r>
              <w:rPr>
                <w:rFonts w:ascii="Times New Roman" w:hAnsi="Times New Roman" w:eastAsia="宋体"/>
                <w:b w:val="0"/>
                <w:sz w:val="18"/>
              </w:rPr>
              <w:t xml:space="preserve">231 (7.3)</w:t>
            </w:r>
          </w:p>
        </w:tc>
        <w:tc>
          <w:tcPr>
            <w:tcW w:w="0" w:type="auto"/>
          </w:tcPr>
          <w:p>
            <w:pPr>
              <w:spacing w:line="240" w:lineRule="auto"/>
            </w:pPr>
            <w:r>
              <w:rPr>
                <w:rFonts w:ascii="Times New Roman" w:hAnsi="Times New Roman" w:eastAsia="宋体"/>
                <w:b w:val="0"/>
                <w:sz w:val="18"/>
              </w:rPr>
              <w:t xml:space="preserve">99 (7.3)</w:t>
            </w:r>
          </w:p>
        </w:tc>
      </w:tr>
      <w:tr>
        <w:tc>
          <w:tcPr>
            <w:tcW w:w="0" w:type="auto"/>
          </w:tcPr>
          <w:p>
            <w:pPr>
              <w:spacing w:line="240" w:lineRule="auto"/>
            </w:pPr>
            <w:r>
              <w:rPr>
                <w:rFonts w:ascii="Times New Roman" w:hAnsi="Times New Roman" w:eastAsia="宋体"/>
                <w:b w:val="0"/>
                <w:sz w:val="18"/>
              </w:rPr>
              <w:t xml:space="preserve">Complete-case analysis sample, n (events)</w:t>
            </w:r>
          </w:p>
        </w:tc>
        <w:tc>
          <w:tcPr>
            <w:tcW w:w="0" w:type="auto"/>
          </w:tcPr>
          <w:p>
            <w:pPr>
              <w:spacing w:line="240" w:lineRule="auto"/>
            </w:pPr>
            <w:r>
              <w:rPr>
                <w:rFonts w:ascii="Times New Roman" w:hAnsi="Times New Roman" w:eastAsia="宋体"/>
                <w:b w:val="0"/>
                <w:sz w:val="18"/>
              </w:rPr>
              <w:t xml:space="preserve">2,697 (193)</w:t>
            </w:r>
          </w:p>
        </w:tc>
        <w:tc>
          <w:tcPr>
            <w:tcW w:w="0" w:type="auto"/>
          </w:tcPr>
          <w:p>
            <w:pPr>
              <w:spacing w:line="240" w:lineRule="auto"/>
            </w:pPr>
            <w:r>
              <w:rPr>
                <w:rFonts w:ascii="Times New Roman" w:hAnsi="Times New Roman" w:eastAsia="宋体"/>
                <w:b w:val="0"/>
                <w:sz w:val="18"/>
              </w:rPr>
              <w:t xml:space="preserve">1,151 (85)</w:t>
            </w:r>
          </w:p>
        </w:tc>
      </w:tr>
      <w:tr>
        <w:tc>
          <w:tcPr>
            <w:tcW w:w="0" w:type="auto"/>
          </w:tcPr>
          <w:p>
            <w:pPr>
              <w:spacing w:line="240" w:lineRule="auto"/>
            </w:pPr>
            <w:r>
              <w:rPr>
                <w:rFonts w:ascii="Times New Roman" w:hAnsi="Times New Roman" w:eastAsia="宋体"/>
                <w:b w:val="0"/>
                <w:sz w:val="18"/>
              </w:rPr>
              <w:t xml:space="preserve">LCGM class enumeration</w:t>
            </w:r>
          </w:p>
        </w:tc>
        <w:tc>
          <w:tcPr>
            <w:tcW w:w="0" w:type="auto"/>
          </w:tcPr>
          <w:p>
            <w:pPr>
              <w:spacing w:line="240" w:lineRule="auto"/>
            </w:pPr>
            <w:r>
              <w:rPr>
                <w:rFonts w:ascii="Times New Roman" w:hAnsi="Times New Roman" w:eastAsia="宋体"/>
                <w:b w:val="0"/>
                <w:sz w:val="18"/>
              </w:rPr>
              <w:t xml:space="preserve">3 classes optimal (BIC 68,100.1 vs 68,612.2 for 2 classes; entropy 0.890; mean posterior probability 0.856; minimum class 11.3%); 4- and 5-class solutions rejected (classes &lt; 5%)</w:t>
            </w:r>
          </w:p>
        </w:tc>
        <w:tc>
          <w:tcPr>
            <w:tcW w:w="0" w:type="auto"/>
          </w:tcPr>
          <w:p>
            <w:pPr>
              <w:spacing w:line="240" w:lineRule="auto"/>
            </w:pPr>
            <w:r>
              <w:rPr>
                <w:rFonts w:ascii="Times New Roman" w:hAnsi="Times New Roman" w:eastAsia="宋体"/>
                <w:b w:val="0"/>
                <w:sz w:val="18"/>
              </w:rPr>
              <w:t xml:space="preserve">Classes fixed from the derivation model</w:t>
            </w:r>
          </w:p>
        </w:tc>
      </w:tr>
      <w:tr>
        <w:tc>
          <w:tcPr>
            <w:tcW w:w="0" w:type="auto"/>
          </w:tcPr>
          <w:p>
            <w:pPr>
              <w:spacing w:line="240" w:lineRule="auto"/>
            </w:pPr>
            <w:r>
              <w:rPr>
                <w:rFonts w:ascii="Times New Roman" w:hAnsi="Times New Roman" w:eastAsia="宋体"/>
                <w:b w:val="0"/>
                <w:sz w:val="18"/>
              </w:rPr>
              <w:t xml:space="preserve">Class mean LE8 at 2011, points</w:t>
            </w:r>
          </w:p>
        </w:tc>
        <w:tc>
          <w:tcPr>
            <w:tcW w:w="0" w:type="auto"/>
          </w:tcPr>
          <w:p>
            <w:pPr>
              <w:spacing w:line="240" w:lineRule="auto"/>
            </w:pPr>
            <w:r>
              <w:rPr>
                <w:rFonts w:ascii="Times New Roman" w:hAnsi="Times New Roman" w:eastAsia="宋体"/>
                <w:b w:val="0"/>
                <w:sz w:val="18"/>
              </w:rPr>
              <w:t xml:space="preserve">63.4 / 78.5 / 89.0 (low/moderate/high)</w:t>
            </w:r>
          </w:p>
        </w:tc>
        <w:tc>
          <w:tcPr>
            <w:tcW w:w="0" w:type="auto"/>
          </w:tcPr>
          <w:p>
            <w:pPr>
              <w:spacing w:line="240" w:lineRule="auto"/>
            </w:pPr>
            <w:r>
              <w:rPr>
                <w:rFonts w:ascii="Times New Roman" w:hAnsi="Times New Roman" w:eastAsia="宋体"/>
                <w:b w:val="0"/>
                <w:sz w:val="18"/>
              </w:rPr>
              <w:t xml:space="preserve">Assigned by derivation model; agreement with full-sample classification 93.1% (κ = 0.886)</w:t>
            </w:r>
          </w:p>
        </w:tc>
      </w:tr>
      <w:tr>
        <w:tc>
          <w:tcPr>
            <w:tcW w:w="0" w:type="auto"/>
          </w:tcPr>
          <w:p>
            <w:pPr>
              <w:spacing w:line="240" w:lineRule="auto"/>
            </w:pPr>
            <w:r>
              <w:rPr>
                <w:rFonts w:ascii="Times New Roman" w:hAnsi="Times New Roman" w:eastAsia="宋体"/>
                <w:b w:val="0"/>
                <w:sz w:val="18"/>
              </w:rPr>
              <w:t xml:space="preserve">Cox Model 3, persistent moderate: HR (95% CI)</w:t>
            </w:r>
          </w:p>
        </w:tc>
        <w:tc>
          <w:tcPr>
            <w:tcW w:w="0" w:type="auto"/>
          </w:tcPr>
          <w:p>
            <w:pPr>
              <w:spacing w:line="240" w:lineRule="auto"/>
            </w:pPr>
            <w:r>
              <w:rPr>
                <w:rFonts w:ascii="Times New Roman" w:hAnsi="Times New Roman" w:eastAsia="宋体"/>
                <w:b w:val="0"/>
                <w:sz w:val="18"/>
              </w:rPr>
              <w:t xml:space="preserve">1.84 (1.30–2.60)</w:t>
            </w:r>
          </w:p>
        </w:tc>
        <w:tc>
          <w:tcPr>
            <w:tcW w:w="0" w:type="auto"/>
          </w:tcPr>
          <w:p>
            <w:pPr>
              <w:spacing w:line="240" w:lineRule="auto"/>
            </w:pPr>
            <w:r>
              <w:rPr>
                <w:rFonts w:ascii="Times New Roman" w:hAnsi="Times New Roman" w:eastAsia="宋体"/>
                <w:b w:val="0"/>
                <w:sz w:val="18"/>
              </w:rPr>
              <w:t xml:space="preserve">1.35 (0.78–2.34)</w:t>
            </w:r>
          </w:p>
        </w:tc>
      </w:tr>
      <w:tr>
        <w:tc>
          <w:tcPr>
            <w:tcW w:w="0" w:type="auto"/>
          </w:tcPr>
          <w:p>
            <w:pPr>
              <w:spacing w:line="240" w:lineRule="auto"/>
            </w:pPr>
            <w:r>
              <w:rPr>
                <w:rFonts w:ascii="Times New Roman" w:hAnsi="Times New Roman" w:eastAsia="宋体"/>
                <w:b w:val="0"/>
                <w:sz w:val="18"/>
              </w:rPr>
              <w:t xml:space="preserve">Cox Model 3, persistent low: HR (95% CI)</w:t>
            </w:r>
          </w:p>
        </w:tc>
        <w:tc>
          <w:tcPr>
            <w:tcW w:w="0" w:type="auto"/>
          </w:tcPr>
          <w:p>
            <w:pPr>
              <w:spacing w:line="240" w:lineRule="auto"/>
            </w:pPr>
            <w:r>
              <w:rPr>
                <w:rFonts w:ascii="Times New Roman" w:hAnsi="Times New Roman" w:eastAsia="宋体"/>
                <w:b w:val="0"/>
                <w:sz w:val="18"/>
              </w:rPr>
              <w:t xml:space="preserve">3.51 (2.30–5.36)</w:t>
            </w:r>
          </w:p>
        </w:tc>
        <w:tc>
          <w:tcPr>
            <w:tcW w:w="0" w:type="auto"/>
          </w:tcPr>
          <w:p>
            <w:pPr>
              <w:spacing w:line="240" w:lineRule="auto"/>
            </w:pPr>
            <w:r>
              <w:rPr>
                <w:rFonts w:ascii="Times New Roman" w:hAnsi="Times New Roman" w:eastAsia="宋体"/>
                <w:b w:val="0"/>
                <w:sz w:val="18"/>
              </w:rPr>
              <w:t xml:space="preserve">4.20 (2.39–7.39)</w:t>
            </w:r>
          </w:p>
        </w:tc>
      </w:tr>
      <w:tr>
        <w:tc>
          <w:tcPr>
            <w:tcW w:w="0" w:type="auto"/>
          </w:tcPr>
          <w:p>
            <w:pPr>
              <w:spacing w:line="240" w:lineRule="auto"/>
            </w:pPr>
            <w:r>
              <w:rPr>
                <w:rFonts w:ascii="Times New Roman" w:hAnsi="Times New Roman" w:eastAsia="宋体"/>
                <w:b w:val="0"/>
                <w:sz w:val="18"/>
              </w:rPr>
              <w:t xml:space="preserve">Cox Model 3, per-category trend: HR (95% CI); P</w:t>
            </w:r>
          </w:p>
        </w:tc>
        <w:tc>
          <w:tcPr>
            <w:tcW w:w="0" w:type="auto"/>
          </w:tcPr>
          <w:p>
            <w:pPr>
              <w:spacing w:line="240" w:lineRule="auto"/>
            </w:pPr>
            <w:r>
              <w:rPr>
                <w:rFonts w:ascii="Times New Roman" w:hAnsi="Times New Roman" w:eastAsia="宋体"/>
                <w:b w:val="0"/>
                <w:sz w:val="18"/>
              </w:rPr>
              <w:t xml:space="preserve">1.87 (1.52–2.32); P &lt; 0.001</w:t>
            </w:r>
          </w:p>
        </w:tc>
        <w:tc>
          <w:tcPr>
            <w:tcW w:w="0" w:type="auto"/>
          </w:tcPr>
          <w:p>
            <w:pPr>
              <w:spacing w:line="240" w:lineRule="auto"/>
            </w:pPr>
            <w:r>
              <w:rPr>
                <w:rFonts w:ascii="Times New Roman" w:hAnsi="Times New Roman" w:eastAsia="宋体"/>
                <w:b w:val="0"/>
                <w:sz w:val="18"/>
              </w:rPr>
              <w:t xml:space="preserve">2.10 (1.55–2.85); P &lt; 0.001</w:t>
            </w:r>
          </w:p>
        </w:tc>
      </w:tr>
      <w:tr>
        <w:tc>
          <w:tcPr>
            <w:tcW w:w="0" w:type="auto"/>
          </w:tcPr>
          <w:p>
            <w:pPr>
              <w:spacing w:line="240" w:lineRule="auto"/>
            </w:pPr>
            <w:r>
              <w:rPr>
                <w:rFonts w:ascii="Times New Roman" w:hAnsi="Times New Roman" w:eastAsia="宋体"/>
                <w:b w:val="0"/>
                <w:sz w:val="18"/>
              </w:rPr>
              <w:t xml:space="preserve">Logistic Model 3, persistent low: OR (95% CI)</w:t>
            </w:r>
          </w:p>
        </w:tc>
        <w:tc>
          <w:tcPr>
            <w:tcW w:w="0" w:type="auto"/>
          </w:tcPr>
          <w:p>
            <w:pPr>
              <w:spacing w:line="240" w:lineRule="auto"/>
            </w:pPr>
            <w:r>
              <w:rPr>
                <w:rFonts w:ascii="Times New Roman" w:hAnsi="Times New Roman" w:eastAsia="宋体"/>
                <w:b w:val="0"/>
                <w:sz w:val="18"/>
              </w:rPr>
              <w:t xml:space="preserve">3.79 (2.42–5.93)</w:t>
            </w:r>
          </w:p>
        </w:tc>
        <w:tc>
          <w:tcPr>
            <w:tcW w:w="0" w:type="auto"/>
          </w:tcPr>
          <w:p>
            <w:pPr>
              <w:spacing w:line="240" w:lineRule="auto"/>
            </w:pPr>
            <w:r>
              <w:rPr>
                <w:rFonts w:ascii="Times New Roman" w:hAnsi="Times New Roman" w:eastAsia="宋体"/>
                <w:b w:val="0"/>
                <w:sz w:val="18"/>
              </w:rPr>
              <w:t xml:space="preserve">4.61 (2.52–8.46)</w:t>
            </w:r>
          </w:p>
        </w:tc>
      </w:tr>
      <w:tr>
        <w:tc>
          <w:tcPr>
            <w:tcW w:w="0" w:type="auto"/>
          </w:tcPr>
          <w:p>
            <w:pPr>
              <w:spacing w:line="240" w:lineRule="auto"/>
            </w:pPr>
            <w:r>
              <w:rPr>
                <w:rFonts w:ascii="Times New Roman" w:hAnsi="Times New Roman" w:eastAsia="宋体"/>
                <w:b w:val="0"/>
                <w:sz w:val="18"/>
              </w:rPr>
              <w:t xml:space="preserve">Harrell C-index (derivation model applied to validation sample)</w:t>
            </w:r>
          </w:p>
        </w:tc>
        <w:tc>
          <w:tcPr>
            <w:tcW w:w="0" w:type="auto"/>
          </w:tcPr>
          <w:p>
            <w:pPr>
              <w:spacing w:line="240" w:lineRule="auto"/>
            </w:pPr>
            <w:r>
              <w:rPr>
                <w:rFonts w:ascii="Times New Roman" w:hAnsi="Times New Roman" w:eastAsia="宋体"/>
                <w:b w:val="0"/>
                <w:sz w:val="18"/>
              </w:rPr>
              <w:t xml:space="preserve">—</w:t>
            </w:r>
          </w:p>
        </w:tc>
        <w:tc>
          <w:tcPr>
            <w:tcW w:w="0" w:type="auto"/>
          </w:tcPr>
          <w:p>
            <w:pPr>
              <w:spacing w:line="240" w:lineRule="auto"/>
            </w:pPr>
            <w:r>
              <w:rPr>
                <w:rFonts w:ascii="Times New Roman" w:hAnsi="Times New Roman" w:eastAsia="宋体"/>
                <w:b w:val="0"/>
                <w:sz w:val="18"/>
              </w:rPr>
              <w:t xml:space="preserve">0.662 (SE 0.032); covariates only: 0.590 (SE 0.031)</w:t>
            </w:r>
          </w:p>
        </w:tc>
      </w:tr>
      <w:tr>
        <w:tc>
          <w:tcPr>
            <w:tcW w:w="0" w:type="auto"/>
          </w:tcPr>
          <w:p>
            <w:pPr>
              <w:spacing w:line="240" w:lineRule="auto"/>
            </w:pPr>
            <w:r>
              <w:rPr>
                <w:rFonts w:ascii="Times New Roman" w:hAnsi="Times New Roman" w:eastAsia="宋体"/>
                <w:b w:val="0"/>
                <w:sz w:val="18"/>
              </w:rPr>
              <w:t xml:space="preserve">Calibration of derivation logistic model</w:t>
            </w:r>
          </w:p>
        </w:tc>
        <w:tc>
          <w:tcPr>
            <w:tcW w:w="0" w:type="auto"/>
          </w:tcPr>
          <w:p>
            <w:pPr>
              <w:spacing w:line="240" w:lineRule="auto"/>
            </w:pPr>
            <w:r>
              <w:rPr>
                <w:rFonts w:ascii="Times New Roman" w:hAnsi="Times New Roman" w:eastAsia="宋体"/>
                <w:b w:val="0"/>
                <w:sz w:val="18"/>
              </w:rPr>
              <w:t xml:space="preserve">—</w:t>
            </w:r>
          </w:p>
        </w:tc>
        <w:tc>
          <w:tcPr>
            <w:tcW w:w="0" w:type="auto"/>
          </w:tcPr>
          <w:p>
            <w:pPr>
              <w:spacing w:line="240" w:lineRule="auto"/>
            </w:pPr>
            <w:r>
              <w:rPr>
                <w:rFonts w:ascii="Times New Roman" w:hAnsi="Times New Roman" w:eastAsia="宋体"/>
                <w:b w:val="0"/>
                <w:sz w:val="18"/>
              </w:rPr>
              <w:t xml:space="preserve">Observed/expected 1.00; intercept −0.20; slope 0.92</w:t>
            </w:r>
          </w:p>
        </w:tc>
      </w:tr>
    </w:tbl>
    <w:p>
      <w:pPr>
        <w:spacing w:line="360" w:lineRule="auto"/>
      </w:pPr>
      <w:r>
        <w:rPr>
          <w:rFonts w:ascii="Times New Roman" w:hAnsi="Times New Roman" w:eastAsia="宋体"/>
          <w:b w:val="0"/>
          <w:sz w:val="22"/>
        </w:rPr>
        <w:t xml:space="preserve">Note: The split was stratified by outcome status (event, no event, CVM before 2015) and full-sample trajectory class. Class structure, selection decision, and effect estimates were reproduced in both samples.</w:t>
      </w:r>
    </w:p>
    <w:p>
      <w:pPr>
        <w:spacing w:line="360" w:lineRule="auto"/>
      </w:pPr>
      <w:r>
        <w:rPr>
          <w:rFonts w:ascii="Times New Roman" w:hAnsi="Times New Roman" w:eastAsia="宋体"/>
          <w:b w:val="0"/>
          <w:sz w:val="22"/>
        </w:rPr>
        <w:t xml:space="preserve">eTable 21. Independent NHANES cohort validation (2011–2014, linked to the National Death Index through 2019; adults ≥45 years; identical scoring code). Survey-weighted Cox models: M1 unadjusted; M2 adjusted for age and sex; M3 additionally for race/ethnicity. Cardiovascular deaths: underlying cause of diseases of the heart or cerebrovascular disease.</w:t>
      </w:r>
    </w:p>
    <w:tb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400"/>
        <w:gridCol w:w="700"/>
        <w:gridCol w:w="1800"/>
        <w:gridCol w:w="1900"/>
        <w:gridCol w:w="1700"/>
        <w:gridCol w:w="1000"/>
      </w:tblGrid>
      <w:tr>
        <w:tc>
          <w:tcPr>
            <w:tcW w:w="0" w:type="auto"/>
          </w:tcPr>
          <w:p>
            <w:pPr>
              <w:spacing w:line="240" w:lineRule="auto"/>
            </w:pPr>
            <w:r>
              <w:rPr>
                <w:rFonts w:ascii="Times New Roman" w:hAnsi="Times New Roman" w:eastAsia="宋体"/>
                <w:b/>
                <w:sz w:val="18"/>
              </w:rPr>
              <w:t xml:space="preserve">Cohort / outcome</w:t>
            </w:r>
          </w:p>
        </w:tc>
        <w:tc>
          <w:tcPr>
            <w:tcW w:w="0" w:type="auto"/>
          </w:tcPr>
          <w:p>
            <w:pPr>
              <w:spacing w:line="240" w:lineRule="auto"/>
            </w:pPr>
            <w:r>
              <w:rPr>
                <w:rFonts w:ascii="Times New Roman" w:hAnsi="Times New Roman" w:eastAsia="宋体"/>
                <w:b/>
                <w:sz w:val="18"/>
              </w:rPr>
              <w:t xml:space="preserve">Model</w:t>
            </w:r>
          </w:p>
        </w:tc>
        <w:tc>
          <w:tcPr>
            <w:tcW w:w="0" w:type="auto"/>
          </w:tcPr>
          <w:p>
            <w:pPr>
              <w:spacing w:line="240" w:lineRule="auto"/>
            </w:pPr>
            <w:r>
              <w:rPr>
                <w:rFonts w:ascii="Times New Roman" w:hAnsi="Times New Roman" w:eastAsia="宋体"/>
                <w:b/>
                <w:sz w:val="18"/>
              </w:rPr>
              <w:t xml:space="preserve">LE8 per 10 points</w:t>
            </w:r>
          </w:p>
        </w:tc>
        <w:tc>
          <w:tcPr>
            <w:tcW w:w="0" w:type="auto"/>
          </w:tcPr>
          <w:p>
            <w:pPr>
              <w:spacing w:line="240" w:lineRule="auto"/>
            </w:pPr>
            <w:r>
              <w:rPr>
                <w:rFonts w:ascii="Times New Roman" w:hAnsi="Times New Roman" w:eastAsia="宋体"/>
                <w:b/>
                <w:sz w:val="18"/>
              </w:rPr>
              <w:t xml:space="preserve">Moderate 50–79 vs ≥80</w:t>
            </w:r>
          </w:p>
        </w:tc>
        <w:tc>
          <w:tcPr>
            <w:tcW w:w="0" w:type="auto"/>
          </w:tcPr>
          <w:p>
            <w:pPr>
              <w:spacing w:line="240" w:lineRule="auto"/>
            </w:pPr>
            <w:r>
              <w:rPr>
                <w:rFonts w:ascii="Times New Roman" w:hAnsi="Times New Roman" w:eastAsia="宋体"/>
                <w:b/>
                <w:sz w:val="18"/>
              </w:rPr>
              <w:t xml:space="preserve">Low &lt;50 vs ≥80</w:t>
            </w:r>
          </w:p>
        </w:tc>
      </w:tr>
      <w:tr>
        <w:tc>
          <w:tcPr>
            <w:tcW w:w="0" w:type="auto"/>
          </w:tcPr>
          <w:p>
            <w:pPr>
              <w:spacing w:line="240" w:lineRule="auto"/>
            </w:pPr>
            <w:r>
              <w:rPr>
                <w:rFonts w:ascii="Times New Roman" w:hAnsi="Times New Roman" w:eastAsia="宋体"/>
                <w:b w:val="0"/>
                <w:sz w:val="18"/>
              </w:rPr>
              <w:t xml:space="preserve">NHANES ≥45 y (n = 6,057; 905 deaths), All-cause mortality</w:t>
            </w:r>
          </w:p>
        </w:tc>
        <w:tc>
          <w:tcPr>
            <w:tcW w:w="0" w:type="auto"/>
          </w:tcPr>
          <w:p>
            <w:pPr>
              <w:spacing w:line="240" w:lineRule="auto"/>
            </w:pPr>
            <w:r>
              <w:rPr>
                <w:rFonts w:ascii="Times New Roman" w:hAnsi="Times New Roman" w:eastAsia="宋体"/>
                <w:b w:val="0"/>
                <w:sz w:val="18"/>
              </w:rPr>
              <w:t xml:space="preserve">M1</w:t>
            </w:r>
          </w:p>
        </w:tc>
        <w:tc>
          <w:tcPr>
            <w:tcW w:w="0" w:type="auto"/>
          </w:tcPr>
          <w:p>
            <w:pPr>
              <w:spacing w:line="240" w:lineRule="auto"/>
            </w:pPr>
            <w:r>
              <w:rPr>
                <w:rFonts w:ascii="Times New Roman" w:hAnsi="Times New Roman" w:eastAsia="宋体"/>
                <w:b w:val="0"/>
                <w:sz w:val="18"/>
              </w:rPr>
              <w:t xml:space="preserve">0.68 (0.63–0.73)</w:t>
            </w:r>
          </w:p>
        </w:tc>
        <w:tc>
          <w:tcPr>
            <w:tcW w:w="0" w:type="auto"/>
          </w:tcPr>
          <w:p>
            <w:pPr>
              <w:spacing w:line="240" w:lineRule="auto"/>
            </w:pPr>
            <w:r>
              <w:rPr>
                <w:rFonts w:ascii="Times New Roman" w:hAnsi="Times New Roman" w:eastAsia="宋体"/>
                <w:b w:val="0"/>
                <w:sz w:val="18"/>
              </w:rPr>
              <w:t xml:space="preserve">2.23 (1.86–2.69)</w:t>
            </w:r>
          </w:p>
        </w:tc>
        <w:tc>
          <w:tcPr>
            <w:tcW w:w="0" w:type="auto"/>
          </w:tcPr>
          <w:p>
            <w:pPr>
              <w:spacing w:line="240" w:lineRule="auto"/>
            </w:pPr>
            <w:r>
              <w:rPr>
                <w:rFonts w:ascii="Times New Roman" w:hAnsi="Times New Roman" w:eastAsia="宋体"/>
                <w:b w:val="0"/>
                <w:sz w:val="18"/>
              </w:rPr>
              <w:t xml:space="preserve">4.51 (2.94–6.90)</w:t>
            </w:r>
          </w:p>
        </w:tc>
        <w:tc>
          <w:tcPr>
            <w:tcW w:w="0" w:type="auto"/>
          </w:tcPr>
          <w:p>
            <w:pPr>
              <w:spacing w:line="240" w:lineRule="auto"/>
            </w:pPr>
            <w:r>
              <w:rPr>
                <w:rFonts w:ascii="Times New Roman" w:hAnsi="Times New Roman" w:eastAsia="宋体"/>
                <w:b w:val="0"/>
                <w:sz w:val="18"/>
              </w:rPr>
              <w:t xml:space="preserve">P &lt; 0.001</w:t>
            </w:r>
          </w:p>
        </w:tc>
      </w:tr>
      <w:tr>
        <w:tc>
          <w:tcPr>
            <w:tcW w:w="0" w:type="auto"/>
          </w:tcPr>
          <w:p>
            <w:pPr>
              <w:spacing w:line="240" w:lineRule="auto"/>
            </w:pPr>
            <w:r>
              <w:rPr>
                <w:rFonts w:ascii="Times New Roman" w:hAnsi="Times New Roman" w:eastAsia="宋体"/>
                <w:b w:val="0"/>
                <w:sz w:val="18"/>
              </w:rPr>
              <w:t xml:space="preserve">NHANES ≥45 y (n = 6,057; 905 deaths), All-cause mortality</w:t>
            </w:r>
          </w:p>
        </w:tc>
        <w:tc>
          <w:tcPr>
            <w:tcW w:w="0" w:type="auto"/>
          </w:tcPr>
          <w:p>
            <w:pPr>
              <w:spacing w:line="240" w:lineRule="auto"/>
            </w:pPr>
            <w:r>
              <w:rPr>
                <w:rFonts w:ascii="Times New Roman" w:hAnsi="Times New Roman" w:eastAsia="宋体"/>
                <w:b w:val="0"/>
                <w:sz w:val="18"/>
              </w:rPr>
              <w:t xml:space="preserve">M2</w:t>
            </w:r>
          </w:p>
        </w:tc>
        <w:tc>
          <w:tcPr>
            <w:tcW w:w="0" w:type="auto"/>
          </w:tcPr>
          <w:p>
            <w:pPr>
              <w:spacing w:line="240" w:lineRule="auto"/>
            </w:pPr>
            <w:r>
              <w:rPr>
                <w:rFonts w:ascii="Times New Roman" w:hAnsi="Times New Roman" w:eastAsia="宋体"/>
                <w:b w:val="0"/>
                <w:sz w:val="18"/>
              </w:rPr>
              <w:t xml:space="preserve">0.73 (0.68–0.79)</w:t>
            </w:r>
          </w:p>
        </w:tc>
        <w:tc>
          <w:tcPr>
            <w:tcW w:w="0" w:type="auto"/>
          </w:tcPr>
          <w:p>
            <w:pPr>
              <w:spacing w:line="240" w:lineRule="auto"/>
            </w:pPr>
            <w:r>
              <w:rPr>
                <w:rFonts w:ascii="Times New Roman" w:hAnsi="Times New Roman" w:eastAsia="宋体"/>
                <w:b w:val="0"/>
                <w:sz w:val="18"/>
              </w:rPr>
              <w:t xml:space="preserve">1.75 (1.51–2.02)</w:t>
            </w:r>
          </w:p>
        </w:tc>
        <w:tc>
          <w:tcPr>
            <w:tcW w:w="0" w:type="auto"/>
          </w:tcPr>
          <w:p>
            <w:pPr>
              <w:spacing w:line="240" w:lineRule="auto"/>
            </w:pPr>
            <w:r>
              <w:rPr>
                <w:rFonts w:ascii="Times New Roman" w:hAnsi="Times New Roman" w:eastAsia="宋体"/>
                <w:b w:val="0"/>
                <w:sz w:val="18"/>
              </w:rPr>
              <w:t xml:space="preserve">3.84 (2.61–5.63)</w:t>
            </w:r>
          </w:p>
        </w:tc>
        <w:tc>
          <w:tcPr>
            <w:tcW w:w="0" w:type="auto"/>
          </w:tcPr>
          <w:p>
            <w:pPr>
              <w:spacing w:line="240" w:lineRule="auto"/>
            </w:pPr>
            <w:r>
              <w:rPr>
                <w:rFonts w:ascii="Times New Roman" w:hAnsi="Times New Roman" w:eastAsia="宋体"/>
                <w:b w:val="0"/>
                <w:sz w:val="18"/>
              </w:rPr>
              <w:t xml:space="preserve">P &lt; 0.001</w:t>
            </w:r>
          </w:p>
        </w:tc>
      </w:tr>
      <w:tr>
        <w:tc>
          <w:tcPr>
            <w:tcW w:w="0" w:type="auto"/>
          </w:tcPr>
          <w:p>
            <w:pPr>
              <w:spacing w:line="240" w:lineRule="auto"/>
            </w:pPr>
            <w:r>
              <w:rPr>
                <w:rFonts w:ascii="Times New Roman" w:hAnsi="Times New Roman" w:eastAsia="宋体"/>
                <w:b w:val="0"/>
                <w:sz w:val="18"/>
              </w:rPr>
              <w:t xml:space="preserve">NHANES ≥45 y (n = 6,057; 905 deaths), All-cause mortality</w:t>
            </w:r>
          </w:p>
        </w:tc>
        <w:tc>
          <w:tcPr>
            <w:tcW w:w="0" w:type="auto"/>
          </w:tcPr>
          <w:p>
            <w:pPr>
              <w:spacing w:line="240" w:lineRule="auto"/>
            </w:pPr>
            <w:r>
              <w:rPr>
                <w:rFonts w:ascii="Times New Roman" w:hAnsi="Times New Roman" w:eastAsia="宋体"/>
                <w:b w:val="0"/>
                <w:sz w:val="18"/>
              </w:rPr>
              <w:t xml:space="preserve">M3</w:t>
            </w:r>
          </w:p>
        </w:tc>
        <w:tc>
          <w:tcPr>
            <w:tcW w:w="0" w:type="auto"/>
          </w:tcPr>
          <w:p>
            <w:pPr>
              <w:spacing w:line="240" w:lineRule="auto"/>
            </w:pPr>
            <w:r>
              <w:rPr>
                <w:rFonts w:ascii="Times New Roman" w:hAnsi="Times New Roman" w:eastAsia="宋体"/>
                <w:b w:val="0"/>
                <w:sz w:val="18"/>
              </w:rPr>
              <w:t xml:space="preserve">0.73 (0.67–0.79)</w:t>
            </w:r>
          </w:p>
        </w:tc>
        <w:tc>
          <w:tcPr>
            <w:tcW w:w="0" w:type="auto"/>
          </w:tcPr>
          <w:p>
            <w:pPr>
              <w:spacing w:line="240" w:lineRule="auto"/>
            </w:pPr>
            <w:r>
              <w:rPr>
                <w:rFonts w:ascii="Times New Roman" w:hAnsi="Times New Roman" w:eastAsia="宋体"/>
                <w:b w:val="0"/>
                <w:sz w:val="18"/>
              </w:rPr>
              <w:t xml:space="preserve">1.76 (1.51–2.04)</w:t>
            </w:r>
          </w:p>
        </w:tc>
        <w:tc>
          <w:tcPr>
            <w:tcW w:w="0" w:type="auto"/>
          </w:tcPr>
          <w:p>
            <w:pPr>
              <w:spacing w:line="240" w:lineRule="auto"/>
            </w:pPr>
            <w:r>
              <w:rPr>
                <w:rFonts w:ascii="Times New Roman" w:hAnsi="Times New Roman" w:eastAsia="宋体"/>
                <w:b w:val="0"/>
                <w:sz w:val="18"/>
              </w:rPr>
              <w:t xml:space="preserve">3.87 (2.58–5.80)</w:t>
            </w:r>
          </w:p>
        </w:tc>
        <w:tc>
          <w:tcPr>
            <w:tcW w:w="0" w:type="auto"/>
          </w:tcPr>
          <w:p>
            <w:pPr>
              <w:spacing w:line="240" w:lineRule="auto"/>
            </w:pPr>
            <w:r>
              <w:rPr>
                <w:rFonts w:ascii="Times New Roman" w:hAnsi="Times New Roman" w:eastAsia="宋体"/>
                <w:b w:val="0"/>
                <w:sz w:val="18"/>
              </w:rPr>
              <w:t xml:space="preserve">P &lt; 0.001</w:t>
            </w:r>
          </w:p>
        </w:tc>
      </w:tr>
      <w:tr>
        <w:tc>
          <w:tcPr>
            <w:tcW w:w="0" w:type="auto"/>
          </w:tcPr>
          <w:p>
            <w:pPr>
              <w:spacing w:line="240" w:lineRule="auto"/>
            </w:pPr>
            <w:r>
              <w:rPr>
                <w:rFonts w:ascii="Times New Roman" w:hAnsi="Times New Roman" w:eastAsia="宋体"/>
                <w:b w:val="0"/>
                <w:sz w:val="18"/>
              </w:rPr>
              <w:t xml:space="preserve">NHANES ≥45 y (n = 6,057; 905 deaths), Cardiovascular mortality</w:t>
            </w:r>
          </w:p>
        </w:tc>
        <w:tc>
          <w:tcPr>
            <w:tcW w:w="0" w:type="auto"/>
          </w:tcPr>
          <w:p>
            <w:pPr>
              <w:spacing w:line="240" w:lineRule="auto"/>
            </w:pPr>
            <w:r>
              <w:rPr>
                <w:rFonts w:ascii="Times New Roman" w:hAnsi="Times New Roman" w:eastAsia="宋体"/>
                <w:b w:val="0"/>
                <w:sz w:val="18"/>
              </w:rPr>
              <w:t xml:space="preserve">M1</w:t>
            </w:r>
          </w:p>
        </w:tc>
        <w:tc>
          <w:tcPr>
            <w:tcW w:w="0" w:type="auto"/>
          </w:tcPr>
          <w:p>
            <w:pPr>
              <w:spacing w:line="240" w:lineRule="auto"/>
            </w:pPr>
            <w:r>
              <w:rPr>
                <w:rFonts w:ascii="Times New Roman" w:hAnsi="Times New Roman" w:eastAsia="宋体"/>
                <w:b w:val="0"/>
                <w:sz w:val="18"/>
              </w:rPr>
              <w:t xml:space="preserve">0.62 (0.55–0.69)</w:t>
            </w:r>
          </w:p>
        </w:tc>
        <w:tc>
          <w:tcPr>
            <w:tcW w:w="0" w:type="auto"/>
          </w:tcPr>
          <w:p>
            <w:pPr>
              <w:spacing w:line="240" w:lineRule="auto"/>
            </w:pPr>
            <w:r>
              <w:rPr>
                <w:rFonts w:ascii="Times New Roman" w:hAnsi="Times New Roman" w:eastAsia="宋体"/>
                <w:b w:val="0"/>
                <w:sz w:val="18"/>
              </w:rPr>
              <w:t xml:space="preserve">2.28 (1.58–3.28)</w:t>
            </w:r>
          </w:p>
        </w:tc>
        <w:tc>
          <w:tcPr>
            <w:tcW w:w="0" w:type="auto"/>
          </w:tcPr>
          <w:p>
            <w:pPr>
              <w:spacing w:line="240" w:lineRule="auto"/>
            </w:pPr>
            <w:r>
              <w:rPr>
                <w:rFonts w:ascii="Times New Roman" w:hAnsi="Times New Roman" w:eastAsia="宋体"/>
                <w:b w:val="0"/>
                <w:sz w:val="18"/>
              </w:rPr>
              <w:t xml:space="preserve">5.32 (2.87–9.86)</w:t>
            </w:r>
          </w:p>
        </w:tc>
        <w:tc>
          <w:tcPr>
            <w:tcW w:w="0" w:type="auto"/>
          </w:tcPr>
          <w:p>
            <w:pPr>
              <w:spacing w:line="240" w:lineRule="auto"/>
            </w:pPr>
            <w:r>
              <w:rPr>
                <w:rFonts w:ascii="Times New Roman" w:hAnsi="Times New Roman" w:eastAsia="宋体"/>
                <w:b w:val="0"/>
                <w:sz w:val="18"/>
              </w:rPr>
              <w:t xml:space="preserve">P &lt; 0.001</w:t>
            </w:r>
          </w:p>
        </w:tc>
      </w:tr>
      <w:tr>
        <w:tc>
          <w:tcPr>
            <w:tcW w:w="0" w:type="auto"/>
          </w:tcPr>
          <w:p>
            <w:pPr>
              <w:spacing w:line="240" w:lineRule="auto"/>
            </w:pPr>
            <w:r>
              <w:rPr>
                <w:rFonts w:ascii="Times New Roman" w:hAnsi="Times New Roman" w:eastAsia="宋体"/>
                <w:b w:val="0"/>
                <w:sz w:val="18"/>
              </w:rPr>
              <w:t xml:space="preserve">NHANES ≥45 y (n = 6,057; 905 deaths), Cardiovascular mortality</w:t>
            </w:r>
          </w:p>
        </w:tc>
        <w:tc>
          <w:tcPr>
            <w:tcW w:w="0" w:type="auto"/>
          </w:tcPr>
          <w:p>
            <w:pPr>
              <w:spacing w:line="240" w:lineRule="auto"/>
            </w:pPr>
            <w:r>
              <w:rPr>
                <w:rFonts w:ascii="Times New Roman" w:hAnsi="Times New Roman" w:eastAsia="宋体"/>
                <w:b w:val="0"/>
                <w:sz w:val="18"/>
              </w:rPr>
              <w:t xml:space="preserve">M2</w:t>
            </w:r>
          </w:p>
        </w:tc>
        <w:tc>
          <w:tcPr>
            <w:tcW w:w="0" w:type="auto"/>
          </w:tcPr>
          <w:p>
            <w:pPr>
              <w:spacing w:line="240" w:lineRule="auto"/>
            </w:pPr>
            <w:r>
              <w:rPr>
                <w:rFonts w:ascii="Times New Roman" w:hAnsi="Times New Roman" w:eastAsia="宋体"/>
                <w:b w:val="0"/>
                <w:sz w:val="18"/>
              </w:rPr>
              <w:t xml:space="preserve">0.67 (0.59–0.76)</w:t>
            </w:r>
          </w:p>
        </w:tc>
        <w:tc>
          <w:tcPr>
            <w:tcW w:w="0" w:type="auto"/>
          </w:tcPr>
          <w:p>
            <w:pPr>
              <w:spacing w:line="240" w:lineRule="auto"/>
            </w:pPr>
            <w:r>
              <w:rPr>
                <w:rFonts w:ascii="Times New Roman" w:hAnsi="Times New Roman" w:eastAsia="宋体"/>
                <w:b w:val="0"/>
                <w:sz w:val="18"/>
              </w:rPr>
              <w:t xml:space="preserve">1.71 (1.21–2.43)</w:t>
            </w:r>
          </w:p>
        </w:tc>
        <w:tc>
          <w:tcPr>
            <w:tcW w:w="0" w:type="auto"/>
          </w:tcPr>
          <w:p>
            <w:pPr>
              <w:spacing w:line="240" w:lineRule="auto"/>
            </w:pPr>
            <w:r>
              <w:rPr>
                <w:rFonts w:ascii="Times New Roman" w:hAnsi="Times New Roman" w:eastAsia="宋体"/>
                <w:b w:val="0"/>
                <w:sz w:val="18"/>
              </w:rPr>
              <w:t xml:space="preserve">4.45 (2.64–7.50)</w:t>
            </w:r>
          </w:p>
        </w:tc>
        <w:tc>
          <w:tcPr>
            <w:tcW w:w="0" w:type="auto"/>
          </w:tcPr>
          <w:p>
            <w:pPr>
              <w:spacing w:line="240" w:lineRule="auto"/>
            </w:pPr>
            <w:r>
              <w:rPr>
                <w:rFonts w:ascii="Times New Roman" w:hAnsi="Times New Roman" w:eastAsia="宋体"/>
                <w:b w:val="0"/>
                <w:sz w:val="18"/>
              </w:rPr>
              <w:t xml:space="preserve">P &lt; 0.001</w:t>
            </w:r>
          </w:p>
        </w:tc>
      </w:tr>
      <w:tr>
        <w:tc>
          <w:tcPr>
            <w:tcW w:w="0" w:type="auto"/>
          </w:tcPr>
          <w:p>
            <w:pPr>
              <w:spacing w:line="240" w:lineRule="auto"/>
            </w:pPr>
            <w:r>
              <w:rPr>
                <w:rFonts w:ascii="Times New Roman" w:hAnsi="Times New Roman" w:eastAsia="宋体"/>
                <w:b w:val="0"/>
                <w:sz w:val="18"/>
              </w:rPr>
              <w:t xml:space="preserve">NHANES ≥45 y (n = 6,057; 905 deaths), Cardiovascular mortality</w:t>
            </w:r>
          </w:p>
        </w:tc>
        <w:tc>
          <w:tcPr>
            <w:tcW w:w="0" w:type="auto"/>
          </w:tcPr>
          <w:p>
            <w:pPr>
              <w:spacing w:line="240" w:lineRule="auto"/>
            </w:pPr>
            <w:r>
              <w:rPr>
                <w:rFonts w:ascii="Times New Roman" w:hAnsi="Times New Roman" w:eastAsia="宋体"/>
                <w:b w:val="0"/>
                <w:sz w:val="18"/>
              </w:rPr>
              <w:t xml:space="preserve">M3</w:t>
            </w:r>
          </w:p>
        </w:tc>
        <w:tc>
          <w:tcPr>
            <w:tcW w:w="0" w:type="auto"/>
          </w:tcPr>
          <w:p>
            <w:pPr>
              <w:spacing w:line="240" w:lineRule="auto"/>
            </w:pPr>
            <w:r>
              <w:rPr>
                <w:rFonts w:ascii="Times New Roman" w:hAnsi="Times New Roman" w:eastAsia="宋体"/>
                <w:b w:val="0"/>
                <w:sz w:val="18"/>
              </w:rPr>
              <w:t xml:space="preserve">0.67 (0.59–0.76)</w:t>
            </w:r>
          </w:p>
        </w:tc>
        <w:tc>
          <w:tcPr>
            <w:tcW w:w="0" w:type="auto"/>
          </w:tcPr>
          <w:p>
            <w:pPr>
              <w:spacing w:line="240" w:lineRule="auto"/>
            </w:pPr>
            <w:r>
              <w:rPr>
                <w:rFonts w:ascii="Times New Roman" w:hAnsi="Times New Roman" w:eastAsia="宋体"/>
                <w:b w:val="0"/>
                <w:sz w:val="18"/>
              </w:rPr>
              <w:t xml:space="preserve">1.71 (1.21–2.42)</w:t>
            </w:r>
          </w:p>
        </w:tc>
        <w:tc>
          <w:tcPr>
            <w:tcW w:w="0" w:type="auto"/>
          </w:tcPr>
          <w:p>
            <w:pPr>
              <w:spacing w:line="240" w:lineRule="auto"/>
            </w:pPr>
            <w:r>
              <w:rPr>
                <w:rFonts w:ascii="Times New Roman" w:hAnsi="Times New Roman" w:eastAsia="宋体"/>
                <w:b w:val="0"/>
                <w:sz w:val="18"/>
              </w:rPr>
              <w:t xml:space="preserve">4.31 (2.49–7.47)</w:t>
            </w:r>
          </w:p>
        </w:tc>
        <w:tc>
          <w:tcPr>
            <w:tcW w:w="0" w:type="auto"/>
          </w:tcPr>
          <w:p>
            <w:pPr>
              <w:spacing w:line="240" w:lineRule="auto"/>
            </w:pPr>
            <w:r>
              <w:rPr>
                <w:rFonts w:ascii="Times New Roman" w:hAnsi="Times New Roman" w:eastAsia="宋体"/>
                <w:b w:val="0"/>
                <w:sz w:val="18"/>
              </w:rPr>
              <w:t xml:space="preserve">P &lt; 0.001</w:t>
            </w:r>
          </w:p>
        </w:tc>
      </w:tr>
      <w:tr>
        <w:tc>
          <w:tcPr>
            <w:tcW w:w="0" w:type="auto"/>
          </w:tcPr>
          <w:p>
            <w:pPr>
              <w:spacing w:line="240" w:lineRule="auto"/>
            </w:pPr>
            <w:r>
              <w:rPr>
                <w:rFonts w:ascii="Times New Roman" w:hAnsi="Times New Roman" w:eastAsia="宋体"/>
                <w:b w:val="0"/>
                <w:sz w:val="18"/>
              </w:rPr>
              <w:t xml:space="preserve">NHANES CVD-free (n = 2,652; 202 deaths), All-cause mortality</w:t>
            </w:r>
          </w:p>
        </w:tc>
        <w:tc>
          <w:tcPr>
            <w:tcW w:w="0" w:type="auto"/>
          </w:tcPr>
          <w:p>
            <w:pPr>
              <w:spacing w:line="240" w:lineRule="auto"/>
            </w:pPr>
            <w:r>
              <w:rPr>
                <w:rFonts w:ascii="Times New Roman" w:hAnsi="Times New Roman" w:eastAsia="宋体"/>
                <w:b w:val="0"/>
                <w:sz w:val="18"/>
              </w:rPr>
              <w:t xml:space="preserve">M1</w:t>
            </w:r>
          </w:p>
        </w:tc>
        <w:tc>
          <w:tcPr>
            <w:tcW w:w="0" w:type="auto"/>
          </w:tcPr>
          <w:p>
            <w:pPr>
              <w:spacing w:line="240" w:lineRule="auto"/>
            </w:pPr>
            <w:r>
              <w:rPr>
                <w:rFonts w:ascii="Times New Roman" w:hAnsi="Times New Roman" w:eastAsia="宋体"/>
                <w:b w:val="0"/>
                <w:sz w:val="18"/>
              </w:rPr>
              <w:t xml:space="preserve">0.71 (0.62–0.83)</w:t>
            </w:r>
          </w:p>
        </w:tc>
        <w:tc>
          <w:tcPr>
            <w:tcW w:w="0" w:type="auto"/>
          </w:tcPr>
          <w:p>
            <w:pPr>
              <w:spacing w:line="240" w:lineRule="auto"/>
            </w:pPr>
            <w:r>
              <w:rPr>
                <w:rFonts w:ascii="Times New Roman" w:hAnsi="Times New Roman" w:eastAsia="宋体"/>
                <w:b w:val="0"/>
                <w:sz w:val="18"/>
              </w:rPr>
              <w:t xml:space="preserve">1.77 (1.26–2.50)</w:t>
            </w:r>
          </w:p>
        </w:tc>
        <w:tc>
          <w:tcPr>
            <w:tcW w:w="0" w:type="auto"/>
          </w:tcPr>
          <w:p>
            <w:pPr>
              <w:spacing w:line="240" w:lineRule="auto"/>
            </w:pPr>
            <w:r>
              <w:rPr>
                <w:rFonts w:ascii="Times New Roman" w:hAnsi="Times New Roman" w:eastAsia="宋体"/>
                <w:b w:val="0"/>
                <w:sz w:val="18"/>
              </w:rPr>
              <w:t xml:space="preserve">2.40 (0.67–8.59)</w:t>
            </w:r>
          </w:p>
        </w:tc>
        <w:tc>
          <w:tcPr>
            <w:tcW w:w="0" w:type="auto"/>
          </w:tcPr>
          <w:p>
            <w:pPr>
              <w:spacing w:line="240" w:lineRule="auto"/>
            </w:pPr>
            <w:r>
              <w:rPr>
                <w:rFonts w:ascii="Times New Roman" w:hAnsi="Times New Roman" w:eastAsia="宋体"/>
                <w:b w:val="0"/>
                <w:sz w:val="18"/>
              </w:rPr>
              <w:t xml:space="preserve">P &lt; 0.001</w:t>
            </w:r>
          </w:p>
        </w:tc>
      </w:tr>
      <w:tr>
        <w:tc>
          <w:tcPr>
            <w:tcW w:w="0" w:type="auto"/>
          </w:tcPr>
          <w:p>
            <w:pPr>
              <w:spacing w:line="240" w:lineRule="auto"/>
            </w:pPr>
            <w:r>
              <w:rPr>
                <w:rFonts w:ascii="Times New Roman" w:hAnsi="Times New Roman" w:eastAsia="宋体"/>
                <w:b w:val="0"/>
                <w:sz w:val="18"/>
              </w:rPr>
              <w:t xml:space="preserve">NHANES CVD-free (n = 2,652; 202 deaths), All-cause mortality</w:t>
            </w:r>
          </w:p>
        </w:tc>
        <w:tc>
          <w:tcPr>
            <w:tcW w:w="0" w:type="auto"/>
          </w:tcPr>
          <w:p>
            <w:pPr>
              <w:spacing w:line="240" w:lineRule="auto"/>
            </w:pPr>
            <w:r>
              <w:rPr>
                <w:rFonts w:ascii="Times New Roman" w:hAnsi="Times New Roman" w:eastAsia="宋体"/>
                <w:b w:val="0"/>
                <w:sz w:val="18"/>
              </w:rPr>
              <w:t xml:space="preserve">M2</w:t>
            </w:r>
          </w:p>
        </w:tc>
        <w:tc>
          <w:tcPr>
            <w:tcW w:w="0" w:type="auto"/>
          </w:tcPr>
          <w:p>
            <w:pPr>
              <w:spacing w:line="240" w:lineRule="auto"/>
            </w:pPr>
            <w:r>
              <w:rPr>
                <w:rFonts w:ascii="Times New Roman" w:hAnsi="Times New Roman" w:eastAsia="宋体"/>
                <w:b w:val="0"/>
                <w:sz w:val="18"/>
              </w:rPr>
              <w:t xml:space="preserve">0.78 (0.66–0.93)</w:t>
            </w:r>
          </w:p>
        </w:tc>
        <w:tc>
          <w:tcPr>
            <w:tcW w:w="0" w:type="auto"/>
          </w:tcPr>
          <w:p>
            <w:pPr>
              <w:spacing w:line="240" w:lineRule="auto"/>
            </w:pPr>
            <w:r>
              <w:rPr>
                <w:rFonts w:ascii="Times New Roman" w:hAnsi="Times New Roman" w:eastAsia="宋体"/>
                <w:b w:val="0"/>
                <w:sz w:val="18"/>
              </w:rPr>
              <w:t xml:space="preserve">1.41 (1.02–1.96)</w:t>
            </w:r>
          </w:p>
        </w:tc>
        <w:tc>
          <w:tcPr>
            <w:tcW w:w="0" w:type="auto"/>
          </w:tcPr>
          <w:p>
            <w:pPr>
              <w:spacing w:line="240" w:lineRule="auto"/>
            </w:pPr>
            <w:r>
              <w:rPr>
                <w:rFonts w:ascii="Times New Roman" w:hAnsi="Times New Roman" w:eastAsia="宋体"/>
                <w:b w:val="0"/>
                <w:sz w:val="18"/>
              </w:rPr>
              <w:t xml:space="preserve">1.96 (0.56–6.89)</w:t>
            </w:r>
          </w:p>
        </w:tc>
        <w:tc>
          <w:tcPr>
            <w:tcW w:w="0" w:type="auto"/>
          </w:tcPr>
          <w:p>
            <w:pPr>
              <w:spacing w:line="240" w:lineRule="auto"/>
            </w:pPr>
            <w:r>
              <w:rPr>
                <w:rFonts w:ascii="Times New Roman" w:hAnsi="Times New Roman" w:eastAsia="宋体"/>
                <w:b w:val="0"/>
                <w:sz w:val="18"/>
              </w:rPr>
              <w:t xml:space="preserve">P = 0.005</w:t>
            </w:r>
          </w:p>
        </w:tc>
      </w:tr>
      <w:tr>
        <w:tc>
          <w:tcPr>
            <w:tcW w:w="0" w:type="auto"/>
          </w:tcPr>
          <w:p>
            <w:pPr>
              <w:spacing w:line="240" w:lineRule="auto"/>
            </w:pPr>
            <w:r>
              <w:rPr>
                <w:rFonts w:ascii="Times New Roman" w:hAnsi="Times New Roman" w:eastAsia="宋体"/>
                <w:b w:val="0"/>
                <w:sz w:val="18"/>
              </w:rPr>
              <w:t xml:space="preserve">NHANES CVD-free (n = 2,652; 202 deaths), All-cause mortality</w:t>
            </w:r>
          </w:p>
        </w:tc>
        <w:tc>
          <w:tcPr>
            <w:tcW w:w="0" w:type="auto"/>
          </w:tcPr>
          <w:p>
            <w:pPr>
              <w:spacing w:line="240" w:lineRule="auto"/>
            </w:pPr>
            <w:r>
              <w:rPr>
                <w:rFonts w:ascii="Times New Roman" w:hAnsi="Times New Roman" w:eastAsia="宋体"/>
                <w:b w:val="0"/>
                <w:sz w:val="18"/>
              </w:rPr>
              <w:t xml:space="preserve">M3</w:t>
            </w:r>
          </w:p>
        </w:tc>
        <w:tc>
          <w:tcPr>
            <w:tcW w:w="0" w:type="auto"/>
          </w:tcPr>
          <w:p>
            <w:pPr>
              <w:spacing w:line="240" w:lineRule="auto"/>
            </w:pPr>
            <w:r>
              <w:rPr>
                <w:rFonts w:ascii="Times New Roman" w:hAnsi="Times New Roman" w:eastAsia="宋体"/>
                <w:b w:val="0"/>
                <w:sz w:val="18"/>
              </w:rPr>
              <w:t xml:space="preserve">0.77 (0.65–0.92)</w:t>
            </w:r>
          </w:p>
        </w:tc>
        <w:tc>
          <w:tcPr>
            <w:tcW w:w="0" w:type="auto"/>
          </w:tcPr>
          <w:p>
            <w:pPr>
              <w:spacing w:line="240" w:lineRule="auto"/>
            </w:pPr>
            <w:r>
              <w:rPr>
                <w:rFonts w:ascii="Times New Roman" w:hAnsi="Times New Roman" w:eastAsia="宋体"/>
                <w:b w:val="0"/>
                <w:sz w:val="18"/>
              </w:rPr>
              <w:t xml:space="preserve">1.43 (1.04–1.98)</w:t>
            </w:r>
          </w:p>
        </w:tc>
        <w:tc>
          <w:tcPr>
            <w:tcW w:w="0" w:type="auto"/>
          </w:tcPr>
          <w:p>
            <w:pPr>
              <w:spacing w:line="240" w:lineRule="auto"/>
            </w:pPr>
            <w:r>
              <w:rPr>
                <w:rFonts w:ascii="Times New Roman" w:hAnsi="Times New Roman" w:eastAsia="宋体"/>
                <w:b w:val="0"/>
                <w:sz w:val="18"/>
              </w:rPr>
              <w:t xml:space="preserve">1.98 (0.55–7.20)</w:t>
            </w:r>
          </w:p>
        </w:tc>
        <w:tc>
          <w:tcPr>
            <w:tcW w:w="0" w:type="auto"/>
          </w:tcPr>
          <w:p>
            <w:pPr>
              <w:spacing w:line="240" w:lineRule="auto"/>
            </w:pPr>
            <w:r>
              <w:rPr>
                <w:rFonts w:ascii="Times New Roman" w:hAnsi="Times New Roman" w:eastAsia="宋体"/>
                <w:b w:val="0"/>
                <w:sz w:val="18"/>
              </w:rPr>
              <w:t xml:space="preserve">P = 0.004</w:t>
            </w:r>
          </w:p>
        </w:tc>
      </w:tr>
      <w:tr>
        <w:tc>
          <w:tcPr>
            <w:tcW w:w="0" w:type="auto"/>
          </w:tcPr>
          <w:p>
            <w:pPr>
              <w:spacing w:line="240" w:lineRule="auto"/>
            </w:pPr>
            <w:r>
              <w:rPr>
                <w:rFonts w:ascii="Times New Roman" w:hAnsi="Times New Roman" w:eastAsia="宋体"/>
                <w:b w:val="0"/>
                <w:sz w:val="18"/>
              </w:rPr>
              <w:t xml:space="preserve">NHANES CVD-free (n = 2,652; 202 deaths), Cardiovascular mortality</w:t>
            </w:r>
          </w:p>
        </w:tc>
        <w:tc>
          <w:tcPr>
            <w:tcW w:w="0" w:type="auto"/>
          </w:tcPr>
          <w:p>
            <w:pPr>
              <w:spacing w:line="240" w:lineRule="auto"/>
            </w:pPr>
            <w:r>
              <w:rPr>
                <w:rFonts w:ascii="Times New Roman" w:hAnsi="Times New Roman" w:eastAsia="宋体"/>
                <w:b w:val="0"/>
                <w:sz w:val="18"/>
              </w:rPr>
              <w:t xml:space="preserve">M1</w:t>
            </w:r>
          </w:p>
        </w:tc>
        <w:tc>
          <w:tcPr>
            <w:tcW w:w="0" w:type="auto"/>
          </w:tcPr>
          <w:p>
            <w:pPr>
              <w:spacing w:line="240" w:lineRule="auto"/>
            </w:pPr>
            <w:r>
              <w:rPr>
                <w:rFonts w:ascii="Times New Roman" w:hAnsi="Times New Roman" w:eastAsia="宋体"/>
                <w:b w:val="0"/>
                <w:sz w:val="18"/>
              </w:rPr>
              <w:t xml:space="preserve">0.66 (0.43–0.99)</w:t>
            </w:r>
          </w:p>
        </w:tc>
        <w:tc>
          <w:tcPr>
            <w:tcW w:w="0" w:type="auto"/>
          </w:tcPr>
          <w:p>
            <w:pPr>
              <w:spacing w:line="240" w:lineRule="auto"/>
            </w:pPr>
            <w:r>
              <w:rPr>
                <w:rFonts w:ascii="Times New Roman" w:hAnsi="Times New Roman" w:eastAsia="宋体"/>
                <w:b w:val="0"/>
                <w:sz w:val="18"/>
              </w:rPr>
              <w:t xml:space="preserve">1.52 (0.62–3.71)</w:t>
            </w:r>
          </w:p>
        </w:tc>
        <w:tc>
          <w:tcPr>
            <w:tcW w:w="0" w:type="auto"/>
          </w:tcPr>
          <w:p>
            <w:pPr>
              <w:spacing w:line="240" w:lineRule="auto"/>
            </w:pPr>
            <w:r>
              <w:rPr>
                <w:rFonts w:ascii="Times New Roman" w:hAnsi="Times New Roman" w:eastAsia="宋体"/>
                <w:b w:val="0"/>
                <w:sz w:val="18"/>
              </w:rPr>
              <w:t xml:space="preserve">6.55 (0.71–60.63)</w:t>
            </w:r>
          </w:p>
        </w:tc>
        <w:tc>
          <w:tcPr>
            <w:tcW w:w="0" w:type="auto"/>
          </w:tcPr>
          <w:p>
            <w:pPr>
              <w:spacing w:line="240" w:lineRule="auto"/>
            </w:pPr>
            <w:r>
              <w:rPr>
                <w:rFonts w:ascii="Times New Roman" w:hAnsi="Times New Roman" w:eastAsia="宋体"/>
                <w:b w:val="0"/>
                <w:sz w:val="18"/>
              </w:rPr>
              <w:t xml:space="preserve">P = 0.045</w:t>
            </w:r>
          </w:p>
        </w:tc>
      </w:tr>
      <w:tr>
        <w:tc>
          <w:tcPr>
            <w:tcW w:w="0" w:type="auto"/>
          </w:tcPr>
          <w:p>
            <w:pPr>
              <w:spacing w:line="240" w:lineRule="auto"/>
            </w:pPr>
            <w:r>
              <w:rPr>
                <w:rFonts w:ascii="Times New Roman" w:hAnsi="Times New Roman" w:eastAsia="宋体"/>
                <w:b w:val="0"/>
                <w:sz w:val="18"/>
              </w:rPr>
              <w:t xml:space="preserve">NHANES CVD-free (n = 2,652; 202 deaths), Cardiovascular mortality</w:t>
            </w:r>
          </w:p>
        </w:tc>
        <w:tc>
          <w:tcPr>
            <w:tcW w:w="0" w:type="auto"/>
          </w:tcPr>
          <w:p>
            <w:pPr>
              <w:spacing w:line="240" w:lineRule="auto"/>
            </w:pPr>
            <w:r>
              <w:rPr>
                <w:rFonts w:ascii="Times New Roman" w:hAnsi="Times New Roman" w:eastAsia="宋体"/>
                <w:b w:val="0"/>
                <w:sz w:val="18"/>
              </w:rPr>
              <w:t xml:space="preserve">M2</w:t>
            </w:r>
          </w:p>
        </w:tc>
        <w:tc>
          <w:tcPr>
            <w:tcW w:w="0" w:type="auto"/>
          </w:tcPr>
          <w:p>
            <w:pPr>
              <w:spacing w:line="240" w:lineRule="auto"/>
            </w:pPr>
            <w:r>
              <w:rPr>
                <w:rFonts w:ascii="Times New Roman" w:hAnsi="Times New Roman" w:eastAsia="宋体"/>
                <w:b w:val="0"/>
                <w:sz w:val="18"/>
              </w:rPr>
              <w:t xml:space="preserve">0.73 (0.46–1.16)</w:t>
            </w:r>
          </w:p>
        </w:tc>
        <w:tc>
          <w:tcPr>
            <w:tcW w:w="0" w:type="auto"/>
          </w:tcPr>
          <w:p>
            <w:pPr>
              <w:spacing w:line="240" w:lineRule="auto"/>
            </w:pPr>
            <w:r>
              <w:rPr>
                <w:rFonts w:ascii="Times New Roman" w:hAnsi="Times New Roman" w:eastAsia="宋体"/>
                <w:b w:val="0"/>
                <w:sz w:val="18"/>
              </w:rPr>
              <w:t xml:space="preserve">1.17 (0.48–2.84)</w:t>
            </w:r>
          </w:p>
        </w:tc>
        <w:tc>
          <w:tcPr>
            <w:tcW w:w="0" w:type="auto"/>
          </w:tcPr>
          <w:p>
            <w:pPr>
              <w:spacing w:line="240" w:lineRule="auto"/>
            </w:pPr>
            <w:r>
              <w:rPr>
                <w:rFonts w:ascii="Times New Roman" w:hAnsi="Times New Roman" w:eastAsia="宋体"/>
                <w:b w:val="0"/>
                <w:sz w:val="18"/>
              </w:rPr>
              <w:t xml:space="preserve">5.11 (0.57–45.85)</w:t>
            </w:r>
          </w:p>
        </w:tc>
        <w:tc>
          <w:tcPr>
            <w:tcW w:w="0" w:type="auto"/>
          </w:tcPr>
          <w:p>
            <w:pPr>
              <w:spacing w:line="240" w:lineRule="auto"/>
            </w:pPr>
            <w:r>
              <w:rPr>
                <w:rFonts w:ascii="Times New Roman" w:hAnsi="Times New Roman" w:eastAsia="宋体"/>
                <w:b w:val="0"/>
                <w:sz w:val="18"/>
              </w:rPr>
              <w:t xml:space="preserve">P = 0.177</w:t>
            </w:r>
          </w:p>
        </w:tc>
      </w:tr>
      <w:tr>
        <w:tc>
          <w:tcPr>
            <w:tcW w:w="0" w:type="auto"/>
          </w:tcPr>
          <w:p>
            <w:pPr>
              <w:spacing w:line="240" w:lineRule="auto"/>
            </w:pPr>
            <w:r>
              <w:rPr>
                <w:rFonts w:ascii="Times New Roman" w:hAnsi="Times New Roman" w:eastAsia="宋体"/>
                <w:b w:val="0"/>
                <w:sz w:val="18"/>
              </w:rPr>
              <w:t xml:space="preserve">NHANES CVD-free (n = 2,652; 202 deaths), Cardiovascular mortality</w:t>
            </w:r>
          </w:p>
        </w:tc>
        <w:tc>
          <w:tcPr>
            <w:tcW w:w="0" w:type="auto"/>
          </w:tcPr>
          <w:p>
            <w:pPr>
              <w:spacing w:line="240" w:lineRule="auto"/>
            </w:pPr>
            <w:r>
              <w:rPr>
                <w:rFonts w:ascii="Times New Roman" w:hAnsi="Times New Roman" w:eastAsia="宋体"/>
                <w:b w:val="0"/>
                <w:sz w:val="18"/>
              </w:rPr>
              <w:t xml:space="preserve">M3</w:t>
            </w:r>
          </w:p>
        </w:tc>
        <w:tc>
          <w:tcPr>
            <w:tcW w:w="0" w:type="auto"/>
          </w:tcPr>
          <w:p>
            <w:pPr>
              <w:spacing w:line="240" w:lineRule="auto"/>
            </w:pPr>
            <w:r>
              <w:rPr>
                <w:rFonts w:ascii="Times New Roman" w:hAnsi="Times New Roman" w:eastAsia="宋体"/>
                <w:b w:val="0"/>
                <w:sz w:val="18"/>
              </w:rPr>
              <w:t xml:space="preserve">0.73 (0.46–1.18)</w:t>
            </w:r>
          </w:p>
        </w:tc>
        <w:tc>
          <w:tcPr>
            <w:tcW w:w="0" w:type="auto"/>
          </w:tcPr>
          <w:p>
            <w:pPr>
              <w:spacing w:line="240" w:lineRule="auto"/>
            </w:pPr>
            <w:r>
              <w:rPr>
                <w:rFonts w:ascii="Times New Roman" w:hAnsi="Times New Roman" w:eastAsia="宋体"/>
                <w:b w:val="0"/>
                <w:sz w:val="18"/>
              </w:rPr>
              <w:t xml:space="preserve">1.16 (0.48–2.78)</w:t>
            </w:r>
          </w:p>
        </w:tc>
        <w:tc>
          <w:tcPr>
            <w:tcW w:w="0" w:type="auto"/>
          </w:tcPr>
          <w:p>
            <w:pPr>
              <w:spacing w:line="240" w:lineRule="auto"/>
            </w:pPr>
            <w:r>
              <w:rPr>
                <w:rFonts w:ascii="Times New Roman" w:hAnsi="Times New Roman" w:eastAsia="宋体"/>
                <w:b w:val="0"/>
                <w:sz w:val="18"/>
              </w:rPr>
              <w:t xml:space="preserve">4.72 (0.44–50.08)</w:t>
            </w:r>
          </w:p>
        </w:tc>
        <w:tc>
          <w:tcPr>
            <w:tcW w:w="0" w:type="auto"/>
          </w:tcPr>
          <w:p>
            <w:pPr>
              <w:spacing w:line="240" w:lineRule="auto"/>
            </w:pPr>
            <w:r>
              <w:rPr>
                <w:rFonts w:ascii="Times New Roman" w:hAnsi="Times New Roman" w:eastAsia="宋体"/>
                <w:b w:val="0"/>
                <w:sz w:val="18"/>
              </w:rPr>
              <w:t xml:space="preserve">P = 0.200</w:t>
            </w:r>
          </w:p>
        </w:tc>
      </w:tr>
    </w:tbl>
    <w:p>
      <w:pPr>
        <w:spacing w:line="360" w:lineRule="auto"/>
      </w:pPr>
      <w:r>
        <w:rPr>
          <w:rFonts w:ascii="Times New Roman" w:hAnsi="Times New Roman" w:eastAsia="宋体"/>
          <w:b w:val="0"/>
          <w:sz w:val="22"/>
        </w:rPr>
        <w:t xml:space="preserve">Note: NHANES is cross-sectional, so trajectories cannot be derived; this table validates the LE8 score itself. Cardiovascular deaths in the cardiovascular disease–free subcohort (n = 46) were too few for stable estimates.</w:t>
      </w:r>
    </w:p>
    <w:p>
      <w:pPr>
        <w:jc w:val="left"/>
      </w:pPr>
      <w:r>
        <w:rPr>
          <w:rFonts w:ascii="Times New Roman" w:hAnsi="Times New Roman" w:eastAsia="黑体"/>
          <w:b/>
          <w:sz w:val="24"/>
        </w:rPr>
        <w:t>Sensitivity Analysis Definitions (S1–S16)</w:t>
      </w:r>
    </w:p>
    <w:p>
      <w:pPr>
        <w:pStyle w:val="ListBullet"/>
      </w:pPr>
      <w:r>
        <w:rPr>
          <w:rFonts w:ascii="Times New Roman" w:hAnsi="Times New Roman" w:eastAsia="宋体"/>
          <w:b/>
          <w:sz w:val="21"/>
        </w:rPr>
        <w:t>S1 (no interpolation):</w:t>
      </w:r>
      <w:r>
        <w:rPr>
          <w:rFonts w:ascii="Times New Roman" w:hAnsi="Times New Roman" w:eastAsia="宋体"/>
          <w:b w:val="0"/>
          <w:sz w:val="21"/>
        </w:rPr>
        <w:t xml:space="preserve"> 2013 glucose/lipid components set to missing (no interpolation).</w:t>
      </w:r>
    </w:p>
    <w:p>
      <w:pPr>
        <w:pStyle w:val="ListBullet"/>
      </w:pPr>
      <w:r>
        <w:rPr>
          <w:rFonts w:ascii="Times New Roman" w:hAnsi="Times New Roman" w:eastAsia="宋体"/>
          <w:b/>
          <w:sz w:val="21"/>
        </w:rPr>
        <w:t>S2 (LOCF):</w:t>
      </w:r>
      <w:r>
        <w:rPr>
          <w:rFonts w:ascii="Times New Roman" w:hAnsi="Times New Roman" w:eastAsia="宋体"/>
          <w:b w:val="0"/>
          <w:sz w:val="21"/>
        </w:rPr>
        <w:t xml:space="preserve"> 2013 glucose/lipid imputed by last-observation carry-forward from 2011.</w:t>
      </w:r>
    </w:p>
    <w:p>
      <w:pPr>
        <w:pStyle w:val="ListBullet"/>
      </w:pPr>
      <w:r>
        <w:rPr>
          <w:rFonts w:ascii="Times New Roman" w:hAnsi="Times New Roman" w:eastAsia="宋体"/>
          <w:b/>
          <w:sz w:val="21"/>
        </w:rPr>
        <w:t>S3 (competing risk):</w:t>
      </w:r>
      <w:r>
        <w:rPr>
          <w:rFonts w:ascii="Times New Roman" w:hAnsi="Times New Roman" w:eastAsia="宋体"/>
          <w:b w:val="0"/>
          <w:sz w:val="21"/>
        </w:rPr>
        <w:t xml:space="preserve"> Fine–Gray subdistribution hazard model with death as a competing event.</w:t>
      </w:r>
    </w:p>
    <w:p>
      <w:pPr>
        <w:pStyle w:val="ListBullet"/>
      </w:pPr>
      <w:r>
        <w:rPr>
          <w:rFonts w:ascii="Times New Roman" w:hAnsi="Times New Roman" w:eastAsia="宋体"/>
          <w:b/>
          <w:sz w:val="21"/>
        </w:rPr>
        <w:t>S4 (reverse causation):</w:t>
      </w:r>
      <w:r>
        <w:rPr>
          <w:rFonts w:ascii="Times New Roman" w:hAnsi="Times New Roman" w:eastAsia="宋体"/>
          <w:b w:val="0"/>
          <w:sz w:val="21"/>
        </w:rPr>
        <w:t xml:space="preserve"> participants with any incident cardiovascular disease diagnosed during the trajectory window (2011–2015) excluded (n=3,215; 148 events).</w:t>
      </w:r>
    </w:p>
    <w:p>
      <w:pPr>
        <w:pStyle w:val="ListBullet"/>
      </w:pPr>
      <w:r>
        <w:rPr>
          <w:rFonts w:ascii="Times New Roman" w:hAnsi="Times New Roman" w:eastAsia="宋体"/>
          <w:b/>
          <w:sz w:val="21"/>
        </w:rPr>
        <w:t>S5 (E-value):</w:t>
      </w:r>
      <w:r>
        <w:rPr>
          <w:rFonts w:ascii="Times New Roman" w:hAnsi="Times New Roman" w:eastAsia="宋体"/>
          <w:b w:val="0"/>
          <w:sz w:val="21"/>
        </w:rPr>
        <w:t xml:space="preserve"> E-value computed from the Model 3 Cox HR (3.75).</w:t>
      </w:r>
    </w:p>
    <w:p>
      <w:pPr>
        <w:pStyle w:val="ListBullet"/>
      </w:pPr>
      <w:r>
        <w:rPr>
          <w:rFonts w:ascii="Times New Roman" w:hAnsi="Times New Roman" w:eastAsia="宋体"/>
          <w:b/>
          <w:sz w:val="21"/>
        </w:rPr>
        <w:t>S6 (multiple imputation):</w:t>
      </w:r>
      <w:r>
        <w:rPr>
          <w:rFonts w:ascii="Times New Roman" w:hAnsi="Times New Roman" w:eastAsia="宋体"/>
          <w:b w:val="0"/>
          <w:sz w:val="21"/>
        </w:rPr>
        <w:t xml:space="preserve"> covariate missingness addressed by multiple imputation (mice, m=20); full risk set (n=4,547).</w:t>
      </w:r>
    </w:p>
    <w:p>
      <w:pPr>
        <w:pStyle w:val="ListBullet"/>
      </w:pPr>
      <w:r>
        <w:rPr>
          <w:rFonts w:ascii="Times New Roman" w:hAnsi="Times New Roman" w:eastAsia="宋体"/>
          <w:b/>
          <w:sz w:val="21"/>
        </w:rPr>
        <w:t>S7 (complete three-wave sample):</w:t>
      </w:r>
      <w:r>
        <w:rPr>
          <w:rFonts w:ascii="Times New Roman" w:hAnsi="Times New Roman" w:eastAsia="宋体"/>
          <w:b w:val="0"/>
          <w:sz w:val="21"/>
        </w:rPr>
        <w:t xml:space="preserve"> analysis restricted to participants with LE8 scores in all three waves.</w:t>
      </w:r>
    </w:p>
    <w:p>
      <w:pPr>
        <w:pStyle w:val="ListBullet"/>
      </w:pPr>
      <w:r>
        <w:rPr>
          <w:rFonts w:ascii="Times New Roman" w:hAnsi="Times New Roman" w:eastAsia="宋体"/>
          <w:b/>
          <w:sz w:val="21"/>
        </w:rPr>
        <w:t>S8a/S8b/S8c (outcome extensions):</w:t>
      </w:r>
      <w:r>
        <w:rPr>
          <w:rFonts w:ascii="Times New Roman" w:hAnsi="Times New Roman" w:eastAsia="宋体"/>
          <w:b w:val="0"/>
          <w:sz w:val="21"/>
        </w:rPr>
        <w:t xml:space="preserve"> S8a additionally counts events ascertained at the 2015 wave; S8b at the 2013 wave; S8c uses the 2018 two-disease (hypertension + heart disease) ascertainment. These variants include events within the trajectory window and serve only as definition-robustness checks.</w:t>
      </w:r>
    </w:p>
    <w:p>
      <w:pPr>
        <w:pStyle w:val="ListBullet"/>
      </w:pPr>
      <w:r>
        <w:rPr>
          <w:rFonts w:ascii="Times New Roman" w:hAnsi="Times New Roman" w:eastAsia="宋体"/>
          <w:b/>
          <w:sz w:val="21"/>
        </w:rPr>
        <w:t>S9 (Chinese BMI thresholds):</w:t>
      </w:r>
      <w:r>
        <w:rPr>
          <w:rFonts w:ascii="Times New Roman" w:hAnsi="Times New Roman" w:eastAsia="宋体"/>
          <w:b w:val="0"/>
          <w:sz w:val="21"/>
        </w:rPr>
        <w:t xml:space="preserve"> BMI scored with Chinese cutoffs (≥24/≥28 kg/m²).</w:t>
      </w:r>
    </w:p>
    <w:p>
      <w:pPr>
        <w:pStyle w:val="ListBullet"/>
      </w:pPr>
      <w:r>
        <w:rPr>
          <w:rFonts w:ascii="Times New Roman" w:hAnsi="Times New Roman" w:eastAsia="宋体"/>
          <w:b/>
          <w:sz w:val="21"/>
        </w:rPr>
        <w:t>S9b (sleep 6–8 h):</w:t>
      </w:r>
      <w:r>
        <w:rPr>
          <w:rFonts w:ascii="Times New Roman" w:hAnsi="Times New Roman" w:eastAsia="宋体"/>
          <w:b w:val="0"/>
          <w:sz w:val="21"/>
        </w:rPr>
        <w:t xml:space="preserve"> sleep scored with a 6–8 h optimal range.</w:t>
      </w:r>
    </w:p>
    <w:p>
      <w:pPr>
        <w:pStyle w:val="ListBullet"/>
      </w:pPr>
      <w:r>
        <w:rPr>
          <w:rFonts w:ascii="Times New Roman" w:hAnsi="Times New Roman" w:eastAsia="宋体"/>
          <w:b/>
          <w:sz w:val="21"/>
        </w:rPr>
        <w:t>S10 (blood-pressure component excluded):</w:t>
      </w:r>
      <w:r>
        <w:rPr>
          <w:rFonts w:ascii="Times New Roman" w:hAnsi="Times New Roman" w:eastAsia="宋体"/>
          <w:b w:val="0"/>
          <w:sz w:val="21"/>
        </w:rPr>
        <w:t xml:space="preserve"> six-component LE8 (BP removed); trajectories re-derived.</w:t>
      </w:r>
    </w:p>
    <w:p>
      <w:pPr>
        <w:pStyle w:val="ListBullet"/>
      </w:pPr>
      <w:r>
        <w:rPr>
          <w:rFonts w:ascii="Times New Roman" w:hAnsi="Times New Roman" w:eastAsia="宋体"/>
          <w:b/>
          <w:sz w:val="21"/>
        </w:rPr>
        <w:t>S11 (heart disease + stroke):</w:t>
      </w:r>
      <w:r>
        <w:rPr>
          <w:rFonts w:ascii="Times New Roman" w:hAnsi="Times New Roman" w:eastAsia="宋体"/>
          <w:b w:val="0"/>
          <w:sz w:val="21"/>
        </w:rPr>
        <w:t xml:space="preserve"> outcome defined as co-occurrence of heart disease and stroke without hypertension; baseline free of heart disease and stroke.</w:t>
      </w:r>
    </w:p>
    <w:p>
      <w:pPr>
        <w:pStyle w:val="ListBullet"/>
      </w:pPr>
      <w:r>
        <w:rPr>
          <w:rFonts w:ascii="Times New Roman" w:hAnsi="Times New Roman" w:eastAsia="宋体"/>
          <w:b/>
          <w:sz w:val="21"/>
        </w:rPr>
        <w:t>S12 (diabetes-anchored):</w:t>
      </w:r>
      <w:r>
        <w:rPr>
          <w:rFonts w:ascii="Times New Roman" w:hAnsi="Times New Roman" w:eastAsia="宋体"/>
          <w:b w:val="0"/>
          <w:sz w:val="21"/>
        </w:rPr>
        <w:t xml:space="preserve"> outcome defined as ≥2 of diabetes, heart disease, or stroke (Di Angelantonio criteria); baseline free of all three.</w:t>
      </w:r>
    </w:p>
    <w:p>
      <w:pPr>
        <w:pStyle w:val="ListBullet"/>
      </w:pPr>
      <w:r>
        <w:rPr>
          <w:rFonts w:ascii="Times New Roman" w:hAnsi="Times New Roman" w:eastAsia="宋体"/>
          <w:b/>
          <w:sz w:val="21"/>
        </w:rPr>
        <w:t>S13a (official AHA scoring, PA + nicotine):</w:t>
      </w:r>
      <w:r>
        <w:rPr>
          <w:rFonts w:ascii="Times New Roman" w:hAnsi="Times New Roman" w:eastAsia="宋体"/>
          <w:b w:val="0"/>
          <w:sz w:val="21"/>
        </w:rPr>
        <w:t xml:space="preserve"> physical activity and nicotine exposure re-scored with official AHA thresholds; trajectories re-derived.</w:t>
      </w:r>
    </w:p>
    <w:p>
      <w:pPr>
        <w:pStyle w:val="ListBullet"/>
      </w:pPr>
      <w:r>
        <w:rPr>
          <w:rFonts w:ascii="Times New Roman" w:hAnsi="Times New Roman" w:eastAsia="宋体"/>
          <w:b/>
          <w:sz w:val="21"/>
        </w:rPr>
        <w:t>S13b (inverse-probability weighting):</w:t>
      </w:r>
      <w:r>
        <w:rPr>
          <w:rFonts w:ascii="Times New Roman" w:hAnsi="Times New Roman" w:eastAsia="宋体"/>
          <w:b w:val="0"/>
          <w:sz w:val="21"/>
        </w:rPr>
        <w:t xml:space="preserve"> unstabilized IPW; inclusion model on 14,318 complete-covariate baseline respondents. See eTable 12 for stabilized/truncated variants.</w:t>
      </w:r>
    </w:p>
    <w:p>
      <w:pPr>
        <w:pStyle w:val="ListBullet"/>
      </w:pPr>
      <w:r>
        <w:rPr>
          <w:rFonts w:ascii="Times New Roman" w:hAnsi="Times New Roman" w:eastAsia="宋体"/>
          <w:b/>
          <w:sz w:val="21"/>
        </w:rPr>
        <w:t>S13c (cluster-robust SE):</w:t>
      </w:r>
      <w:r>
        <w:rPr>
          <w:rFonts w:ascii="Times New Roman" w:hAnsi="Times New Roman" w:eastAsia="宋体"/>
          <w:b w:val="0"/>
          <w:sz w:val="21"/>
        </w:rPr>
        <w:t xml:space="preserve"> community-level clustered standard errors.</w:t>
      </w:r>
    </w:p>
    <w:p>
      <w:pPr>
        <w:pStyle w:val="ListBullet"/>
      </w:pPr>
      <w:r>
        <w:rPr>
          <w:rFonts w:ascii="Times New Roman" w:hAnsi="Times New Roman" w:eastAsia="宋体"/>
          <w:b/>
          <w:sz w:val="21"/>
        </w:rPr>
        <w:t>S13d (official AHA sleep scoring):</w:t>
      </w:r>
      <w:r>
        <w:rPr>
          <w:rFonts w:ascii="Times New Roman" w:hAnsi="Times New Roman" w:eastAsia="宋体"/>
          <w:b w:val="0"/>
          <w:sz w:val="21"/>
        </w:rPr>
        <w:t xml:space="preserve"> sleep re-scored with official thresholds (6–&lt;7 h=70; 5–&lt;6 or ≥10 h=40; 4–&lt;5 h=20; &lt;4 h=0); trajectories re-derived.</w:t>
      </w:r>
    </w:p>
    <w:p>
      <w:pPr>
        <w:pStyle w:val="ListBullet"/>
      </w:pPr>
      <w:r>
        <w:rPr>
          <w:rFonts w:ascii="Times New Roman" w:hAnsi="Times New Roman" w:eastAsia="宋体"/>
          <w:b/>
          <w:sz w:val="21"/>
        </w:rPr>
        <w:t>S13e (physical activity excluded):</w:t>
      </w:r>
      <w:r>
        <w:rPr>
          <w:rFonts w:ascii="Times New Roman" w:hAnsi="Times New Roman" w:eastAsia="宋体"/>
          <w:b w:val="0"/>
          <w:sz w:val="21"/>
        </w:rPr>
        <w:t xml:space="preserve"> LE8 total recomputed from six components (PA removed); trajectories re-derived.</w:t>
      </w:r>
    </w:p>
    <w:p>
      <w:pPr>
        <w:pStyle w:val="ListBullet"/>
      </w:pPr>
      <w:r>
        <w:rPr>
          <w:rFonts w:ascii="Times New Roman" w:hAnsi="Times New Roman" w:eastAsia="宋体"/>
          <w:b/>
          <w:sz w:val="21"/>
        </w:rPr>
        <w:t>S14 (excluding unclassifiable events):</w:t>
      </w:r>
      <w:r>
        <w:rPr>
          <w:rFonts w:ascii="Times New Roman" w:hAnsi="Times New Roman" w:eastAsia="宋体"/>
          <w:b w:val="0"/>
          <w:sz w:val="21"/>
        </w:rPr>
        <w:t xml:space="preserve"> primary logistic model excluding the 18 events with unclassifiable disease combinations (312 events).</w:t>
      </w:r>
    </w:p>
    <w:p>
      <w:pPr>
        <w:pStyle w:val="ListBullet"/>
      </w:pPr>
      <w:r>
        <w:rPr>
          <w:rFonts w:ascii="Times New Roman" w:hAnsi="Times New Roman" w:eastAsia="宋体"/>
          <w:b/>
          <w:sz w:val="21"/>
        </w:rPr>
        <w:t>S15 (joint official rescoring):</w:t>
      </w:r>
      <w:r>
        <w:rPr>
          <w:rFonts w:ascii="Times New Roman" w:hAnsi="Times New Roman" w:eastAsia="宋体"/>
          <w:b w:val="0"/>
          <w:sz w:val="21"/>
        </w:rPr>
        <w:t xml:space="preserve"> physical activity, nicotine exposure, and sleep simultaneously re-scored with official AHA thresholds; class enumeration (1–5) repeated and trajectories re-derived (eTable 14).</w:t>
      </w:r>
    </w:p>
    <w:p>
      <w:pPr>
        <w:pStyle w:val="ListBullet"/>
      </w:pPr>
      <w:r>
        <w:rPr>
          <w:rFonts w:ascii="Times New Roman" w:hAnsi="Times New Roman" w:eastAsia="宋体"/>
          <w:b/>
          <w:sz w:val="21"/>
        </w:rPr>
        <w:t>S16 (cross-analysis):</w:t>
      </w:r>
      <w:r>
        <w:rPr>
          <w:rFonts w:ascii="Times New Roman" w:hAnsi="Times New Roman" w:eastAsia="宋体"/>
          <w:b w:val="0"/>
          <w:sz w:val="21"/>
        </w:rPr>
        <w:t xml:space="preserve"> blood-pressure-excluded six-component trajectories (as in S10) combined with the hypertension-free outcome (heart disease + stroke, as in S11) to separate circularity from pathway effects.</w:t>
      </w:r>
    </w:p>
    <w:p>
      <w:pPr>
        <w:pStyle w:val="ListBullet"/>
      </w:pPr>
      <w:r>
        <w:rPr>
          <w:rFonts w:ascii="Times New Roman" w:hAnsi="Times New Roman" w:eastAsia="宋体"/>
          <w:b/>
          <w:sz w:val="21"/>
        </w:rPr>
        <w:t>S17a (measured-hypertension exclusion, baseline):</w:t>
      </w:r>
      <w:r>
        <w:rPr>
          <w:rFonts w:ascii="Times New Roman" w:hAnsi="Times New Roman" w:eastAsia="宋体"/>
          <w:b w:val="0"/>
          <w:sz w:val="21"/>
        </w:rPr>
        <w:t xml:space="preserve"> participants with undetected measured hypertension at baseline (SBP ≥140, DBP ≥90, or antihypertensive treatment, despite denying diagnosis; 19.4%) excluded.</w:t>
      </w:r>
    </w:p>
    <w:p>
      <w:pPr>
        <w:pStyle w:val="ListBullet"/>
      </w:pPr>
      <w:r>
        <w:rPr>
          <w:rFonts w:ascii="Times New Roman" w:hAnsi="Times New Roman" w:eastAsia="宋体"/>
          <w:b/>
          <w:sz w:val="21"/>
        </w:rPr>
        <w:t>S17b (measured-hypertension exclusion, baseline + 2015):</w:t>
      </w:r>
      <w:r>
        <w:rPr>
          <w:rFonts w:ascii="Times New Roman" w:hAnsi="Times New Roman" w:eastAsia="宋体"/>
          <w:b w:val="0"/>
          <w:sz w:val="21"/>
        </w:rPr>
        <w:t xml:space="preserve"> additionally excludes participants measured hypertensive at the 2015 wave (24.9%).</w:t>
      </w:r>
    </w:p>
    <w:p>
      <w:pPr>
        <w:spacing w:line="360" w:lineRule="auto"/>
      </w:pPr>
      <w:r>
        <w:rPr>
          <w:rFonts w:ascii="Times New Roman" w:hAnsi="Times New Roman" w:eastAsia="宋体"/>
          <w:b w:val="0"/>
          <w:sz w:val="21"/>
        </w:rPr>
        <w:t>In all score-definition variants (S1, S2, S7, S9, S9b, S10, S13a, S13d, S13e, S15, S16), trajectories were re-estimated by LCGM under the modified score. Rows in Table 3 of the main text report Cox-based estimates unless otherwise indicated (S14: logistic).</w:t>
      </w:r>
    </w:p>
    <w:p>
      <w:pPr>
        <w:spacing w:line="360" w:lineRule="auto"/>
      </w:pPr>
      <w:r>
        <w:rPr>
          <w:rFonts w:ascii="Times New Roman" w:hAnsi="Times New Roman" w:eastAsia="宋体"/>
          <w:b w:val="0"/>
          <w:sz w:val="21"/>
        </w:rPr>
        <w:t>---</w:t>
      </w:r>
    </w:p>
    <w:p>
      <w:pPr>
        <w:jc w:val="left"/>
      </w:pPr>
      <w:r>
        <w:rPr>
          <w:rFonts w:ascii="Times New Roman" w:hAnsi="Times New Roman" w:eastAsia="黑体"/>
          <w:b/>
          <w:sz w:val="24"/>
        </w:rPr>
        <w:t>eAppendix A. STROBE statement checklist (STROBE–Cohort; von Elm et al., PLoS Med 2007)</w:t>
      </w:r>
    </w:p>
    <w:p>
      <w:pPr>
        <w:spacing w:line="360" w:lineRule="auto"/>
      </w:pPr>
      <w:r>
        <w:rPr>
          <w:rFonts w:ascii="Times New Roman" w:hAnsi="Times New Roman" w:eastAsia="宋体"/>
          <w:b w:val="0"/>
          <w:sz w:val="21"/>
        </w:rPr>
        <w:t>Item locations are given as section/table/figure references (per journal preference, page or line numbers can be substituted after typesetting).</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2880"/>
        <w:gridCol w:w="2880"/>
        <w:gridCol w:w="2880"/>
      </w:tblGrid>
      <w:tr>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Item No.</w:t>
            </w:r>
          </w:p>
        </w:tc>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Recommendation</w:t>
            </w:r>
          </w:p>
        </w:tc>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Reported in (page/line)</w:t>
            </w:r>
          </w:p>
        </w:tc>
      </w:tr>
      <w:tr>
        <w:tc>
          <w:tcPr>
            <w:tcW w:type="dxa" w:w="2880"/>
          </w:tcPr>
          <w:p>
            <w:pPr>
              <w:spacing w:line="324" w:lineRule="auto" w:after="40"/>
            </w:pPr>
            <w:r>
              <w:rPr>
                <w:sz w:val="20"/>
              </w:rPr>
            </w:r>
            <w:r>
              <w:rPr>
                <w:rFonts w:ascii="Times New Roman" w:hAnsi="Times New Roman" w:eastAsia="宋体"/>
                <w:b w:val="0"/>
                <w:sz w:val="20"/>
              </w:rPr>
              <w:t>1</w:t>
            </w:r>
          </w:p>
        </w:tc>
        <w:tc>
          <w:tcPr>
            <w:tcW w:type="dxa" w:w="2880"/>
          </w:tcPr>
          <w:p>
            <w:pPr>
              <w:spacing w:line="324" w:lineRule="auto" w:after="40"/>
            </w:pPr>
            <w:r>
              <w:rPr>
                <w:sz w:val="20"/>
              </w:rPr>
            </w:r>
            <w:r>
              <w:rPr>
                <w:rFonts w:ascii="Times New Roman" w:hAnsi="Times New Roman" w:eastAsia="宋体"/>
                <w:b w:val="0"/>
                <w:sz w:val="20"/>
              </w:rPr>
              <w:t>(a) Title and abstract</w:t>
            </w:r>
          </w:p>
        </w:tc>
        <w:tc>
          <w:tcPr>
            <w:tcW w:type="dxa" w:w="2880"/>
          </w:tcPr>
          <w:p>
            <w:pPr>
              <w:spacing w:line="324" w:lineRule="auto" w:after="40"/>
            </w:pPr>
            <w:r>
              <w:rPr>
                <w:sz w:val="20"/>
              </w:rPr>
            </w:r>
            <w:r>
              <w:rPr>
                <w:rFonts w:ascii="Times New Roman" w:hAnsi="Times New Roman" w:eastAsia="宋体"/>
                <w:b w:val="0"/>
                <w:sz w:val="20"/>
              </w:rPr>
              <w:t>Title; Abstract</w:t>
            </w:r>
          </w:p>
        </w:tc>
      </w:tr>
      <w:tr>
        <w:tc>
          <w:tcPr>
            <w:tcW w:type="dxa" w:w="2880"/>
          </w:tcPr>
          <w:p>
            <w:pPr>
              <w:spacing w:line="324" w:lineRule="auto" w:after="40"/>
            </w:pPr>
            <w:r>
              <w:rPr>
                <w:sz w:val="20"/>
              </w:rPr>
            </w:r>
            <w:r>
              <w:rPr>
                <w:rFonts w:ascii="Times New Roman" w:hAnsi="Times New Roman" w:eastAsia="宋体"/>
                <w:b w:val="0"/>
                <w:sz w:val="20"/>
              </w:rPr>
              <w:t>2</w:t>
            </w:r>
          </w:p>
        </w:tc>
        <w:tc>
          <w:tcPr>
            <w:tcW w:type="dxa" w:w="2880"/>
          </w:tcPr>
          <w:p>
            <w:pPr>
              <w:spacing w:line="324" w:lineRule="auto" w:after="40"/>
            </w:pPr>
            <w:r>
              <w:rPr>
                <w:sz w:val="20"/>
              </w:rPr>
            </w:r>
            <w:r>
              <w:rPr>
                <w:rFonts w:ascii="Times New Roman" w:hAnsi="Times New Roman" w:eastAsia="宋体"/>
                <w:b w:val="0"/>
                <w:sz w:val="20"/>
              </w:rPr>
              <w:t>Background and rationale</w:t>
            </w:r>
          </w:p>
        </w:tc>
        <w:tc>
          <w:tcPr>
            <w:tcW w:type="dxa" w:w="2880"/>
          </w:tcPr>
          <w:p>
            <w:pPr>
              <w:spacing w:line="324" w:lineRule="auto" w:after="40"/>
            </w:pPr>
            <w:r>
              <w:rPr>
                <w:sz w:val="20"/>
              </w:rPr>
            </w:r>
            <w:r>
              <w:rPr>
                <w:rFonts w:ascii="Times New Roman" w:hAnsi="Times New Roman" w:eastAsia="宋体"/>
                <w:b w:val="0"/>
                <w:sz w:val="20"/>
              </w:rPr>
              <w:t>§1 (first paragraph)</w:t>
            </w:r>
          </w:p>
        </w:tc>
      </w:tr>
      <w:tr>
        <w:tc>
          <w:tcPr>
            <w:tcW w:type="dxa" w:w="2880"/>
          </w:tcPr>
          <w:p>
            <w:pPr>
              <w:spacing w:line="324" w:lineRule="auto" w:after="40"/>
            </w:pPr>
            <w:r>
              <w:rPr>
                <w:sz w:val="20"/>
              </w:rPr>
            </w:r>
            <w:r>
              <w:rPr>
                <w:rFonts w:ascii="Times New Roman" w:hAnsi="Times New Roman" w:eastAsia="宋体"/>
                <w:b w:val="0"/>
                <w:sz w:val="20"/>
              </w:rPr>
              <w:t>3</w:t>
            </w:r>
          </w:p>
        </w:tc>
        <w:tc>
          <w:tcPr>
            <w:tcW w:type="dxa" w:w="2880"/>
          </w:tcPr>
          <w:p>
            <w:pPr>
              <w:spacing w:line="324" w:lineRule="auto" w:after="40"/>
            </w:pPr>
            <w:r>
              <w:rPr>
                <w:sz w:val="20"/>
              </w:rPr>
            </w:r>
            <w:r>
              <w:rPr>
                <w:rFonts w:ascii="Times New Roman" w:hAnsi="Times New Roman" w:eastAsia="宋体"/>
                <w:b w:val="0"/>
                <w:sz w:val="20"/>
              </w:rPr>
              <w:t>Objectives</w:t>
            </w:r>
          </w:p>
        </w:tc>
        <w:tc>
          <w:tcPr>
            <w:tcW w:type="dxa" w:w="2880"/>
          </w:tcPr>
          <w:p>
            <w:pPr>
              <w:spacing w:line="324" w:lineRule="auto" w:after="40"/>
            </w:pPr>
            <w:r>
              <w:rPr>
                <w:sz w:val="20"/>
              </w:rPr>
            </w:r>
            <w:r>
              <w:rPr>
                <w:rFonts w:ascii="Times New Roman" w:hAnsi="Times New Roman" w:eastAsia="宋体"/>
                <w:b w:val="0"/>
                <w:sz w:val="20"/>
              </w:rPr>
              <w:t>§1 (last paragraph)</w:t>
            </w:r>
          </w:p>
        </w:tc>
      </w:tr>
      <w:tr>
        <w:tc>
          <w:tcPr>
            <w:tcW w:type="dxa" w:w="2880"/>
          </w:tcPr>
          <w:p>
            <w:pPr>
              <w:spacing w:line="324" w:lineRule="auto" w:after="40"/>
            </w:pPr>
            <w:r>
              <w:rPr>
                <w:sz w:val="20"/>
              </w:rPr>
            </w:r>
            <w:r>
              <w:rPr>
                <w:rFonts w:ascii="Times New Roman" w:hAnsi="Times New Roman" w:eastAsia="宋体"/>
                <w:b w:val="0"/>
                <w:sz w:val="20"/>
              </w:rPr>
              <w:t>4</w:t>
            </w:r>
          </w:p>
        </w:tc>
        <w:tc>
          <w:tcPr>
            <w:tcW w:type="dxa" w:w="2880"/>
          </w:tcPr>
          <w:p>
            <w:pPr>
              <w:spacing w:line="324" w:lineRule="auto" w:after="40"/>
            </w:pPr>
            <w:r>
              <w:rPr>
                <w:sz w:val="20"/>
              </w:rPr>
            </w:r>
            <w:r>
              <w:rPr>
                <w:rFonts w:ascii="Times New Roman" w:hAnsi="Times New Roman" w:eastAsia="宋体"/>
                <w:b w:val="0"/>
                <w:sz w:val="20"/>
              </w:rPr>
              <w:t>Study design</w:t>
            </w:r>
          </w:p>
        </w:tc>
        <w:tc>
          <w:tcPr>
            <w:tcW w:type="dxa" w:w="2880"/>
          </w:tcPr>
          <w:p>
            <w:pPr>
              <w:spacing w:line="324" w:lineRule="auto" w:after="40"/>
            </w:pPr>
            <w:r>
              <w:rPr>
                <w:sz w:val="20"/>
              </w:rPr>
            </w:r>
            <w:r>
              <w:rPr>
                <w:rFonts w:ascii="Times New Roman" w:hAnsi="Times New Roman" w:eastAsia="宋体"/>
                <w:b w:val="0"/>
                <w:sz w:val="20"/>
              </w:rPr>
              <w:t>§2.1</w:t>
            </w:r>
          </w:p>
        </w:tc>
      </w:tr>
      <w:tr>
        <w:tc>
          <w:tcPr>
            <w:tcW w:type="dxa" w:w="2880"/>
          </w:tcPr>
          <w:p>
            <w:pPr>
              <w:spacing w:line="324" w:lineRule="auto" w:after="40"/>
            </w:pPr>
            <w:r>
              <w:rPr>
                <w:sz w:val="20"/>
              </w:rPr>
            </w:r>
            <w:r>
              <w:rPr>
                <w:rFonts w:ascii="Times New Roman" w:hAnsi="Times New Roman" w:eastAsia="宋体"/>
                <w:b w:val="0"/>
                <w:sz w:val="20"/>
              </w:rPr>
              <w:t>5</w:t>
            </w:r>
          </w:p>
        </w:tc>
        <w:tc>
          <w:tcPr>
            <w:tcW w:type="dxa" w:w="2880"/>
          </w:tcPr>
          <w:p>
            <w:pPr>
              <w:spacing w:line="324" w:lineRule="auto" w:after="40"/>
            </w:pPr>
            <w:r>
              <w:rPr>
                <w:sz w:val="20"/>
              </w:rPr>
            </w:r>
            <w:r>
              <w:rPr>
                <w:rFonts w:ascii="Times New Roman" w:hAnsi="Times New Roman" w:eastAsia="宋体"/>
                <w:b w:val="0"/>
                <w:sz w:val="20"/>
              </w:rPr>
              <w:t>Setting</w:t>
            </w:r>
          </w:p>
        </w:tc>
        <w:tc>
          <w:tcPr>
            <w:tcW w:type="dxa" w:w="2880"/>
          </w:tcPr>
          <w:p>
            <w:pPr>
              <w:spacing w:line="324" w:lineRule="auto" w:after="40"/>
            </w:pPr>
            <w:r>
              <w:rPr>
                <w:sz w:val="20"/>
              </w:rPr>
            </w:r>
            <w:r>
              <w:rPr>
                <w:rFonts w:ascii="Times New Roman" w:hAnsi="Times New Roman" w:eastAsia="宋体"/>
                <w:b w:val="0"/>
                <w:sz w:val="20"/>
              </w:rPr>
              <w:t>§2.1</w:t>
            </w:r>
          </w:p>
        </w:tc>
      </w:tr>
      <w:tr>
        <w:tc>
          <w:tcPr>
            <w:tcW w:type="dxa" w:w="2880"/>
          </w:tcPr>
          <w:p>
            <w:pPr>
              <w:spacing w:line="324" w:lineRule="auto" w:after="40"/>
            </w:pPr>
            <w:r>
              <w:rPr>
                <w:sz w:val="20"/>
              </w:rPr>
            </w:r>
            <w:r>
              <w:rPr>
                <w:rFonts w:ascii="Times New Roman" w:hAnsi="Times New Roman" w:eastAsia="宋体"/>
                <w:b w:val="0"/>
                <w:sz w:val="20"/>
              </w:rPr>
              <w:t>6</w:t>
            </w:r>
          </w:p>
        </w:tc>
        <w:tc>
          <w:tcPr>
            <w:tcW w:type="dxa" w:w="2880"/>
          </w:tcPr>
          <w:p>
            <w:pPr>
              <w:spacing w:line="324" w:lineRule="auto" w:after="40"/>
            </w:pPr>
            <w:r>
              <w:rPr>
                <w:sz w:val="20"/>
              </w:rPr>
            </w:r>
            <w:r>
              <w:rPr>
                <w:rFonts w:ascii="Times New Roman" w:hAnsi="Times New Roman" w:eastAsia="宋体"/>
                <w:b w:val="0"/>
                <w:sz w:val="20"/>
              </w:rPr>
              <w:t>Participants</w:t>
            </w:r>
          </w:p>
        </w:tc>
        <w:tc>
          <w:tcPr>
            <w:tcW w:type="dxa" w:w="2880"/>
          </w:tcPr>
          <w:p>
            <w:pPr>
              <w:spacing w:line="324" w:lineRule="auto" w:after="40"/>
            </w:pPr>
            <w:r>
              <w:rPr>
                <w:sz w:val="20"/>
              </w:rPr>
            </w:r>
            <w:r>
              <w:rPr>
                <w:rFonts w:ascii="Times New Roman" w:hAnsi="Times New Roman" w:eastAsia="宋体"/>
                <w:b w:val="0"/>
                <w:sz w:val="20"/>
              </w:rPr>
              <w:t>§2.1; Figure 1</w:t>
            </w:r>
          </w:p>
        </w:tc>
      </w:tr>
      <w:tr>
        <w:tc>
          <w:tcPr>
            <w:tcW w:type="dxa" w:w="2880"/>
          </w:tcPr>
          <w:p>
            <w:pPr>
              <w:spacing w:line="324" w:lineRule="auto" w:after="40"/>
            </w:pPr>
            <w:r>
              <w:rPr>
                <w:sz w:val="20"/>
              </w:rPr>
            </w:r>
            <w:r>
              <w:rPr>
                <w:rFonts w:ascii="Times New Roman" w:hAnsi="Times New Roman" w:eastAsia="宋体"/>
                <w:b w:val="0"/>
                <w:sz w:val="20"/>
              </w:rPr>
              <w:t>7</w:t>
            </w:r>
          </w:p>
        </w:tc>
        <w:tc>
          <w:tcPr>
            <w:tcW w:type="dxa" w:w="2880"/>
          </w:tcPr>
          <w:p>
            <w:pPr>
              <w:spacing w:line="324" w:lineRule="auto" w:after="40"/>
            </w:pPr>
            <w:r>
              <w:rPr>
                <w:sz w:val="20"/>
              </w:rPr>
            </w:r>
            <w:r>
              <w:rPr>
                <w:rFonts w:ascii="Times New Roman" w:hAnsi="Times New Roman" w:eastAsia="宋体"/>
                <w:b w:val="0"/>
                <w:sz w:val="20"/>
              </w:rPr>
              <w:t>Variables</w:t>
            </w:r>
          </w:p>
        </w:tc>
        <w:tc>
          <w:tcPr>
            <w:tcW w:type="dxa" w:w="2880"/>
          </w:tcPr>
          <w:p>
            <w:pPr>
              <w:spacing w:line="324" w:lineRule="auto" w:after="40"/>
            </w:pPr>
            <w:r>
              <w:rPr>
                <w:sz w:val="20"/>
              </w:rPr>
            </w:r>
            <w:r>
              <w:rPr>
                <w:rFonts w:ascii="Times New Roman" w:hAnsi="Times New Roman" w:eastAsia="宋体"/>
                <w:b w:val="0"/>
                <w:sz w:val="20"/>
              </w:rPr>
              <w:t>§2.2, §2.4, §2.5</w:t>
            </w:r>
          </w:p>
        </w:tc>
      </w:tr>
      <w:tr>
        <w:tc>
          <w:tcPr>
            <w:tcW w:type="dxa" w:w="2880"/>
          </w:tcPr>
          <w:p>
            <w:pPr>
              <w:spacing w:line="324" w:lineRule="auto" w:after="40"/>
            </w:pPr>
            <w:r>
              <w:rPr>
                <w:sz w:val="20"/>
              </w:rPr>
            </w:r>
            <w:r>
              <w:rPr>
                <w:rFonts w:ascii="Times New Roman" w:hAnsi="Times New Roman" w:eastAsia="宋体"/>
                <w:b w:val="0"/>
                <w:sz w:val="20"/>
              </w:rPr>
              <w:t>8</w:t>
            </w:r>
          </w:p>
        </w:tc>
        <w:tc>
          <w:tcPr>
            <w:tcW w:type="dxa" w:w="2880"/>
          </w:tcPr>
          <w:p>
            <w:pPr>
              <w:spacing w:line="324" w:lineRule="auto" w:after="40"/>
            </w:pPr>
            <w:r>
              <w:rPr>
                <w:sz w:val="20"/>
              </w:rPr>
            </w:r>
            <w:r>
              <w:rPr>
                <w:rFonts w:ascii="Times New Roman" w:hAnsi="Times New Roman" w:eastAsia="宋体"/>
                <w:b w:val="0"/>
                <w:sz w:val="20"/>
              </w:rPr>
              <w:t>Data sources/measurement</w:t>
            </w:r>
          </w:p>
        </w:tc>
        <w:tc>
          <w:tcPr>
            <w:tcW w:type="dxa" w:w="2880"/>
          </w:tcPr>
          <w:p>
            <w:pPr>
              <w:spacing w:line="324" w:lineRule="auto" w:after="40"/>
            </w:pPr>
            <w:r>
              <w:rPr>
                <w:sz w:val="20"/>
              </w:rPr>
            </w:r>
            <w:r>
              <w:rPr>
                <w:rFonts w:ascii="Times New Roman" w:hAnsi="Times New Roman" w:eastAsia="宋体"/>
                <w:b w:val="0"/>
                <w:sz w:val="20"/>
              </w:rPr>
              <w:t>§2.2 (LE8 components)</w:t>
            </w:r>
          </w:p>
        </w:tc>
      </w:tr>
      <w:tr>
        <w:tc>
          <w:tcPr>
            <w:tcW w:type="dxa" w:w="2880"/>
          </w:tcPr>
          <w:p>
            <w:pPr>
              <w:spacing w:line="324" w:lineRule="auto" w:after="40"/>
            </w:pPr>
            <w:r>
              <w:rPr>
                <w:sz w:val="20"/>
              </w:rPr>
            </w:r>
            <w:r>
              <w:rPr>
                <w:rFonts w:ascii="Times New Roman" w:hAnsi="Times New Roman" w:eastAsia="宋体"/>
                <w:b w:val="0"/>
                <w:sz w:val="20"/>
              </w:rPr>
              <w:t>9</w:t>
            </w:r>
          </w:p>
        </w:tc>
        <w:tc>
          <w:tcPr>
            <w:tcW w:type="dxa" w:w="2880"/>
          </w:tcPr>
          <w:p>
            <w:pPr>
              <w:spacing w:line="324" w:lineRule="auto" w:after="40"/>
            </w:pPr>
            <w:r>
              <w:rPr>
                <w:sz w:val="20"/>
              </w:rPr>
            </w:r>
            <w:r>
              <w:rPr>
                <w:rFonts w:ascii="Times New Roman" w:hAnsi="Times New Roman" w:eastAsia="宋体"/>
                <w:b w:val="0"/>
                <w:sz w:val="20"/>
              </w:rPr>
              <w:t>Bias</w:t>
            </w:r>
          </w:p>
        </w:tc>
        <w:tc>
          <w:tcPr>
            <w:tcW w:type="dxa" w:w="2880"/>
          </w:tcPr>
          <w:p>
            <w:pPr>
              <w:spacing w:line="324" w:lineRule="auto" w:after="40"/>
            </w:pPr>
            <w:r>
              <w:rPr>
                <w:sz w:val="20"/>
              </w:rPr>
            </w:r>
            <w:r>
              <w:rPr>
                <w:rFonts w:ascii="Times New Roman" w:hAnsi="Times New Roman" w:eastAsia="宋体"/>
                <w:b w:val="0"/>
                <w:sz w:val="20"/>
              </w:rPr>
              <w:t>§2.3, §2.5, §4.5</w:t>
            </w:r>
          </w:p>
        </w:tc>
      </w:tr>
      <w:tr>
        <w:tc>
          <w:tcPr>
            <w:tcW w:type="dxa" w:w="2880"/>
          </w:tcPr>
          <w:p>
            <w:pPr>
              <w:spacing w:line="324" w:lineRule="auto" w:after="40"/>
            </w:pPr>
            <w:r>
              <w:rPr>
                <w:sz w:val="20"/>
              </w:rPr>
            </w:r>
            <w:r>
              <w:rPr>
                <w:rFonts w:ascii="Times New Roman" w:hAnsi="Times New Roman" w:eastAsia="宋体"/>
                <w:b w:val="0"/>
                <w:sz w:val="20"/>
              </w:rPr>
              <w:t>10</w:t>
            </w:r>
          </w:p>
        </w:tc>
        <w:tc>
          <w:tcPr>
            <w:tcW w:type="dxa" w:w="2880"/>
          </w:tcPr>
          <w:p>
            <w:pPr>
              <w:spacing w:line="324" w:lineRule="auto" w:after="40"/>
            </w:pPr>
            <w:r>
              <w:rPr>
                <w:sz w:val="20"/>
              </w:rPr>
            </w:r>
            <w:r>
              <w:rPr>
                <w:rFonts w:ascii="Times New Roman" w:hAnsi="Times New Roman" w:eastAsia="宋体"/>
                <w:b w:val="0"/>
                <w:sz w:val="20"/>
              </w:rPr>
              <w:t>Study size</w:t>
            </w:r>
          </w:p>
        </w:tc>
        <w:tc>
          <w:tcPr>
            <w:tcW w:type="dxa" w:w="2880"/>
          </w:tcPr>
          <w:p>
            <w:pPr>
              <w:spacing w:line="324" w:lineRule="auto" w:after="40"/>
            </w:pPr>
            <w:r>
              <w:rPr>
                <w:sz w:val="20"/>
              </w:rPr>
            </w:r>
            <w:r>
              <w:rPr>
                <w:rFonts w:ascii="Times New Roman" w:hAnsi="Times New Roman" w:eastAsia="宋体"/>
                <w:b w:val="0"/>
                <w:sz w:val="20"/>
              </w:rPr>
              <w:t>§2.1; Figure 1</w:t>
            </w:r>
          </w:p>
        </w:tc>
      </w:tr>
      <w:tr>
        <w:tc>
          <w:tcPr>
            <w:tcW w:type="dxa" w:w="2880"/>
          </w:tcPr>
          <w:p>
            <w:pPr>
              <w:spacing w:line="324" w:lineRule="auto" w:after="40"/>
            </w:pPr>
            <w:r>
              <w:rPr>
                <w:sz w:val="20"/>
              </w:rPr>
            </w:r>
            <w:r>
              <w:rPr>
                <w:rFonts w:ascii="Times New Roman" w:hAnsi="Times New Roman" w:eastAsia="宋体"/>
                <w:b w:val="0"/>
                <w:sz w:val="20"/>
              </w:rPr>
              <w:t>11</w:t>
            </w:r>
          </w:p>
        </w:tc>
        <w:tc>
          <w:tcPr>
            <w:tcW w:type="dxa" w:w="2880"/>
          </w:tcPr>
          <w:p>
            <w:pPr>
              <w:spacing w:line="324" w:lineRule="auto" w:after="40"/>
            </w:pPr>
            <w:r>
              <w:rPr>
                <w:sz w:val="20"/>
              </w:rPr>
            </w:r>
            <w:r>
              <w:rPr>
                <w:rFonts w:ascii="Times New Roman" w:hAnsi="Times New Roman" w:eastAsia="宋体"/>
                <w:b w:val="0"/>
                <w:sz w:val="20"/>
              </w:rPr>
              <w:t>Quantitative variables</w:t>
            </w:r>
          </w:p>
        </w:tc>
        <w:tc>
          <w:tcPr>
            <w:tcW w:type="dxa" w:w="2880"/>
          </w:tcPr>
          <w:p>
            <w:pPr>
              <w:spacing w:line="324" w:lineRule="auto" w:after="40"/>
            </w:pPr>
            <w:r>
              <w:rPr>
                <w:sz w:val="20"/>
              </w:rPr>
            </w:r>
            <w:r>
              <w:rPr>
                <w:rFonts w:ascii="Times New Roman" w:hAnsi="Times New Roman" w:eastAsia="宋体"/>
                <w:b w:val="0"/>
                <w:sz w:val="20"/>
              </w:rPr>
              <w:t>§2.5</w:t>
            </w:r>
          </w:p>
        </w:tc>
      </w:tr>
      <w:tr>
        <w:tc>
          <w:tcPr>
            <w:tcW w:type="dxa" w:w="2880"/>
          </w:tcPr>
          <w:p>
            <w:pPr>
              <w:spacing w:line="324" w:lineRule="auto" w:after="40"/>
            </w:pPr>
            <w:r>
              <w:rPr>
                <w:sz w:val="20"/>
              </w:rPr>
            </w:r>
            <w:r>
              <w:rPr>
                <w:rFonts w:ascii="Times New Roman" w:hAnsi="Times New Roman" w:eastAsia="宋体"/>
                <w:b w:val="0"/>
                <w:sz w:val="20"/>
              </w:rPr>
              <w:t>12</w:t>
            </w:r>
          </w:p>
        </w:tc>
        <w:tc>
          <w:tcPr>
            <w:tcW w:type="dxa" w:w="2880"/>
          </w:tcPr>
          <w:p>
            <w:pPr>
              <w:spacing w:line="324" w:lineRule="auto" w:after="40"/>
            </w:pPr>
            <w:r>
              <w:rPr>
                <w:sz w:val="20"/>
              </w:rPr>
            </w:r>
            <w:r>
              <w:rPr>
                <w:rFonts w:ascii="Times New Roman" w:hAnsi="Times New Roman" w:eastAsia="宋体"/>
                <w:b w:val="0"/>
                <w:sz w:val="20"/>
              </w:rPr>
              <w:t>Statistical methods</w:t>
            </w:r>
          </w:p>
        </w:tc>
        <w:tc>
          <w:tcPr>
            <w:tcW w:type="dxa" w:w="2880"/>
          </w:tcPr>
          <w:p>
            <w:pPr>
              <w:spacing w:line="324" w:lineRule="auto" w:after="40"/>
            </w:pPr>
            <w:r>
              <w:rPr>
                <w:sz w:val="20"/>
              </w:rPr>
            </w:r>
            <w:r>
              <w:rPr>
                <w:rFonts w:ascii="Times New Roman" w:hAnsi="Times New Roman" w:eastAsia="宋体"/>
                <w:b w:val="0"/>
                <w:sz w:val="20"/>
              </w:rPr>
              <w:t>§2.5 (models, subgroups, MI, sensitivity)</w:t>
            </w:r>
          </w:p>
        </w:tc>
      </w:tr>
      <w:tr>
        <w:tc>
          <w:tcPr>
            <w:tcW w:type="dxa" w:w="2880"/>
          </w:tcPr>
          <w:p>
            <w:pPr>
              <w:spacing w:line="324" w:lineRule="auto" w:after="40"/>
            </w:pPr>
            <w:r>
              <w:rPr>
                <w:sz w:val="20"/>
              </w:rPr>
            </w:r>
            <w:r>
              <w:rPr>
                <w:rFonts w:ascii="Times New Roman" w:hAnsi="Times New Roman" w:eastAsia="宋体"/>
                <w:b w:val="0"/>
                <w:sz w:val="20"/>
              </w:rPr>
              <w:t>13</w:t>
            </w:r>
          </w:p>
        </w:tc>
        <w:tc>
          <w:tcPr>
            <w:tcW w:type="dxa" w:w="2880"/>
          </w:tcPr>
          <w:p>
            <w:pPr>
              <w:spacing w:line="324" w:lineRule="auto" w:after="40"/>
            </w:pPr>
            <w:r>
              <w:rPr>
                <w:sz w:val="20"/>
              </w:rPr>
            </w:r>
            <w:r>
              <w:rPr>
                <w:rFonts w:ascii="Times New Roman" w:hAnsi="Times New Roman" w:eastAsia="宋体"/>
                <w:b w:val="0"/>
                <w:sz w:val="20"/>
              </w:rPr>
              <w:t>(a) Participants flow (b) losses (c) exclusions</w:t>
            </w:r>
          </w:p>
        </w:tc>
        <w:tc>
          <w:tcPr>
            <w:tcW w:type="dxa" w:w="2880"/>
          </w:tcPr>
          <w:p>
            <w:pPr>
              <w:spacing w:line="324" w:lineRule="auto" w:after="40"/>
            </w:pPr>
            <w:r>
              <w:rPr>
                <w:sz w:val="20"/>
              </w:rPr>
            </w:r>
            <w:r>
              <w:rPr>
                <w:rFonts w:ascii="Times New Roman" w:hAnsi="Times New Roman" w:eastAsia="宋体"/>
                <w:b w:val="0"/>
                <w:sz w:val="20"/>
              </w:rPr>
              <w:t>Figure 1; §3.1</w:t>
            </w:r>
          </w:p>
        </w:tc>
      </w:tr>
      <w:tr>
        <w:tc>
          <w:tcPr>
            <w:tcW w:type="dxa" w:w="2880"/>
          </w:tcPr>
          <w:p>
            <w:pPr>
              <w:spacing w:line="324" w:lineRule="auto" w:after="40"/>
            </w:pPr>
            <w:r>
              <w:rPr>
                <w:sz w:val="20"/>
              </w:rPr>
            </w:r>
            <w:r>
              <w:rPr>
                <w:rFonts w:ascii="Times New Roman" w:hAnsi="Times New Roman" w:eastAsia="宋体"/>
                <w:b w:val="0"/>
                <w:sz w:val="20"/>
              </w:rPr>
              <w:t>14</w:t>
            </w:r>
          </w:p>
        </w:tc>
        <w:tc>
          <w:tcPr>
            <w:tcW w:type="dxa" w:w="2880"/>
          </w:tcPr>
          <w:p>
            <w:pPr>
              <w:spacing w:line="324" w:lineRule="auto" w:after="40"/>
            </w:pPr>
            <w:r>
              <w:rPr>
                <w:sz w:val="20"/>
              </w:rPr>
            </w:r>
            <w:r>
              <w:rPr>
                <w:rFonts w:ascii="Times New Roman" w:hAnsi="Times New Roman" w:eastAsia="宋体"/>
                <w:b w:val="0"/>
                <w:sz w:val="20"/>
              </w:rPr>
              <w:t>(a) Descriptive data (b) exposure by group (c) missing data</w:t>
            </w:r>
          </w:p>
        </w:tc>
        <w:tc>
          <w:tcPr>
            <w:tcW w:type="dxa" w:w="2880"/>
          </w:tcPr>
          <w:p>
            <w:pPr>
              <w:spacing w:line="324" w:lineRule="auto" w:after="40"/>
            </w:pPr>
            <w:r>
              <w:rPr>
                <w:sz w:val="20"/>
              </w:rPr>
            </w:r>
            <w:r>
              <w:rPr>
                <w:rFonts w:ascii="Times New Roman" w:hAnsi="Times New Roman" w:eastAsia="宋体"/>
                <w:b w:val="0"/>
                <w:sz w:val="20"/>
              </w:rPr>
              <w:t>Table 1; eTables 2, 6, 10, 18; §3.1</w:t>
            </w:r>
          </w:p>
        </w:tc>
      </w:tr>
      <w:tr>
        <w:tc>
          <w:tcPr>
            <w:tcW w:type="dxa" w:w="2880"/>
          </w:tcPr>
          <w:p>
            <w:pPr>
              <w:spacing w:line="324" w:lineRule="auto" w:after="40"/>
            </w:pPr>
            <w:r>
              <w:rPr>
                <w:sz w:val="20"/>
              </w:rPr>
            </w:r>
            <w:r>
              <w:rPr>
                <w:rFonts w:ascii="Times New Roman" w:hAnsi="Times New Roman" w:eastAsia="宋体"/>
                <w:b w:val="0"/>
                <w:sz w:val="20"/>
              </w:rPr>
              <w:t>15</w:t>
            </w:r>
          </w:p>
        </w:tc>
        <w:tc>
          <w:tcPr>
            <w:tcW w:type="dxa" w:w="2880"/>
          </w:tcPr>
          <w:p>
            <w:pPr>
              <w:spacing w:line="324" w:lineRule="auto" w:after="40"/>
            </w:pPr>
            <w:r>
              <w:rPr>
                <w:sz w:val="20"/>
              </w:rPr>
            </w:r>
            <w:r>
              <w:rPr>
                <w:rFonts w:ascii="Times New Roman" w:hAnsi="Times New Roman" w:eastAsia="宋体"/>
                <w:b w:val="0"/>
                <w:sz w:val="20"/>
              </w:rPr>
              <w:t>Outcome data</w:t>
            </w:r>
          </w:p>
        </w:tc>
        <w:tc>
          <w:tcPr>
            <w:tcW w:type="dxa" w:w="2880"/>
          </w:tcPr>
          <w:p>
            <w:pPr>
              <w:spacing w:line="324" w:lineRule="auto" w:after="40"/>
            </w:pPr>
            <w:r>
              <w:rPr>
                <w:sz w:val="20"/>
              </w:rPr>
            </w:r>
            <w:r>
              <w:rPr>
                <w:rFonts w:ascii="Times New Roman" w:hAnsi="Times New Roman" w:eastAsia="宋体"/>
                <w:b w:val="0"/>
                <w:sz w:val="20"/>
              </w:rPr>
              <w:t>§3.3; Table 2; Figure 3</w:t>
            </w:r>
          </w:p>
        </w:tc>
      </w:tr>
      <w:tr>
        <w:tc>
          <w:tcPr>
            <w:tcW w:type="dxa" w:w="2880"/>
          </w:tcPr>
          <w:p>
            <w:pPr>
              <w:spacing w:line="324" w:lineRule="auto" w:after="40"/>
            </w:pPr>
            <w:r>
              <w:rPr>
                <w:sz w:val="20"/>
              </w:rPr>
            </w:r>
            <w:r>
              <w:rPr>
                <w:rFonts w:ascii="Times New Roman" w:hAnsi="Times New Roman" w:eastAsia="宋体"/>
                <w:b w:val="0"/>
                <w:sz w:val="20"/>
              </w:rPr>
              <w:t>16</w:t>
            </w:r>
          </w:p>
        </w:tc>
        <w:tc>
          <w:tcPr>
            <w:tcW w:type="dxa" w:w="2880"/>
          </w:tcPr>
          <w:p>
            <w:pPr>
              <w:spacing w:line="324" w:lineRule="auto" w:after="40"/>
            </w:pPr>
            <w:r>
              <w:rPr>
                <w:sz w:val="20"/>
              </w:rPr>
            </w:r>
            <w:r>
              <w:rPr>
                <w:rFonts w:ascii="Times New Roman" w:hAnsi="Times New Roman" w:eastAsia="宋体"/>
                <w:b w:val="0"/>
                <w:sz w:val="20"/>
              </w:rPr>
              <w:t>Main results</w:t>
            </w:r>
          </w:p>
        </w:tc>
        <w:tc>
          <w:tcPr>
            <w:tcW w:type="dxa" w:w="2880"/>
          </w:tcPr>
          <w:p>
            <w:pPr>
              <w:spacing w:line="324" w:lineRule="auto" w:after="40"/>
            </w:pPr>
            <w:r>
              <w:rPr>
                <w:sz w:val="20"/>
              </w:rPr>
            </w:r>
            <w:r>
              <w:rPr>
                <w:rFonts w:ascii="Times New Roman" w:hAnsi="Times New Roman" w:eastAsia="宋体"/>
                <w:b w:val="0"/>
                <w:sz w:val="20"/>
              </w:rPr>
              <w:t>§3.3; Tables 2–3; Figures 3–4</w:t>
            </w:r>
          </w:p>
        </w:tc>
      </w:tr>
      <w:tr>
        <w:tc>
          <w:tcPr>
            <w:tcW w:type="dxa" w:w="2880"/>
          </w:tcPr>
          <w:p>
            <w:pPr>
              <w:spacing w:line="324" w:lineRule="auto" w:after="40"/>
            </w:pPr>
            <w:r>
              <w:rPr>
                <w:sz w:val="20"/>
              </w:rPr>
            </w:r>
            <w:r>
              <w:rPr>
                <w:rFonts w:ascii="Times New Roman" w:hAnsi="Times New Roman" w:eastAsia="宋体"/>
                <w:b w:val="0"/>
                <w:sz w:val="20"/>
              </w:rPr>
              <w:t>17</w:t>
            </w:r>
          </w:p>
        </w:tc>
        <w:tc>
          <w:tcPr>
            <w:tcW w:type="dxa" w:w="2880"/>
          </w:tcPr>
          <w:p>
            <w:pPr>
              <w:spacing w:line="324" w:lineRule="auto" w:after="40"/>
            </w:pPr>
            <w:r>
              <w:rPr>
                <w:sz w:val="20"/>
              </w:rPr>
            </w:r>
            <w:r>
              <w:rPr>
                <w:rFonts w:ascii="Times New Roman" w:hAnsi="Times New Roman" w:eastAsia="宋体"/>
                <w:b w:val="0"/>
                <w:sz w:val="20"/>
              </w:rPr>
              <w:t>Other analyses</w:t>
            </w:r>
          </w:p>
        </w:tc>
        <w:tc>
          <w:tcPr>
            <w:tcW w:type="dxa" w:w="2880"/>
          </w:tcPr>
          <w:p>
            <w:pPr>
              <w:spacing w:line="324" w:lineRule="auto" w:after="40"/>
            </w:pPr>
            <w:r>
              <w:rPr>
                <w:sz w:val="20"/>
              </w:rPr>
            </w:r>
            <w:r>
              <w:rPr>
                <w:rFonts w:ascii="Times New Roman" w:hAnsi="Times New Roman" w:eastAsia="宋体"/>
                <w:b w:val="0"/>
                <w:sz w:val="20"/>
              </w:rPr>
              <w:t>§3.2–3.6; Table 3; eTables 3–19</w:t>
            </w:r>
          </w:p>
        </w:tc>
      </w:tr>
      <w:tr>
        <w:tc>
          <w:tcPr>
            <w:tcW w:type="dxa" w:w="2880"/>
          </w:tcPr>
          <w:p>
            <w:pPr>
              <w:spacing w:line="324" w:lineRule="auto" w:after="40"/>
            </w:pPr>
            <w:r>
              <w:rPr>
                <w:sz w:val="20"/>
              </w:rPr>
            </w:r>
            <w:r>
              <w:rPr>
                <w:rFonts w:ascii="Times New Roman" w:hAnsi="Times New Roman" w:eastAsia="宋体"/>
                <w:b w:val="0"/>
                <w:sz w:val="20"/>
              </w:rPr>
              <w:t>18</w:t>
            </w:r>
          </w:p>
        </w:tc>
        <w:tc>
          <w:tcPr>
            <w:tcW w:type="dxa" w:w="2880"/>
          </w:tcPr>
          <w:p>
            <w:pPr>
              <w:spacing w:line="324" w:lineRule="auto" w:after="40"/>
            </w:pPr>
            <w:r>
              <w:rPr>
                <w:sz w:val="20"/>
              </w:rPr>
            </w:r>
            <w:r>
              <w:rPr>
                <w:rFonts w:ascii="Times New Roman" w:hAnsi="Times New Roman" w:eastAsia="宋体"/>
                <w:b w:val="0"/>
                <w:sz w:val="20"/>
              </w:rPr>
              <w:t>Key results</w:t>
            </w:r>
          </w:p>
        </w:tc>
        <w:tc>
          <w:tcPr>
            <w:tcW w:type="dxa" w:w="2880"/>
          </w:tcPr>
          <w:p>
            <w:pPr>
              <w:spacing w:line="324" w:lineRule="auto" w:after="40"/>
            </w:pPr>
            <w:r>
              <w:rPr>
                <w:sz w:val="20"/>
              </w:rPr>
            </w:r>
            <w:r>
              <w:rPr>
                <w:rFonts w:ascii="Times New Roman" w:hAnsi="Times New Roman" w:eastAsia="宋体"/>
                <w:b w:val="0"/>
                <w:sz w:val="20"/>
              </w:rPr>
              <w:t>§4.1</w:t>
            </w:r>
          </w:p>
        </w:tc>
      </w:tr>
      <w:tr>
        <w:tc>
          <w:tcPr>
            <w:tcW w:type="dxa" w:w="2880"/>
          </w:tcPr>
          <w:p>
            <w:pPr>
              <w:spacing w:line="324" w:lineRule="auto" w:after="40"/>
            </w:pPr>
            <w:r>
              <w:rPr>
                <w:sz w:val="20"/>
              </w:rPr>
            </w:r>
            <w:r>
              <w:rPr>
                <w:rFonts w:ascii="Times New Roman" w:hAnsi="Times New Roman" w:eastAsia="宋体"/>
                <w:b w:val="0"/>
                <w:sz w:val="20"/>
              </w:rPr>
              <w:t>19</w:t>
            </w:r>
          </w:p>
        </w:tc>
        <w:tc>
          <w:tcPr>
            <w:tcW w:type="dxa" w:w="2880"/>
          </w:tcPr>
          <w:p>
            <w:pPr>
              <w:spacing w:line="324" w:lineRule="auto" w:after="40"/>
            </w:pPr>
            <w:r>
              <w:rPr>
                <w:sz w:val="20"/>
              </w:rPr>
            </w:r>
            <w:r>
              <w:rPr>
                <w:rFonts w:ascii="Times New Roman" w:hAnsi="Times New Roman" w:eastAsia="宋体"/>
                <w:b w:val="0"/>
                <w:sz w:val="20"/>
              </w:rPr>
              <w:t>Limitations</w:t>
            </w:r>
          </w:p>
        </w:tc>
        <w:tc>
          <w:tcPr>
            <w:tcW w:type="dxa" w:w="2880"/>
          </w:tcPr>
          <w:p>
            <w:pPr>
              <w:spacing w:line="324" w:lineRule="auto" w:after="40"/>
            </w:pPr>
            <w:r>
              <w:rPr>
                <w:sz w:val="20"/>
              </w:rPr>
            </w:r>
            <w:r>
              <w:rPr>
                <w:rFonts w:ascii="Times New Roman" w:hAnsi="Times New Roman" w:eastAsia="宋体"/>
                <w:b w:val="0"/>
                <w:sz w:val="20"/>
              </w:rPr>
              <w:t>§4.5</w:t>
            </w:r>
          </w:p>
        </w:tc>
      </w:tr>
      <w:tr>
        <w:tc>
          <w:tcPr>
            <w:tcW w:type="dxa" w:w="2880"/>
          </w:tcPr>
          <w:p>
            <w:pPr>
              <w:spacing w:line="324" w:lineRule="auto" w:after="40"/>
            </w:pPr>
            <w:r>
              <w:rPr>
                <w:sz w:val="20"/>
              </w:rPr>
            </w:r>
            <w:r>
              <w:rPr>
                <w:rFonts w:ascii="Times New Roman" w:hAnsi="Times New Roman" w:eastAsia="宋体"/>
                <w:b w:val="0"/>
                <w:sz w:val="20"/>
              </w:rPr>
              <w:t>20</w:t>
            </w:r>
          </w:p>
        </w:tc>
        <w:tc>
          <w:tcPr>
            <w:tcW w:type="dxa" w:w="2880"/>
          </w:tcPr>
          <w:p>
            <w:pPr>
              <w:spacing w:line="324" w:lineRule="auto" w:after="40"/>
            </w:pPr>
            <w:r>
              <w:rPr>
                <w:sz w:val="20"/>
              </w:rPr>
            </w:r>
            <w:r>
              <w:rPr>
                <w:rFonts w:ascii="Times New Roman" w:hAnsi="Times New Roman" w:eastAsia="宋体"/>
                <w:b w:val="0"/>
                <w:sz w:val="20"/>
              </w:rPr>
              <w:t>Interpretation</w:t>
            </w:r>
          </w:p>
        </w:tc>
        <w:tc>
          <w:tcPr>
            <w:tcW w:type="dxa" w:w="2880"/>
          </w:tcPr>
          <w:p>
            <w:pPr>
              <w:spacing w:line="324" w:lineRule="auto" w:after="40"/>
            </w:pPr>
            <w:r>
              <w:rPr>
                <w:sz w:val="20"/>
              </w:rPr>
            </w:r>
            <w:r>
              <w:rPr>
                <w:rFonts w:ascii="Times New Roman" w:hAnsi="Times New Roman" w:eastAsia="宋体"/>
                <w:b w:val="0"/>
                <w:sz w:val="20"/>
              </w:rPr>
              <w:t>§4.2–4.4; §5</w:t>
            </w:r>
          </w:p>
        </w:tc>
      </w:tr>
      <w:tr>
        <w:tc>
          <w:tcPr>
            <w:tcW w:type="dxa" w:w="2880"/>
          </w:tcPr>
          <w:p>
            <w:pPr>
              <w:spacing w:line="324" w:lineRule="auto" w:after="40"/>
            </w:pPr>
            <w:r>
              <w:rPr>
                <w:sz w:val="20"/>
              </w:rPr>
            </w:r>
            <w:r>
              <w:rPr>
                <w:rFonts w:ascii="Times New Roman" w:hAnsi="Times New Roman" w:eastAsia="宋体"/>
                <w:b w:val="0"/>
                <w:sz w:val="20"/>
              </w:rPr>
              <w:t>21</w:t>
            </w:r>
          </w:p>
        </w:tc>
        <w:tc>
          <w:tcPr>
            <w:tcW w:type="dxa" w:w="2880"/>
          </w:tcPr>
          <w:p>
            <w:pPr>
              <w:spacing w:line="324" w:lineRule="auto" w:after="40"/>
            </w:pPr>
            <w:r>
              <w:rPr>
                <w:sz w:val="20"/>
              </w:rPr>
            </w:r>
            <w:r>
              <w:rPr>
                <w:rFonts w:ascii="Times New Roman" w:hAnsi="Times New Roman" w:eastAsia="宋体"/>
                <w:b w:val="0"/>
                <w:sz w:val="20"/>
              </w:rPr>
              <w:t>Generalisability</w:t>
            </w:r>
          </w:p>
        </w:tc>
        <w:tc>
          <w:tcPr>
            <w:tcW w:type="dxa" w:w="2880"/>
          </w:tcPr>
          <w:p>
            <w:pPr>
              <w:spacing w:line="324" w:lineRule="auto" w:after="40"/>
            </w:pPr>
            <w:r>
              <w:rPr>
                <w:sz w:val="20"/>
              </w:rPr>
            </w:r>
            <w:r>
              <w:rPr>
                <w:rFonts w:ascii="Times New Roman" w:hAnsi="Times New Roman" w:eastAsia="宋体"/>
                <w:b w:val="0"/>
                <w:sz w:val="20"/>
              </w:rPr>
              <w:t>§4.2, §4.5</w:t>
            </w:r>
          </w:p>
        </w:tc>
      </w:tr>
      <w:tr>
        <w:tc>
          <w:tcPr>
            <w:tcW w:type="dxa" w:w="2880"/>
          </w:tcPr>
          <w:p>
            <w:pPr>
              <w:spacing w:line="324" w:lineRule="auto" w:after="40"/>
            </w:pPr>
            <w:r>
              <w:rPr>
                <w:sz w:val="20"/>
              </w:rPr>
            </w:r>
            <w:r>
              <w:rPr>
                <w:rFonts w:ascii="Times New Roman" w:hAnsi="Times New Roman" w:eastAsia="宋体"/>
                <w:b w:val="0"/>
                <w:sz w:val="20"/>
              </w:rPr>
              <w:t>22</w:t>
            </w:r>
          </w:p>
        </w:tc>
        <w:tc>
          <w:tcPr>
            <w:tcW w:type="dxa" w:w="2880"/>
          </w:tcPr>
          <w:p>
            <w:pPr>
              <w:spacing w:line="324" w:lineRule="auto" w:after="40"/>
            </w:pPr>
            <w:r>
              <w:rPr>
                <w:sz w:val="20"/>
              </w:rPr>
            </w:r>
            <w:r>
              <w:rPr>
                <w:rFonts w:ascii="Times New Roman" w:hAnsi="Times New Roman" w:eastAsia="宋体"/>
                <w:b w:val="0"/>
                <w:sz w:val="20"/>
              </w:rPr>
              <w:t>Funding</w:t>
            </w:r>
          </w:p>
        </w:tc>
        <w:tc>
          <w:tcPr>
            <w:tcW w:type="dxa" w:w="2880"/>
          </w:tcPr>
          <w:p>
            <w:pPr>
              <w:spacing w:line="324" w:lineRule="auto" w:after="40"/>
            </w:pPr>
            <w:r>
              <w:rPr>
                <w:sz w:val="20"/>
              </w:rPr>
            </w:r>
            <w:r>
              <w:rPr>
                <w:rFonts w:ascii="Times New Roman" w:hAnsi="Times New Roman" w:eastAsia="宋体"/>
                <w:b w:val="0"/>
                <w:sz w:val="20"/>
              </w:rPr>
              <w:t>§6 (Declarations)</w:t>
            </w:r>
          </w:p>
        </w:tc>
      </w:tr>
    </w:tbl>
    <w:p/>
    <w:p>
      <w:pPr>
        <w:spacing w:line="360" w:lineRule="auto"/>
      </w:pPr>
      <w:r>
        <w:rPr>
          <w:rFonts w:ascii="Times New Roman" w:hAnsi="Times New Roman" w:eastAsia="宋体"/>
          <w:b w:val="0"/>
          <w:sz w:val="21"/>
        </w:rPr>
        <w:t>---</w:t>
      </w:r>
    </w:p>
    <w:p>
      <w:pPr>
        <w:jc w:val="left"/>
      </w:pPr>
      <w:r>
        <w:rPr>
          <w:rFonts w:ascii="Times New Roman" w:hAnsi="Times New Roman" w:eastAsia="黑体"/>
          <w:b/>
          <w:sz w:val="24"/>
        </w:rPr>
        <w:t>eAppendix B. Risk-of-bias self-assessment (ROBINS-E; Higgins et al., Environ Int 2024;186:108602)</w:t>
      </w:r>
    </w:p>
    <w:p>
      <w:pPr>
        <w:spacing w:line="360" w:lineRule="auto"/>
      </w:pPr>
      <w:r>
        <w:rPr>
          <w:rFonts w:ascii="Times New Roman" w:hAnsi="Times New Roman" w:eastAsia="宋体"/>
          <w:b w:val="0"/>
          <w:sz w:val="21"/>
        </w:rPr>
        <w:t>This prospective cohort study was assessed with the Risk Of Bias In Non-randomized Studies – of Exposures (ROBINS-E) tool, the framework recommended for observational exposure–outcome studies in combination with STROBE–Cohort reporting.</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2880"/>
        <w:gridCol w:w="2880"/>
        <w:gridCol w:w="2880"/>
      </w:tblGrid>
      <w:tr>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Domain</w:t>
            </w:r>
          </w:p>
        </w:tc>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Judgment</w:t>
            </w:r>
          </w:p>
        </w:tc>
        <w:tc>
          <w:tcPr>
            <w:tcW w:type="dxa" w:w="2880"/>
            <w:tcBorders>
              <w:bottom w:val="single" w:sz="6" w:color="000000" w:space="0"/>
            </w:tcBorders>
          </w:tcPr>
          <w:p>
            <w:pPr>
              <w:spacing w:line="324" w:lineRule="auto" w:after="40"/>
            </w:pPr>
            <w:r>
              <w:rPr>
                <w:b/>
                <w:sz w:val="20"/>
              </w:rPr>
            </w:r>
            <w:r>
              <w:rPr>
                <w:rFonts w:ascii="Times New Roman" w:hAnsi="Times New Roman" w:eastAsia="宋体"/>
                <w:b/>
                <w:sz w:val="20"/>
              </w:rPr>
              <w:t>Rationale and mitigating analyses</w:t>
            </w:r>
          </w:p>
        </w:tc>
      </w:tr>
      <w:tr>
        <w:tc>
          <w:tcPr>
            <w:tcW w:type="dxa" w:w="2880"/>
          </w:tcPr>
          <w:p>
            <w:pPr>
              <w:spacing w:line="324" w:lineRule="auto" w:after="40"/>
            </w:pPr>
            <w:r>
              <w:rPr>
                <w:sz w:val="20"/>
              </w:rPr>
            </w:r>
            <w:r>
              <w:rPr>
                <w:rFonts w:ascii="Times New Roman" w:hAnsi="Times New Roman" w:eastAsia="宋体"/>
                <w:b w:val="0"/>
                <w:sz w:val="20"/>
              </w:rPr>
              <w:t>1. Confounding</w:t>
            </w:r>
          </w:p>
        </w:tc>
        <w:tc>
          <w:tcPr>
            <w:tcW w:type="dxa" w:w="2880"/>
          </w:tcPr>
          <w:p>
            <w:pPr>
              <w:spacing w:line="324" w:lineRule="auto" w:after="40"/>
            </w:pPr>
            <w:r>
              <w:rPr>
                <w:sz w:val="20"/>
              </w:rPr>
            </w:r>
            <w:r>
              <w:rPr>
                <w:rFonts w:ascii="Times New Roman" w:hAnsi="Times New Roman" w:eastAsia="宋体"/>
                <w:b w:val="0"/>
                <w:sz w:val="20"/>
              </w:rPr>
              <w:t>Moderate</w:t>
            </w:r>
          </w:p>
        </w:tc>
        <w:tc>
          <w:tcPr>
            <w:tcW w:type="dxa" w:w="2880"/>
          </w:tcPr>
          <w:p>
            <w:pPr>
              <w:spacing w:line="324" w:lineRule="auto" w:after="40"/>
            </w:pPr>
            <w:r>
              <w:rPr>
                <w:sz w:val="20"/>
              </w:rPr>
            </w:r>
            <w:r>
              <w:rPr>
                <w:rFonts w:ascii="Times New Roman" w:hAnsi="Times New Roman" w:eastAsia="宋体"/>
                <w:b w:val="0"/>
                <w:sz w:val="20"/>
              </w:rPr>
              <w:t>Models 2–3 adjusted for age, sex, residence, education, marital status, drinking, household consumption, diabetes, dyslipidemia, and chronic conditions (§2.5); estimates were stable across models; the E-value was 6.96 (lower bound 4.70; S5), indicating robustness to unmeasured confounding of plausible magnitude. Residual confounding by unmeasured lifestyle and socioeconomic factors cannot be fully excluded.</w:t>
            </w:r>
          </w:p>
        </w:tc>
      </w:tr>
      <w:tr>
        <w:tc>
          <w:tcPr>
            <w:tcW w:type="dxa" w:w="2880"/>
          </w:tcPr>
          <w:p>
            <w:pPr>
              <w:spacing w:line="324" w:lineRule="auto" w:after="40"/>
            </w:pPr>
            <w:r>
              <w:rPr>
                <w:sz w:val="20"/>
              </w:rPr>
            </w:r>
            <w:r>
              <w:rPr>
                <w:rFonts w:ascii="Times New Roman" w:hAnsi="Times New Roman" w:eastAsia="宋体"/>
                <w:b w:val="0"/>
                <w:sz w:val="20"/>
              </w:rPr>
              <w:t>2. Selection of participants into the study</w:t>
            </w:r>
          </w:p>
        </w:tc>
        <w:tc>
          <w:tcPr>
            <w:tcW w:type="dxa" w:w="2880"/>
          </w:tcPr>
          <w:p>
            <w:pPr>
              <w:spacing w:line="324" w:lineRule="auto" w:after="40"/>
            </w:pPr>
            <w:r>
              <w:rPr>
                <w:sz w:val="20"/>
              </w:rPr>
            </w:r>
            <w:r>
              <w:rPr>
                <w:rFonts w:ascii="Times New Roman" w:hAnsi="Times New Roman" w:eastAsia="宋体"/>
                <w:b w:val="0"/>
                <w:sz w:val="20"/>
              </w:rPr>
              <w:t>Moderate</w:t>
            </w:r>
          </w:p>
        </w:tc>
        <w:tc>
          <w:tcPr>
            <w:tcW w:type="dxa" w:w="2880"/>
          </w:tcPr>
          <w:p>
            <w:pPr>
              <w:spacing w:line="324" w:lineRule="auto" w:after="40"/>
            </w:pPr>
            <w:r>
              <w:rPr>
                <w:sz w:val="20"/>
              </w:rPr>
            </w:r>
            <w:r>
              <w:rPr>
                <w:rFonts w:ascii="Times New Roman" w:hAnsi="Times New Roman" w:eastAsia="宋体"/>
                <w:b w:val="0"/>
                <w:sz w:val="20"/>
              </w:rPr>
              <w:t>Inclusion required three waves of physical examination and at least one blood test (26.2% of baseline respondents); included participants had lower cardiovascular burden and were more often rural (eTable 6). The direction of selection (toward a healthier analytic sample) would attenuate rather than inflate the association; inverse-probability weighting (unstabilized S13b: HR 2.00/3.61; stabilized and truncated weights: 1.91/3.53; eTable 12) and included-vs-excluded comparisons (eTable 6) showed limited impact.</w:t>
            </w:r>
          </w:p>
        </w:tc>
      </w:tr>
      <w:tr>
        <w:tc>
          <w:tcPr>
            <w:tcW w:type="dxa" w:w="2880"/>
          </w:tcPr>
          <w:p>
            <w:pPr>
              <w:spacing w:line="324" w:lineRule="auto" w:after="40"/>
            </w:pPr>
            <w:r>
              <w:rPr>
                <w:sz w:val="20"/>
              </w:rPr>
            </w:r>
            <w:r>
              <w:rPr>
                <w:rFonts w:ascii="Times New Roman" w:hAnsi="Times New Roman" w:eastAsia="宋体"/>
                <w:b w:val="0"/>
                <w:sz w:val="20"/>
              </w:rPr>
              <w:t>3. Classification of the exposure</w:t>
            </w:r>
          </w:p>
        </w:tc>
        <w:tc>
          <w:tcPr>
            <w:tcW w:type="dxa" w:w="2880"/>
          </w:tcPr>
          <w:p>
            <w:pPr>
              <w:spacing w:line="324" w:lineRule="auto" w:after="40"/>
            </w:pPr>
            <w:r>
              <w:rPr>
                <w:sz w:val="20"/>
              </w:rPr>
            </w:r>
            <w:r>
              <w:rPr>
                <w:rFonts w:ascii="Times New Roman" w:hAnsi="Times New Roman" w:eastAsia="宋体"/>
                <w:b w:val="0"/>
                <w:sz w:val="20"/>
              </w:rPr>
              <w:t>Moderate</w:t>
            </w:r>
          </w:p>
        </w:tc>
        <w:tc>
          <w:tcPr>
            <w:tcW w:type="dxa" w:w="2880"/>
          </w:tcPr>
          <w:p>
            <w:pPr>
              <w:spacing w:line="324" w:lineRule="auto" w:after="40"/>
            </w:pPr>
            <w:r>
              <w:rPr>
                <w:sz w:val="20"/>
              </w:rPr>
            </w:r>
            <w:r>
              <w:rPr>
                <w:rFonts w:ascii="Times New Roman" w:hAnsi="Times New Roman" w:eastAsia="宋体"/>
                <w:b w:val="0"/>
                <w:sz w:val="20"/>
              </w:rPr>
              <w:t>Blood pressure, BMI, and blood biomarkers were measured objectively; PA, smoking, and sleep were self-reported; 19.4% of the risk set had undetected measured hypertension at baseline, overlapping the lower-BP-score classes (eTable 19). Physical-activity data were missing in 52.9–64.0% by design (half-household sampling; MCAR assumption) and were handled by component-mean scoring of ≥5/7 components (§2.2). Classification quality was high (entropy 0.897; mean posterior probability 0.866; eTable 1). Scoring-deviation sensitivities (S13a, S13d, and the joint rescoring S15), a score recomputed without physical activity (S13e), and consistent classification quality across component-availability strata (eTable 10) left the estimates essentially unchanged; non-differential misclassification would attenuate the association.</w:t>
            </w:r>
          </w:p>
        </w:tc>
      </w:tr>
      <w:tr>
        <w:tc>
          <w:tcPr>
            <w:tcW w:type="dxa" w:w="2880"/>
          </w:tcPr>
          <w:p>
            <w:pPr>
              <w:spacing w:line="324" w:lineRule="auto" w:after="40"/>
            </w:pPr>
            <w:r>
              <w:rPr>
                <w:sz w:val="20"/>
              </w:rPr>
            </w:r>
            <w:r>
              <w:rPr>
                <w:rFonts w:ascii="Times New Roman" w:hAnsi="Times New Roman" w:eastAsia="宋体"/>
                <w:b w:val="0"/>
                <w:sz w:val="20"/>
              </w:rPr>
              <w:t>4. Departures from intended exposures</w:t>
            </w:r>
          </w:p>
        </w:tc>
        <w:tc>
          <w:tcPr>
            <w:tcW w:type="dxa" w:w="2880"/>
          </w:tcPr>
          <w:p>
            <w:pPr>
              <w:spacing w:line="324" w:lineRule="auto" w:after="40"/>
            </w:pPr>
            <w:r>
              <w:rPr>
                <w:sz w:val="20"/>
              </w:rPr>
            </w:r>
            <w:r>
              <w:rPr>
                <w:rFonts w:ascii="Times New Roman" w:hAnsi="Times New Roman" w:eastAsia="宋体"/>
                <w:b w:val="0"/>
                <w:sz w:val="20"/>
              </w:rPr>
              <w:t>Low</w:t>
            </w:r>
          </w:p>
        </w:tc>
        <w:tc>
          <w:tcPr>
            <w:tcW w:type="dxa" w:w="2880"/>
          </w:tcPr>
          <w:p>
            <w:pPr>
              <w:spacing w:line="324" w:lineRule="auto" w:after="40"/>
            </w:pPr>
            <w:r>
              <w:rPr>
                <w:sz w:val="20"/>
              </w:rPr>
            </w:r>
            <w:r>
              <w:rPr>
                <w:rFonts w:ascii="Times New Roman" w:hAnsi="Times New Roman" w:eastAsia="宋体"/>
                <w:b w:val="0"/>
                <w:sz w:val="20"/>
              </w:rPr>
              <w:t>Observational study without an intervention; the exposure was characterized over 2011–2015 before outcome ascertainment (2015–2020), and the trajectory structure itself captures within-person change. Participants with CVM during the trajectory window were excluded from the risk set (n=78), and a reverse-causation analysis (S4) was performed.</w:t>
            </w:r>
          </w:p>
        </w:tc>
      </w:tr>
      <w:tr>
        <w:tc>
          <w:tcPr>
            <w:tcW w:type="dxa" w:w="2880"/>
          </w:tcPr>
          <w:p>
            <w:pPr>
              <w:spacing w:line="324" w:lineRule="auto" w:after="40"/>
            </w:pPr>
            <w:r>
              <w:rPr>
                <w:sz w:val="20"/>
              </w:rPr>
            </w:r>
            <w:r>
              <w:rPr>
                <w:rFonts w:ascii="Times New Roman" w:hAnsi="Times New Roman" w:eastAsia="宋体"/>
                <w:b w:val="0"/>
                <w:sz w:val="20"/>
              </w:rPr>
              <w:t>5. Missing data</w:t>
            </w:r>
          </w:p>
        </w:tc>
        <w:tc>
          <w:tcPr>
            <w:tcW w:type="dxa" w:w="2880"/>
          </w:tcPr>
          <w:p>
            <w:pPr>
              <w:spacing w:line="324" w:lineRule="auto" w:after="40"/>
            </w:pPr>
            <w:r>
              <w:rPr>
                <w:sz w:val="20"/>
              </w:rPr>
            </w:r>
            <w:r>
              <w:rPr>
                <w:rFonts w:ascii="Times New Roman" w:hAnsi="Times New Roman" w:eastAsia="宋体"/>
                <w:b w:val="0"/>
                <w:sz w:val="20"/>
              </w:rPr>
              <w:t>Moderate</w:t>
            </w:r>
          </w:p>
        </w:tc>
        <w:tc>
          <w:tcPr>
            <w:tcW w:type="dxa" w:w="2880"/>
          </w:tcPr>
          <w:p>
            <w:pPr>
              <w:spacing w:line="324" w:lineRule="auto" w:after="40"/>
            </w:pPr>
            <w:r>
              <w:rPr>
                <w:sz w:val="20"/>
              </w:rPr>
            </w:r>
            <w:r>
              <w:rPr>
                <w:rFonts w:ascii="Times New Roman" w:hAnsi="Times New Roman" w:eastAsia="宋体"/>
                <w:b w:val="0"/>
                <w:sz w:val="20"/>
              </w:rPr>
              <w:t>Outcome information was complete for 4,064/4,547 (89.4%) at the 2020 wave; the remaining 483 (314 deaths without confirmed CVM; 169 lost to follow-up) were censored, and death was additionally handled with competing-risk models (S3; eTable 4; main-text Figure 3). Missing LE8 components were addressed by multiple imputation (S6, m=20) and by sensitivity analyses without imputation (S1), LOCF (S2), and a complete three-wave sample (S7), all consistent with the primary analysis. Any residual bias from informative censoring would most plausibly attenuate the association.</w:t>
            </w:r>
          </w:p>
        </w:tc>
      </w:tr>
      <w:tr>
        <w:tc>
          <w:tcPr>
            <w:tcW w:type="dxa" w:w="2880"/>
          </w:tcPr>
          <w:p>
            <w:pPr>
              <w:spacing w:line="324" w:lineRule="auto" w:after="40"/>
            </w:pPr>
            <w:r>
              <w:rPr>
                <w:sz w:val="20"/>
              </w:rPr>
            </w:r>
            <w:r>
              <w:rPr>
                <w:rFonts w:ascii="Times New Roman" w:hAnsi="Times New Roman" w:eastAsia="宋体"/>
                <w:b w:val="0"/>
                <w:sz w:val="20"/>
              </w:rPr>
              <w:t>6. Measurement of the outcome</w:t>
            </w:r>
          </w:p>
        </w:tc>
        <w:tc>
          <w:tcPr>
            <w:tcW w:type="dxa" w:w="2880"/>
          </w:tcPr>
          <w:p>
            <w:pPr>
              <w:spacing w:line="324" w:lineRule="auto" w:after="40"/>
            </w:pPr>
            <w:r>
              <w:rPr>
                <w:sz w:val="20"/>
              </w:rPr>
            </w:r>
            <w:r>
              <w:rPr>
                <w:rFonts w:ascii="Times New Roman" w:hAnsi="Times New Roman" w:eastAsia="宋体"/>
                <w:b w:val="0"/>
                <w:sz w:val="20"/>
              </w:rPr>
              <w:t>Moderate</w:t>
            </w:r>
          </w:p>
        </w:tc>
        <w:tc>
          <w:tcPr>
            <w:tcW w:type="dxa" w:w="2880"/>
          </w:tcPr>
          <w:p>
            <w:pPr>
              <w:spacing w:line="324" w:lineRule="auto" w:after="40"/>
            </w:pPr>
            <w:r>
              <w:rPr>
                <w:sz w:val="20"/>
              </w:rPr>
            </w:r>
            <w:r>
              <w:rPr>
                <w:rFonts w:ascii="Times New Roman" w:hAnsi="Times New Roman" w:eastAsia="宋体"/>
                <w:b w:val="0"/>
                <w:sz w:val="20"/>
              </w:rPr>
              <w:t>CVM was defined from self-reported physician diagnoses without medical-record verification; the limited sensitivity of self-reported hypertension in this population (Wu et al., Arch Public Health 2024) would tend to attenuate the association. Outcome variants independent of self-reported hypertension (S11), a diabetes-anchored definition (S12), stepwise single-disease outcomes (§3.5), exclusion of the 18 unclassifiable events (S14), and exclusion of participants with undetected measured hypertension (S17a/S17b) gave consistent results.</w:t>
            </w:r>
          </w:p>
        </w:tc>
      </w:tr>
      <w:tr>
        <w:tc>
          <w:tcPr>
            <w:tcW w:type="dxa" w:w="2880"/>
          </w:tcPr>
          <w:p>
            <w:pPr>
              <w:spacing w:line="324" w:lineRule="auto" w:after="40"/>
            </w:pPr>
            <w:r>
              <w:rPr>
                <w:sz w:val="20"/>
              </w:rPr>
            </w:r>
            <w:r>
              <w:rPr>
                <w:rFonts w:ascii="Times New Roman" w:hAnsi="Times New Roman" w:eastAsia="宋体"/>
                <w:b w:val="0"/>
                <w:sz w:val="20"/>
              </w:rPr>
              <w:t>7. Selection of the reported result</w:t>
            </w:r>
          </w:p>
        </w:tc>
        <w:tc>
          <w:tcPr>
            <w:tcW w:type="dxa" w:w="2880"/>
          </w:tcPr>
          <w:p>
            <w:pPr>
              <w:spacing w:line="324" w:lineRule="auto" w:after="40"/>
            </w:pPr>
            <w:r>
              <w:rPr>
                <w:sz w:val="20"/>
              </w:rPr>
            </w:r>
            <w:r>
              <w:rPr>
                <w:rFonts w:ascii="Times New Roman" w:hAnsi="Times New Roman" w:eastAsia="宋体"/>
                <w:b w:val="0"/>
                <w:sz w:val="20"/>
              </w:rPr>
              <w:t>Low</w:t>
            </w:r>
          </w:p>
        </w:tc>
        <w:tc>
          <w:tcPr>
            <w:tcW w:type="dxa" w:w="2880"/>
          </w:tcPr>
          <w:p>
            <w:pPr>
              <w:spacing w:line="324" w:lineRule="auto" w:after="40"/>
            </w:pPr>
            <w:r>
              <w:rPr>
                <w:sz w:val="20"/>
              </w:rPr>
            </w:r>
            <w:r>
              <w:rPr>
                <w:rFonts w:ascii="Times New Roman" w:hAnsi="Times New Roman" w:eastAsia="宋体"/>
                <w:b w:val="0"/>
                <w:sz w:val="20"/>
              </w:rPr>
              <w:t>All primary and 25 sensitivity analyses were reported regardless of direction, including null NRI/IDI results (§3.3); subgroup interaction P values were FDR-adjusted; the completed STROBE checklist is provided (eAppendix A). The study was not pre-registered, which is acknowledged in the Limitations (§4.5 of the main text).</w:t>
            </w:r>
          </w:p>
        </w:tc>
      </w:tr>
    </w:tbl>
    <w:p/>
    <w:p>
      <w:pPr>
        <w:spacing w:line="360" w:lineRule="auto"/>
      </w:pPr>
      <w:r>
        <w:rPr>
          <w:rFonts w:ascii="Times New Roman" w:hAnsi="Times New Roman" w:eastAsia="宋体"/>
          <w:b w:val="0"/>
          <w:sz w:val="21"/>
        </w:rPr>
        <w:t>Overall: no serious or critical concerns were identified. Residual bias was judged moderate in five domains; where the direction could be inferred (selection, exposure classification, outcome measurement, missing data), it would attenuate rather than inflate the trajectory–CVM association.</w:t>
      </w:r>
    </w:p>
    <w:p>
      <w:pPr>
        <w:spacing w:line="360" w:lineRule="auto"/>
      </w:pPr>
      <w:r>
        <w:rPr>
          <w:rFonts w:ascii="Times New Roman" w:hAnsi="Times New Roman" w:eastAsia="宋体"/>
          <w:b w:val="0"/>
          <w:sz w:val="21"/>
        </w:rPr>
        <w:t>---</w:t>
      </w:r>
    </w:p>
    <w:p>
      <w:pPr>
        <w:jc w:val="left"/>
      </w:pPr>
      <w:r>
        <w:rPr>
          <w:rFonts w:ascii="Times New Roman" w:hAnsi="Times New Roman" w:eastAsia="黑体"/>
          <w:b/>
          <w:sz w:val="24"/>
        </w:rPr>
        <w:t>eAppendix C. Longitudinal analysis reporting points</w:t>
      </w:r>
    </w:p>
    <w:tbl>
      <w:tblPr>
        <w:tblStyle w:val="TableGrid"/>
        <w:tblW w:type="pct" w:w="5000"/>
        <w:tblBorders>
          <w:top w:val="single" w:sz="16" w:color="000000" w:space="0"/>
          <w:bottom w:val="single" w:sz="16" w:color="000000" w:space="0"/>
          <w:left w:val="none" w:sz="0" w:space="0"/>
          <w:right w:val="none" w:sz="0" w:space="0"/>
          <w:insideH w:val="none" w:sz="0" w:space="0"/>
          <w:insideV w:val="none" w:sz="0" w:space="0"/>
        </w:tblBorders>
        <w:tblLayout w:type="autofit"/>
        <w:tblCellMar>
          <w:top w:w="140" w:type="dxa"/>
          <w:left w:w="200" w:type="dxa"/>
          <w:bottom w:w="140" w:type="dxa"/>
          <w:right w:w="200" w:type="dxa"/>
        </w:tblCellMar>
        <w:tblLook w:firstColumn="1" w:firstRow="1" w:lastColumn="0" w:lastRow="0" w:noHBand="0" w:noVBand="1" w:val="04A0"/>
      </w:tblPr>
      <w:tblGrid>
        <w:gridCol w:w="4320"/>
        <w:gridCol w:w="4320"/>
      </w:tblGrid>
      <w:tr>
        <w:tc>
          <w:tcPr>
            <w:tcW w:type="dxa" w:w="4320"/>
            <w:tcBorders>
              <w:bottom w:val="single" w:sz="6" w:color="000000" w:space="0"/>
            </w:tcBorders>
          </w:tcPr>
          <w:p>
            <w:pPr>
              <w:spacing w:line="324" w:lineRule="auto" w:after="40"/>
            </w:pPr>
            <w:r>
              <w:rPr>
                <w:b/>
                <w:sz w:val="20"/>
              </w:rPr>
            </w:r>
            <w:r>
              <w:rPr>
                <w:rFonts w:ascii="Times New Roman" w:hAnsi="Times New Roman" w:eastAsia="宋体"/>
                <w:b/>
                <w:sz w:val="20"/>
              </w:rPr>
              <w:t>Reporting point</w:t>
            </w:r>
          </w:p>
        </w:tc>
        <w:tc>
          <w:tcPr>
            <w:tcW w:type="dxa" w:w="4320"/>
            <w:tcBorders>
              <w:bottom w:val="single" w:sz="6" w:color="000000" w:space="0"/>
            </w:tcBorders>
          </w:tcPr>
          <w:p>
            <w:pPr>
              <w:spacing w:line="324" w:lineRule="auto" w:after="40"/>
            </w:pPr>
            <w:r>
              <w:rPr>
                <w:b/>
                <w:sz w:val="20"/>
              </w:rPr>
            </w:r>
            <w:r>
              <w:rPr>
                <w:rFonts w:ascii="Times New Roman" w:hAnsi="Times New Roman" w:eastAsia="宋体"/>
                <w:b/>
                <w:sz w:val="20"/>
              </w:rPr>
              <w:t>Reported in</w:t>
            </w:r>
          </w:p>
        </w:tc>
      </w:tr>
      <w:tr>
        <w:tc>
          <w:tcPr>
            <w:tcW w:type="dxa" w:w="4320"/>
          </w:tcPr>
          <w:p>
            <w:pPr>
              <w:spacing w:line="324" w:lineRule="auto" w:after="40"/>
            </w:pPr>
            <w:r>
              <w:rPr>
                <w:sz w:val="20"/>
              </w:rPr>
            </w:r>
            <w:r>
              <w:rPr>
                <w:rFonts w:ascii="Times New Roman" w:hAnsi="Times New Roman" w:eastAsia="宋体"/>
                <w:b w:val="0"/>
                <w:sz w:val="20"/>
              </w:rPr>
              <w:t>Trajectory window and time metric (2011–2015; t = 0/2/4 years)</w:t>
            </w:r>
          </w:p>
        </w:tc>
        <w:tc>
          <w:tcPr>
            <w:tcW w:type="dxa" w:w="4320"/>
          </w:tcPr>
          <w:p>
            <w:pPr>
              <w:spacing w:line="324" w:lineRule="auto" w:after="40"/>
            </w:pPr>
            <w:r>
              <w:rPr>
                <w:sz w:val="20"/>
              </w:rPr>
            </w:r>
            <w:r>
              <w:rPr>
                <w:rFonts w:ascii="Times New Roman" w:hAnsi="Times New Roman" w:eastAsia="宋体"/>
                <w:b w:val="0"/>
                <w:sz w:val="20"/>
              </w:rPr>
              <w:t>§2.3</w:t>
            </w:r>
          </w:p>
        </w:tc>
      </w:tr>
      <w:tr>
        <w:tc>
          <w:tcPr>
            <w:tcW w:type="dxa" w:w="4320"/>
          </w:tcPr>
          <w:p>
            <w:pPr>
              <w:spacing w:line="324" w:lineRule="auto" w:after="40"/>
            </w:pPr>
            <w:r>
              <w:rPr>
                <w:sz w:val="20"/>
              </w:rPr>
            </w:r>
            <w:r>
              <w:rPr>
                <w:rFonts w:ascii="Times New Roman" w:hAnsi="Times New Roman" w:eastAsia="宋体"/>
                <w:b w:val="0"/>
                <w:sz w:val="20"/>
              </w:rPr>
              <w:t>Model specification (LCGM with quadratic time; hlme)</w:t>
            </w:r>
          </w:p>
        </w:tc>
        <w:tc>
          <w:tcPr>
            <w:tcW w:type="dxa" w:w="4320"/>
          </w:tcPr>
          <w:p>
            <w:pPr>
              <w:spacing w:line="324" w:lineRule="auto" w:after="40"/>
            </w:pPr>
            <w:r>
              <w:rPr>
                <w:sz w:val="20"/>
              </w:rPr>
            </w:r>
            <w:r>
              <w:rPr>
                <w:rFonts w:ascii="Times New Roman" w:hAnsi="Times New Roman" w:eastAsia="宋体"/>
                <w:b w:val="0"/>
                <w:sz w:val="20"/>
              </w:rPr>
              <w:t>§2.3; eTable 8</w:t>
            </w:r>
          </w:p>
        </w:tc>
      </w:tr>
      <w:tr>
        <w:tc>
          <w:tcPr>
            <w:tcW w:type="dxa" w:w="4320"/>
          </w:tcPr>
          <w:p>
            <w:pPr>
              <w:spacing w:line="324" w:lineRule="auto" w:after="40"/>
            </w:pPr>
            <w:r>
              <w:rPr>
                <w:sz w:val="20"/>
              </w:rPr>
            </w:r>
            <w:r>
              <w:rPr>
                <w:rFonts w:ascii="Times New Roman" w:hAnsi="Times New Roman" w:eastAsia="宋体"/>
                <w:b w:val="0"/>
                <w:sz w:val="20"/>
              </w:rPr>
              <w:t>Class enumeration (1–5 classes) and selection criteria (BIC; entropy ≥0.7; mean APP ≥0.7; minimum class proportion ≥5%)</w:t>
            </w:r>
          </w:p>
        </w:tc>
        <w:tc>
          <w:tcPr>
            <w:tcW w:type="dxa" w:w="4320"/>
          </w:tcPr>
          <w:p>
            <w:pPr>
              <w:spacing w:line="324" w:lineRule="auto" w:after="40"/>
            </w:pPr>
            <w:r>
              <w:rPr>
                <w:sz w:val="20"/>
              </w:rPr>
            </w:r>
            <w:r>
              <w:rPr>
                <w:rFonts w:ascii="Times New Roman" w:hAnsi="Times New Roman" w:eastAsia="宋体"/>
                <w:b w:val="0"/>
                <w:sz w:val="20"/>
              </w:rPr>
              <w:t>§2.3; eTable 1</w:t>
            </w:r>
          </w:p>
        </w:tc>
      </w:tr>
      <w:tr>
        <w:tc>
          <w:tcPr>
            <w:tcW w:type="dxa" w:w="4320"/>
          </w:tcPr>
          <w:p>
            <w:pPr>
              <w:spacing w:line="324" w:lineRule="auto" w:after="40"/>
            </w:pPr>
            <w:r>
              <w:rPr>
                <w:sz w:val="20"/>
              </w:rPr>
            </w:r>
            <w:r>
              <w:rPr>
                <w:rFonts w:ascii="Times New Roman" w:hAnsi="Times New Roman" w:eastAsia="宋体"/>
                <w:b w:val="0"/>
                <w:sz w:val="20"/>
              </w:rPr>
              <w:t>Classification quality (entropy 0.897; mean posterior probability 0.866)</w:t>
            </w:r>
          </w:p>
        </w:tc>
        <w:tc>
          <w:tcPr>
            <w:tcW w:type="dxa" w:w="4320"/>
          </w:tcPr>
          <w:p>
            <w:pPr>
              <w:spacing w:line="324" w:lineRule="auto" w:after="40"/>
            </w:pPr>
            <w:r>
              <w:rPr>
                <w:sz w:val="20"/>
              </w:rPr>
            </w:r>
            <w:r>
              <w:rPr>
                <w:rFonts w:ascii="Times New Roman" w:hAnsi="Times New Roman" w:eastAsia="宋体"/>
                <w:b w:val="0"/>
                <w:sz w:val="20"/>
              </w:rPr>
              <w:t>eTable 1</w:t>
            </w:r>
          </w:p>
        </w:tc>
      </w:tr>
      <w:tr>
        <w:tc>
          <w:tcPr>
            <w:tcW w:type="dxa" w:w="4320"/>
          </w:tcPr>
          <w:p>
            <w:pPr>
              <w:spacing w:line="324" w:lineRule="auto" w:after="40"/>
            </w:pPr>
            <w:r>
              <w:rPr>
                <w:sz w:val="20"/>
              </w:rPr>
            </w:r>
            <w:r>
              <w:rPr>
                <w:rFonts w:ascii="Times New Roman" w:hAnsi="Times New Roman" w:eastAsia="宋体"/>
                <w:b w:val="0"/>
                <w:sz w:val="20"/>
              </w:rPr>
              <w:t>Class-specific parameters and uncertainty (95% CI bands from parametric draws)</w:t>
            </w:r>
          </w:p>
        </w:tc>
        <w:tc>
          <w:tcPr>
            <w:tcW w:type="dxa" w:w="4320"/>
          </w:tcPr>
          <w:p>
            <w:pPr>
              <w:spacing w:line="324" w:lineRule="auto" w:after="40"/>
            </w:pPr>
            <w:r>
              <w:rPr>
                <w:sz w:val="20"/>
              </w:rPr>
            </w:r>
            <w:r>
              <w:rPr>
                <w:rFonts w:ascii="Times New Roman" w:hAnsi="Times New Roman" w:eastAsia="宋体"/>
                <w:b w:val="0"/>
                <w:sz w:val="20"/>
              </w:rPr>
              <w:t>eTable 8; Figure 2</w:t>
            </w:r>
          </w:p>
        </w:tc>
      </w:tr>
      <w:tr>
        <w:tc>
          <w:tcPr>
            <w:tcW w:type="dxa" w:w="4320"/>
          </w:tcPr>
          <w:p>
            <w:pPr>
              <w:spacing w:line="324" w:lineRule="auto" w:after="40"/>
            </w:pPr>
            <w:r>
              <w:rPr>
                <w:sz w:val="20"/>
              </w:rPr>
            </w:r>
            <w:r>
              <w:rPr>
                <w:rFonts w:ascii="Times New Roman" w:hAnsi="Times New Roman" w:eastAsia="宋体"/>
                <w:b w:val="0"/>
                <w:sz w:val="20"/>
              </w:rPr>
              <w:t>Missing-wave handling (MAR assumption; 3,777 with three waves; 848 with two waves)</w:t>
            </w:r>
          </w:p>
        </w:tc>
        <w:tc>
          <w:tcPr>
            <w:tcW w:type="dxa" w:w="4320"/>
          </w:tcPr>
          <w:p>
            <w:pPr>
              <w:spacing w:line="324" w:lineRule="auto" w:after="40"/>
            </w:pPr>
            <w:r>
              <w:rPr>
                <w:sz w:val="20"/>
              </w:rPr>
            </w:r>
            <w:r>
              <w:rPr>
                <w:rFonts w:ascii="Times New Roman" w:hAnsi="Times New Roman" w:eastAsia="宋体"/>
                <w:b w:val="0"/>
                <w:sz w:val="20"/>
              </w:rPr>
              <w:t>§2.3</w:t>
            </w:r>
          </w:p>
        </w:tc>
      </w:tr>
      <w:tr>
        <w:tc>
          <w:tcPr>
            <w:tcW w:type="dxa" w:w="4320"/>
          </w:tcPr>
          <w:p>
            <w:pPr>
              <w:spacing w:line="324" w:lineRule="auto" w:after="40"/>
            </w:pPr>
            <w:r>
              <w:rPr>
                <w:sz w:val="20"/>
              </w:rPr>
            </w:r>
            <w:r>
              <w:rPr>
                <w:rFonts w:ascii="Times New Roman" w:hAnsi="Times New Roman" w:eastAsia="宋体"/>
                <w:b w:val="0"/>
                <w:sz w:val="20"/>
              </w:rPr>
              <w:t>Shape information beyond level separation (group × time interaction; LMM χ² = 35.0, P &lt; 0.001)</w:t>
            </w:r>
          </w:p>
        </w:tc>
        <w:tc>
          <w:tcPr>
            <w:tcW w:type="dxa" w:w="4320"/>
          </w:tcPr>
          <w:p>
            <w:pPr>
              <w:spacing w:line="324" w:lineRule="auto" w:after="40"/>
            </w:pPr>
            <w:r>
              <w:rPr>
                <w:sz w:val="20"/>
              </w:rPr>
            </w:r>
            <w:r>
              <w:rPr>
                <w:rFonts w:ascii="Times New Roman" w:hAnsi="Times New Roman" w:eastAsia="宋体"/>
                <w:b w:val="0"/>
                <w:sz w:val="20"/>
              </w:rPr>
              <w:t>eTable 8</w:t>
            </w:r>
          </w:p>
        </w:tc>
      </w:tr>
      <w:tr>
        <w:tc>
          <w:tcPr>
            <w:tcW w:type="dxa" w:w="4320"/>
          </w:tcPr>
          <w:p>
            <w:pPr>
              <w:spacing w:line="324" w:lineRule="auto" w:after="40"/>
            </w:pPr>
            <w:r>
              <w:rPr>
                <w:sz w:val="20"/>
              </w:rPr>
            </w:r>
            <w:r>
              <w:rPr>
                <w:rFonts w:ascii="Times New Roman" w:hAnsi="Times New Roman" w:eastAsia="宋体"/>
                <w:b w:val="0"/>
                <w:sz w:val="20"/>
              </w:rPr>
              <w:t>Follow-up time structure (fixed 5-year window; interval-midpoint event times; median follow-up not applicable)</w:t>
            </w:r>
          </w:p>
        </w:tc>
        <w:tc>
          <w:tcPr>
            <w:tcW w:type="dxa" w:w="4320"/>
          </w:tcPr>
          <w:p>
            <w:pPr>
              <w:spacing w:line="324" w:lineRule="auto" w:after="40"/>
            </w:pPr>
            <w:r>
              <w:rPr>
                <w:sz w:val="20"/>
              </w:rPr>
            </w:r>
            <w:r>
              <w:rPr>
                <w:rFonts w:ascii="Times New Roman" w:hAnsi="Times New Roman" w:eastAsia="宋体"/>
                <w:b w:val="0"/>
                <w:sz w:val="20"/>
              </w:rPr>
              <w:t>§2.4</w:t>
            </w:r>
          </w:p>
        </w:tc>
      </w:tr>
      <w:tr>
        <w:tc>
          <w:tcPr>
            <w:tcW w:type="dxa" w:w="4320"/>
          </w:tcPr>
          <w:p>
            <w:pPr>
              <w:spacing w:line="324" w:lineRule="auto" w:after="40"/>
            </w:pPr>
            <w:r>
              <w:rPr>
                <w:sz w:val="20"/>
              </w:rPr>
            </w:r>
            <w:r>
              <w:rPr>
                <w:rFonts w:ascii="Times New Roman" w:hAnsi="Times New Roman" w:eastAsia="宋体"/>
                <w:b w:val="0"/>
                <w:sz w:val="20"/>
              </w:rPr>
              <w:t>Competing events (death)</w:t>
            </w:r>
          </w:p>
        </w:tc>
        <w:tc>
          <w:tcPr>
            <w:tcW w:type="dxa" w:w="4320"/>
          </w:tcPr>
          <w:p>
            <w:pPr>
              <w:spacing w:line="324" w:lineRule="auto" w:after="40"/>
            </w:pPr>
            <w:r>
              <w:rPr>
                <w:sz w:val="20"/>
              </w:rPr>
            </w:r>
            <w:r>
              <w:rPr>
                <w:rFonts w:ascii="Times New Roman" w:hAnsi="Times New Roman" w:eastAsia="宋体"/>
                <w:b w:val="0"/>
                <w:sz w:val="20"/>
              </w:rPr>
              <w:t>§2.4; eTable 4; main-text Figure 3 (Aalen–Johansen); eFigure 1 (KM, descriptive)</w:t>
            </w:r>
          </w:p>
        </w:tc>
      </w:tr>
      <w:tr>
        <w:tc>
          <w:tcPr>
            <w:tcW w:type="dxa" w:w="4320"/>
          </w:tcPr>
          <w:p>
            <w:pPr>
              <w:spacing w:line="324" w:lineRule="auto" w:after="40"/>
            </w:pPr>
            <w:r>
              <w:rPr>
                <w:sz w:val="20"/>
              </w:rPr>
            </w:r>
            <w:r>
              <w:rPr>
                <w:rFonts w:ascii="Times New Roman" w:hAnsi="Times New Roman" w:eastAsia="宋体"/>
                <w:b w:val="0"/>
                <w:sz w:val="20"/>
              </w:rPr>
              <w:t>Within-person change as a co-primary exposure (ΔLE8)</w:t>
            </w:r>
          </w:p>
        </w:tc>
        <w:tc>
          <w:tcPr>
            <w:tcW w:type="dxa" w:w="4320"/>
          </w:tcPr>
          <w:p>
            <w:pPr>
              <w:spacing w:line="324" w:lineRule="auto" w:after="40"/>
            </w:pPr>
            <w:r>
              <w:rPr>
                <w:sz w:val="20"/>
              </w:rPr>
            </w:r>
            <w:r>
              <w:rPr>
                <w:rFonts w:ascii="Times New Roman" w:hAnsi="Times New Roman" w:eastAsia="宋体"/>
                <w:b w:val="0"/>
                <w:sz w:val="20"/>
              </w:rPr>
              <w:t>§3.4; eTable 13</w:t>
            </w:r>
          </w:p>
        </w:tc>
      </w:tr>
      <w:tr>
        <w:tc>
          <w:tcPr>
            <w:tcW w:type="dxa" w:w="4320"/>
          </w:tcPr>
          <w:p>
            <w:pPr>
              <w:spacing w:line="324" w:lineRule="auto" w:after="40"/>
            </w:pPr>
            <w:r>
              <w:rPr>
                <w:sz w:val="20"/>
              </w:rPr>
            </w:r>
            <w:r>
              <w:rPr>
                <w:rFonts w:ascii="Times New Roman" w:hAnsi="Times New Roman" w:eastAsia="宋体"/>
                <w:b w:val="0"/>
                <w:sz w:val="20"/>
              </w:rPr>
              <w:t>Incremental value within baseline-level strata (tertiles)</w:t>
            </w:r>
          </w:p>
        </w:tc>
        <w:tc>
          <w:tcPr>
            <w:tcW w:type="dxa" w:w="4320"/>
          </w:tcPr>
          <w:p>
            <w:pPr>
              <w:spacing w:line="324" w:lineRule="auto" w:after="40"/>
            </w:pPr>
            <w:r>
              <w:rPr>
                <w:sz w:val="20"/>
              </w:rPr>
            </w:r>
            <w:r>
              <w:rPr>
                <w:rFonts w:ascii="Times New Roman" w:hAnsi="Times New Roman" w:eastAsia="宋体"/>
                <w:b w:val="0"/>
                <w:sz w:val="20"/>
              </w:rPr>
              <w:t>§3.3; eTable 11</w:t>
            </w:r>
          </w:p>
        </w:tc>
      </w:tr>
      <w:tr>
        <w:tc>
          <w:tcPr>
            <w:tcW w:type="dxa" w:w="4320"/>
          </w:tcPr>
          <w:p>
            <w:pPr>
              <w:spacing w:line="324" w:lineRule="auto" w:after="40"/>
            </w:pPr>
            <w:r>
              <w:rPr>
                <w:sz w:val="20"/>
              </w:rPr>
            </w:r>
            <w:r>
              <w:rPr>
                <w:rFonts w:ascii="Times New Roman" w:hAnsi="Times New Roman" w:eastAsia="宋体"/>
                <w:b w:val="0"/>
                <w:sz w:val="20"/>
              </w:rPr>
              <w:t>Incremental-value analysis sample flow (baseline-score availability)</w:t>
            </w:r>
          </w:p>
        </w:tc>
        <w:tc>
          <w:tcPr>
            <w:tcW w:type="dxa" w:w="4320"/>
          </w:tcPr>
          <w:p>
            <w:pPr>
              <w:spacing w:line="324" w:lineRule="auto" w:after="40"/>
            </w:pPr>
            <w:r>
              <w:rPr>
                <w:sz w:val="20"/>
              </w:rPr>
            </w:r>
            <w:r>
              <w:rPr>
                <w:rFonts w:ascii="Times New Roman" w:hAnsi="Times New Roman" w:eastAsia="宋体"/>
                <w:b w:val="0"/>
                <w:sz w:val="20"/>
              </w:rPr>
              <w:t>eTable 18</w:t>
            </w:r>
          </w:p>
        </w:tc>
      </w:tr>
      <w:tr>
        <w:tc>
          <w:tcPr>
            <w:tcW w:type="dxa" w:w="4320"/>
          </w:tcPr>
          <w:p>
            <w:pPr>
              <w:spacing w:line="324" w:lineRule="auto" w:after="40"/>
            </w:pPr>
            <w:r>
              <w:rPr>
                <w:sz w:val="20"/>
              </w:rPr>
            </w:r>
            <w:r>
              <w:rPr>
                <w:rFonts w:ascii="Times New Roman" w:hAnsi="Times New Roman" w:eastAsia="宋体"/>
                <w:b w:val="0"/>
                <w:sz w:val="20"/>
              </w:rPr>
              <w:t>Measured-hypertension exclusion (detection bias)</w:t>
            </w:r>
          </w:p>
        </w:tc>
        <w:tc>
          <w:tcPr>
            <w:tcW w:type="dxa" w:w="4320"/>
          </w:tcPr>
          <w:p>
            <w:pPr>
              <w:spacing w:line="324" w:lineRule="auto" w:after="40"/>
            </w:pPr>
            <w:r>
              <w:rPr>
                <w:sz w:val="20"/>
              </w:rPr>
            </w:r>
            <w:r>
              <w:rPr>
                <w:rFonts w:ascii="Times New Roman" w:hAnsi="Times New Roman" w:eastAsia="宋体"/>
                <w:b w:val="0"/>
                <w:sz w:val="20"/>
              </w:rPr>
              <w:t>S17a/S17b; eTable 19</w:t>
            </w:r>
          </w:p>
        </w:tc>
      </w:tr>
      <w:tr>
        <w:tc>
          <w:tcPr>
            <w:tcW w:type="dxa" w:w="4320"/>
          </w:tcPr>
          <w:p>
            <w:pPr>
              <w:spacing w:line="324" w:lineRule="auto" w:after="40"/>
            </w:pPr>
            <w:r>
              <w:rPr>
                <w:sz w:val="20"/>
              </w:rPr>
            </w:r>
            <w:r>
              <w:rPr>
                <w:rFonts w:ascii="Times New Roman" w:hAnsi="Times New Roman" w:eastAsia="宋体"/>
                <w:b w:val="0"/>
                <w:sz w:val="20"/>
              </w:rPr>
              <w:t>Model identification (linear vs quadratic; APP by class)</w:t>
            </w:r>
          </w:p>
        </w:tc>
        <w:tc>
          <w:tcPr>
            <w:tcW w:type="dxa" w:w="4320"/>
          </w:tcPr>
          <w:p>
            <w:pPr>
              <w:spacing w:line="324" w:lineRule="auto" w:after="40"/>
            </w:pPr>
            <w:r>
              <w:rPr>
                <w:sz w:val="20"/>
              </w:rPr>
            </w:r>
            <w:r>
              <w:rPr>
                <w:rFonts w:ascii="Times New Roman" w:hAnsi="Times New Roman" w:eastAsia="宋体"/>
                <w:b w:val="0"/>
                <w:sz w:val="20"/>
              </w:rPr>
              <w:t>eTable 17</w:t>
            </w:r>
          </w:p>
        </w:tc>
      </w:tr>
      <w:tr>
        <w:tc>
          <w:tcPr>
            <w:tcW w:type="dxa" w:w="4320"/>
          </w:tcPr>
          <w:p>
            <w:pPr>
              <w:spacing w:line="324" w:lineRule="auto" w:after="40"/>
            </w:pPr>
            <w:r>
              <w:rPr>
                <w:sz w:val="20"/>
              </w:rPr>
            </w:r>
            <w:r>
              <w:rPr>
                <w:rFonts w:ascii="Times New Roman" w:hAnsi="Times New Roman" w:eastAsia="宋体"/>
                <w:b w:val="0"/>
                <w:sz w:val="20"/>
              </w:rPr>
              <w:t>Component-availability sensitivity (classification quality by ncomp)</w:t>
            </w:r>
          </w:p>
        </w:tc>
        <w:tc>
          <w:tcPr>
            <w:tcW w:type="dxa" w:w="4320"/>
          </w:tcPr>
          <w:p>
            <w:pPr>
              <w:spacing w:line="324" w:lineRule="auto" w:after="40"/>
            </w:pPr>
            <w:r>
              <w:rPr>
                <w:sz w:val="20"/>
              </w:rPr>
            </w:r>
            <w:r>
              <w:rPr>
                <w:rFonts w:ascii="Times New Roman" w:hAnsi="Times New Roman" w:eastAsia="宋体"/>
                <w:b w:val="0"/>
                <w:sz w:val="20"/>
              </w:rPr>
              <w:t>eTable 10</w:t>
            </w:r>
          </w:p>
        </w:tc>
      </w:tr>
      <w:tr>
        <w:tc>
          <w:tcPr>
            <w:tcW w:type="dxa" w:w="4320"/>
          </w:tcPr>
          <w:p>
            <w:pPr>
              <w:spacing w:line="324" w:lineRule="auto" w:after="40"/>
            </w:pPr>
            <w:r>
              <w:rPr>
                <w:sz w:val="20"/>
              </w:rPr>
            </w:r>
            <w:r>
              <w:rPr>
                <w:rFonts w:ascii="Times New Roman" w:hAnsi="Times New Roman" w:eastAsia="宋体"/>
                <w:b w:val="0"/>
                <w:sz w:val="20"/>
              </w:rPr>
              <w:t>Scoring comparability with the official AHA definition (joint rescoring)</w:t>
            </w:r>
          </w:p>
        </w:tc>
        <w:tc>
          <w:tcPr>
            <w:tcW w:type="dxa" w:w="4320"/>
          </w:tcPr>
          <w:p>
            <w:pPr>
              <w:spacing w:line="324" w:lineRule="auto" w:after="40"/>
            </w:pPr>
            <w:r>
              <w:rPr>
                <w:sz w:val="20"/>
              </w:rPr>
            </w:r>
            <w:r>
              <w:rPr>
                <w:rFonts w:ascii="Times New Roman" w:hAnsi="Times New Roman" w:eastAsia="宋体"/>
                <w:b w:val="0"/>
                <w:sz w:val="20"/>
              </w:rPr>
              <w:t>S15; eTable 14</w:t>
            </w:r>
          </w:p>
        </w:tc>
      </w:tr>
      <w:tr>
        <w:tc>
          <w:tcPr>
            <w:tcW w:type="dxa" w:w="4320"/>
          </w:tcPr>
          <w:p>
            <w:pPr>
              <w:spacing w:line="324" w:lineRule="auto" w:after="40"/>
            </w:pPr>
            <w:r>
              <w:rPr>
                <w:sz w:val="20"/>
              </w:rPr>
            </w:r>
            <w:r>
              <w:rPr>
                <w:rFonts w:ascii="Times New Roman" w:hAnsi="Times New Roman" w:eastAsia="宋体"/>
                <w:b w:val="0"/>
                <w:sz w:val="20"/>
              </w:rPr>
              <w:t>Component-contribution decomposition</w:t>
            </w:r>
          </w:p>
        </w:tc>
        <w:tc>
          <w:tcPr>
            <w:tcW w:type="dxa" w:w="4320"/>
          </w:tcPr>
          <w:p>
            <w:pPr>
              <w:spacing w:line="324" w:lineRule="auto" w:after="40"/>
            </w:pPr>
            <w:r>
              <w:rPr>
                <w:sz w:val="20"/>
              </w:rPr>
            </w:r>
            <w:r>
              <w:rPr>
                <w:rFonts w:ascii="Times New Roman" w:hAnsi="Times New Roman" w:eastAsia="宋体"/>
                <w:b w:val="0"/>
                <w:sz w:val="20"/>
              </w:rPr>
              <w:t>eTable 16</w:t>
            </w:r>
          </w:p>
        </w:tc>
      </w:tr>
    </w:tbl>
    <w:p/>
    <w:p>
      <w:pPr>
        <w:spacing w:line="360" w:lineRule="auto"/>
      </w:pPr>
      <w:r>
        <w:rPr>
          <w:rFonts w:ascii="Times New Roman" w:hAnsi="Times New Roman" w:eastAsia="宋体"/>
          <w:b w:val="0"/>
          <w:sz w:val="21"/>
        </w:rPr>
        <w:t>---</w:t>
      </w:r>
    </w:p>
    <w:p>
      <w:pPr>
        <w:spacing w:line="360" w:lineRule="auto"/>
      </w:pPr>
      <w:r>
        <w:rPr>
          <w:rFonts w:ascii="Times New Roman" w:hAnsi="Times New Roman" w:eastAsia="宋体"/>
          <w:b/>
          <w:sz w:val="21"/>
        </w:rPr>
        <w:t>eFigure 1. Kaplan–Meier curves of CVM-free survival by trajectory group (descriptive; t0 = 2015; n=4,547; log-rank P&lt;0.001).</w:t>
      </w:r>
    </w:p>
    <w:p>
      <w:pPr>
        <w:jc w:val="center"/>
      </w:pPr>
      <w:r>
        <w:drawing>
          <wp:inline xmlns:a="http://schemas.openxmlformats.org/drawingml/2006/main" xmlns:pic="http://schemas.openxmlformats.org/drawingml/2006/picture">
            <wp:extent cx="5220000" cy="3728571"/>
            <wp:docPr id="1" name="Picture 1"/>
            <wp:cNvGraphicFramePr>
              <a:graphicFrameLocks noChangeAspect="1"/>
            </wp:cNvGraphicFramePr>
            <a:graphic>
              <a:graphicData uri="http://schemas.openxmlformats.org/drawingml/2006/picture">
                <pic:pic>
                  <pic:nvPicPr>
                    <pic:cNvPr id="0" name="eFigure1_KM.png"/>
                    <pic:cNvPicPr/>
                  </pic:nvPicPr>
                  <pic:blipFill>
                    <a:blip r:embed="rId9"/>
                    <a:stretch>
                      <a:fillRect/>
                    </a:stretch>
                  </pic:blipFill>
                  <pic:spPr>
                    <a:xfrm>
                      <a:off x="0" y="0"/>
                      <a:ext cx="5220000" cy="3728571"/>
                    </a:xfrm>
                    <a:prstGeom prst="rect"/>
                  </pic:spPr>
                </pic:pic>
              </a:graphicData>
            </a:graphic>
          </wp:inline>
        </w:drawing>
      </w:r>
    </w:p>
    <w:p>
      <w:pPr>
        <w:spacing w:line="360" w:lineRule="auto"/>
      </w:pPr>
      <w:r>
        <w:rPr>
          <w:rFonts w:ascii="Times New Roman" w:hAnsi="Times New Roman" w:eastAsia="宋体"/>
          <w:b w:val="0"/>
          <w:sz w:val="21"/>
        </w:rPr>
        <w:t>Note: Event timing is not identifiable under the two-point event-ascertainment design (all events assigned 3.5 years), so these curves are descriptive only; the primary display is the Aalen–Johansen cumulative-incidence figure in the main text (Figure 3). Event counts: persistent high 90/2,029 (4.4%), persistent moderate 170/2,037 (8.3%), persistent low 70/481 (14.6%).</w:t>
      </w:r>
    </w:p>
    <w:sectPr w:rsidR="00FC693F" w:rsidRPr="0006063C" w:rsidSect="00034616">
      <w:pgSz w:w="12240" w:h="15840"/>
      <w:pgMar w:top="1440" w:right="1800" w:bottom="1440" w:left="1800" w:header="720" w:footer="720" w:gutter="0"/>
      <w:cols w:space="720"/>
      <w:docGrid w:linePitch="360"/>
    </w:sectPr>
    <w:p>
      <w:pPr>
        <w:spacing w:line="360" w:lineRule="auto"/>
      </w:pPr>
      <w:r>
        <w:rPr>
          <w:rFonts w:ascii="Times New Roman" w:hAnsi="Times New Roman" w:eastAsia="宋体"/>
          <w:b w:val="0"/>
          <w:sz w:val="22"/>
        </w:rPr>
        <w:t xml:space="preserve">eFigure 2. Calibration of the derivation logistic model (Model 3) in the validation sample: observed versus predicted 5-year CVM risk by decile of predicted risk (n = 1,151; 85 events; observed/expected ratio 1.00; calibration slope 0.92; intercept −0.20). Error bars are 95% binomial confidence intervals; the dashed line indicates perfect calibration.</w:t>
      </w:r>
    </w:p>
    <w:p>
      <w:pPr>
        <w:jc w:val="center"/>
      </w:pPr>
      <w:r>
        <w:drawing xmlns:wp="http://schemas.openxmlformats.org/drawingml/2006/wordprocessingDrawing" xmlns:a="http://schemas.openxmlformats.org/drawingml/2006/main" xmlns:pic="http://schemas.openxmlformats.org/drawingml/2006/picture" xmlns:r="http://schemas.openxmlformats.org/officeDocument/2006/relationships">
          <wp:inline distT="0" distB="0" distL="0" distR="0">
            <wp:extent cx="4572000" cy="4572000"/>
            <wp:docPr id="99" name="eFigure2"/>
            <a:graphic>
              <a:graphicData uri="http://schemas.openxmlformats.org/drawingml/2006/picture">
                <pic:pic>
                  <pic:nvPicPr>
                    <pic:cNvPr id="99" name="image2.png"/>
                    <pic:cNvPicPr/>
                  </pic:nvPicPr>
                  <pic:blipFill>
                    <a:blip r:embed="rId100"/>
                    <a:stretch>
                      <a:fillRect/>
                    </a:stretch>
                  </pic:blipFill>
                  <pic:spPr>
                    <a:xfrm>
                      <a:ext cx="4572000" cy="4572000"/>
                    </a:xfrm>
                    <a:prstGeom prst="rect">
                      <a:avLst/>
                    </a:prstGeom>
                  </pic:spPr>
                </pic:pic>
              </a:graphicData>
            </a:graphic>
          </wp:inline>
        </w:drawing>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