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Calibri" w:hAnsi="Calibri"/>
          <w:b/>
          <w:color w:val="000000"/>
          <w:sz w:val="28"/>
        </w:rPr>
        <w:t>Additional file 4. STROBE cross-sectional manuscript crosswalk</w:t>
      </w:r>
    </w:p>
    <w:p>
      <w:pPr>
        <w:spacing w:after="40"/>
      </w:pPr>
      <w:r>
        <w:rPr>
          <w:rFonts w:ascii="Calibri" w:hAnsi="Calibri"/>
          <w:b/>
          <w:sz w:val="18"/>
        </w:rPr>
        <w:t xml:space="preserve">Manuscript: </w:t>
      </w:r>
      <w:r>
        <w:rPr>
          <w:rFonts w:ascii="Calibri" w:hAnsi="Calibri"/>
          <w:sz w:val="18"/>
        </w:rPr>
        <w:t>Same-wave cross-sectional risk stratification for parent-reported current anxiety among US children with ADHD who received behavioral treatment: development in the 2023 NSCH and evaluation in the 2024 NSCH</w:t>
      </w:r>
    </w:p>
    <w:p>
      <w:pPr>
        <w:spacing w:after="40"/>
      </w:pPr>
      <w:r>
        <w:rPr>
          <w:rFonts w:ascii="Calibri" w:hAnsi="Calibri"/>
          <w:sz w:val="17"/>
        </w:rPr>
        <w:t>Target journal: Child and Adolescent Psychiatry and Mental Health  |  Completed: 20 August 2026</w:t>
      </w:r>
    </w:p>
    <w:p>
      <w:pPr>
        <w:spacing w:after="80"/>
      </w:pPr>
      <w:r>
        <w:rPr>
          <w:rFonts w:ascii="Calibri" w:hAnsi="Calibri"/>
          <w:i/>
          <w:sz w:val="17"/>
        </w:rPr>
        <w:t>Framework: official STROBE checklist for cross-sectional studies (version 4). All 32 subitems in the dedicated cross-sectional checklist are shown; requirements are concisely paraphrased.</w:t>
      </w:r>
    </w:p>
    <w:p>
      <w:pPr>
        <w:spacing w:after="100"/>
      </w:pPr>
      <w:r>
        <w:rPr>
          <w:rFonts w:ascii="Calibri" w:hAnsi="Calibri"/>
          <w:sz w:val="17"/>
        </w:rPr>
        <w:t>Page/line references correspond to the locked 32-page submission rendering of the current main manuscript (continuous lines 1–631). Status definitions: Reported = explicitly addressed; Partial = some requested elements are absent or located only in another submission file; Not reported = no statement was located; N/A = the triggering condition did not occur and the manuscript states this where applicable.</w:t>
      </w:r>
    </w:p>
    <w:p>
      <w:pPr>
        <w:spacing w:before="0" w:after="80"/>
      </w:pPr>
      <w:r>
        <w:rPr>
          <w:rFonts w:ascii="Calibri" w:hAnsi="Calibri"/>
          <w:b/>
          <w:sz w:val="17"/>
        </w:rPr>
        <w:t>Crosswalk summary — Reported: 24; Partial: 6; N/A: 2.</w:t>
      </w:r>
    </w:p>
    <w:tbl>
      <w:tblPr>
        <w:tblLook w:firstColumn="1" w:firstRow="1" w:lastColumn="0" w:lastRow="0" w:noHBand="0" w:noVBand="1" w:val="04A0"/>
        <w:tblW w:w="14256" w:type="dxa"/>
        <w:tblInd w:w="120" w:type="dxa"/>
        <w:tblLayout w:type="fixed"/>
        <w:tblBorders>
          <w:top w:val="single" w:sz="8" w:space="0" w:color="000000"/>
          <w:left w:val="single" w:sz="4" w:space="0" w:color="808080"/>
          <w:bottom w:val="single" w:sz="8" w:space="0" w:color="000000"/>
          <w:right w:val="single" w:sz="4" w:space="0" w:color="808080"/>
          <w:insideH w:val="single" w:sz="4" w:space="0" w:color="B0B0B0"/>
          <w:insideV w:val="single" w:sz="4" w:space="0" w:color="B0B0B0"/>
        </w:tblBorders>
      </w:tblPr>
      <w:tblGrid>
        <w:gridCol w:w="1800"/>
        <w:gridCol w:w="650"/>
        <w:gridCol w:w="4100"/>
        <w:gridCol w:w="6300"/>
        <w:gridCol w:w="1406"/>
      </w:tblGrid>
      <w:tr>
        <w:trPr>
          <w:tblHeader w:val="true"/>
          <w:cantSplit/>
        </w:trPr>
        <w:tc>
          <w:tcPr>
            <w:tcW w:type="dxa" w:w="1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Section / topic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Item</w:t>
            </w:r>
          </w:p>
        </w:tc>
        <w:tc>
          <w:tcPr>
            <w:tcW w:type="dxa" w:w="4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Concise checklist requirement</w:t>
            </w:r>
          </w:p>
        </w:tc>
        <w:tc>
          <w:tcPr>
            <w:tcW w:type="dxa" w:w="6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 on page/line and evidence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Title and abstract / Title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1a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Name the study design in the title or abstract.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1, lines 1–4 — The title explicitly says ‘cross-sectional’ and identifies development/evaluation waves.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Title and abstract / Abstract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1b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Provide a balanced summary of methods and findings.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1–3, lines 18–50 — Structured Background, Methods, Results, and Conclusions report the design, estimates, uncertainty, and limits.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Introduction / Background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Explain the scientific background and rationale.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3–4, lines 53–75 — Pediatric ADHD/anxiety context, screening relevance, and survey-prediction rationale are described.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Introduction / Objectives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State objectives and any prespecified hypotheses.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4, lines 76–83 — Development/evaluation objectives, evaluation domains, and the regression-versus-ML hypothesis are explicit.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Study design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Present key design elements early.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4–5, lines 84–97 — Cross-sectional secondary-data development/evaluation, annual waves, locked evaluation, same-wave time origin, and intended use appear at the start of Methods.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Setting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setting, locations, and relevant dates.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4–5, lines 86–106 — Consecutive 2023/2024 US NSCH waves, national address-based setting, administering agencies, response rates, and sample totals are reported.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Participants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6a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Give eligibility criteria and participant selection sources/methods.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5, lines 99–112; p. 12, lines 265–270 — Household topical survey source, one selected child, eligibility criteria, and analytic flow are reported.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Variables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Define outcomes, predictors, confounders, and effect modifiers.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5–7, lines 90–147 — Outcome, 20 predictors, coding, leakage exclusions, and subgroup variables are defined; this is a prediction rather than etiologic-confounding analysis.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Data sources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Give data sources and measurement methods for variables and comparability across groups.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5–7, lines 98–147; p. 32, lines 623–626 — NSCH parent/caregiver source and outcome/predictor coding are reported, but item-level raw-code/measurement details are in Additional file 1 and cross-wave comparability is not stated item by item.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Bias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efforts to address potential bias.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7–11, lines 142–147, 176–212, and 230–240; pp. 19–20, lines 421–451 — Leakage exclusion, full survey design, nested CV, locked evaluation, cluster bootstrap, and residual biases are reported.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Study size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Explain how study size was determined.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5–6, lines 107–116 — All eligible records were used; year-specific n/events and the descriptive 1199/31 ratio are given, with explicit acknowledgement that no formal sample-size calculation was performed.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Quantitative variables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Explain how quantitative variables and groupings were handled.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6–7, lines 126–141 — Binary, ordinal-linear, dummy, ACE category/count, and alternative-coding rules are specified.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Statistical methods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12a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statistical methods, including confounding control when applicable.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8–12, lines 154–258 — Imputation, survey design, four models, nested CV, validation metrics, uncertainty, and interpretation methods are detailed; confounding control is not the aim of this prediction study.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Statistical methods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12b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subgroup and interaction methods.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11, lines 241–249 — Age, medication, alternative outcome/coding, and untreated-population analyses are prespecified; no formal age interaction test was prespecified.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Statistical methods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12c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Explain missing-data handling.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7–8, lines 148–175 — Complete-case analysis, omission rules, MICE settings, outcome-informed sensitivity, and pooling limits are explicit.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Statistical methods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12d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methods that account for the sampling strategy.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8–11, lines 176–190 and 213–240 — Full-design-before-domain survey construction, pooled weights, strata, HHID PSUs, lonely-PSU handling, weighted metrics, and cluster bootstrap are reported.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Statistical methods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12e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sensitivity analyses.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11, lines 241–249 — Imputation, coding, outcomes, age, medication, and untreated-population transportability analyses are listed.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Participants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13a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numbers at each stage of the study.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12, lines 265–272 — Source, eligible, observed-outcome, complete-case, year-specific, and event counts are reported.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Participants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13b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Give reasons for non-participation or exclusion at each stage.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5, lines 103–106; p. 12, lines 266–269 — Response rates plus missing-outcome/predictor exclusions are reported, but reasons for source-survey nonresponse or variable-level missingness are not.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Participants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13c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Consider a flow diagram.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12, lines 265–270; p. 32, lines 627–629 — Participant flow is reported and Additional file 2 contains Figure S1.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Descriptive data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14a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participant characteristics and relevant exposures/confounders.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13, lines 273–281; p. 27, lines 577–581 — Weighted demographic, socioeconomic, ADHD, medication, comorbidity, and ACE characteristics are reported; full distributions are in Additional file 1.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Descriptive data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14b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missing-data counts for each variable of interest.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6, lines 132–133; p. 12, lines 266–269; p. 32, lines 623–626 — The main text gives 115 missing outcomes and 354 with at least one missing predictor; variable-specific counts are only in Additional file 1.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Outcome data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outcome-event counts or summary measures.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6, lines 117–125; p. 12, lines 265–272 — Year-specific observed anxiety counts/events and weighted prevalence are reported.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Main results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16a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Give crude/adjusted association estimates and precision when applicable.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This is a prediction-performance study rather than an etiologic exposure-effect analysis. Model-performance estimates with 95% CIs are reported on pp. 13–15, lines 282–323.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N/A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Main results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16b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boundaries when continuous variables are categorised.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7, lines 136–141; p. 11, lines 241–244; p. 27, lines 577–581 — Age and ACE boundaries are reported, but the complete set of variable-category boundaries is located in Additional file 1.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Main results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16c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Translate relative risks to absolute risks over time when relevant.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No relative-risk effect estimate or longitudinal risk horizon is used; the target is same-wave probability (p. 5, lines 90–94).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N/A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Other analyses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subgroup, interaction, and sensitivity analyses.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15–16, lines 324–344; pp. 28–29, lines 591–597 — Imputation, coding, outcome, transportability, age, and medication results and their exploratory limits are reported.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Discussion / Key results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Summarize key findings against the objectives.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16–17, lines 355–374 — Prevalence, performance, calibration, net benefit, and comparison with the study objectives are summarized.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Discussion / Limitations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Discuss bias/imprecision, including likely direction and magnitude.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19–20, lines 421–451 — Major bias and imprecision sources are discussed; likely direction is described for several mechanisms, but their magnitude cannot be quantified from these data.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Discussion / Interpretation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Give a cautious interpretation considering objectives, limits, multiplicity, and other evidence.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16–18, lines 355–408; p. 20, lines 442–451 — Interpretation is noncausal, non-diagnostic, and multiplicity-aware, but it does not quantitatively compare results with similar prediction-model studies.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Discussion / Generalisability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Discuss external validity.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17–21, lines 367–374, 409–420, 437–451, and 452–471 — National-survey strengths, same-program limits, subgroup/transportability findings, and required external/prospective validation are discussed.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Other information / Funding</w:t>
            </w:r>
          </w:p>
        </w:tc>
        <w:tc>
          <w:tcPr>
            <w:tcW w:type="dxa" w:w="6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State funding source and funder role.</w:t>
            </w:r>
          </w:p>
        </w:tc>
        <w:tc>
          <w:tcPr>
            <w:tcW w:type="dxa" w:w="63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23, lines 505–506 — No funding was received; therefore there was no funder role.</w:t>
            </w:r>
          </w:p>
        </w:tc>
        <w:tc>
          <w:tcPr>
            <w:tcW w:type="dxa" w:w="140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</w:tbl>
    <w:p>
      <w:pPr>
        <w:spacing w:after="0"/>
      </w:pPr>
    </w:p>
    <w:sectPr>
      <w:headerReference w:type="default" r:id="rId9"/>
      <w:footerReference w:type="default" r:id="rId10"/>
      <w:pgSz w:w="15840" w:h="12240" w:orient="landscape"/>
      <w:pgMar w:top="792" w:right="720" w:bottom="720" w:left="72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libri" w:hAnsi="Calibri"/>
        <w:color w:val="5A5A5A"/>
        <w:sz w:val="16"/>
      </w:rPr>
      <w:t xml:space="preserve">CAPMH submission  |  Page </w:t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left"/>
    </w:pPr>
    <w:r>
      <w:rPr>
        <w:rFonts w:ascii="Calibri" w:hAnsi="Calibri"/>
        <w:b/>
        <w:color w:val="5A5A5A"/>
        <w:sz w:val="16"/>
      </w:rPr>
      <w:t>Additional file 4 · STROBE cross-sectional crosswalk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4. STROBE cross-sectional manuscript crosswalk</dc:title>
  <dc:subject>Completed STROBE cross-sectional reporting crosswalk for CAPMH submission</dc:subject>
  <dc:creator/>
  <cp:keywords>CAPMH; reporting checklist; manuscript crosswalk</cp:keywords>
  <dc:description>Submission-ready reporting crosswalk completed against the locked manuscript rendering.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