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CBE4" w14:textId="77777777" w:rsidR="00CD6A30" w:rsidRPr="00766987" w:rsidRDefault="00CD6A30" w:rsidP="00CD6A30">
      <w:pPr>
        <w:widowControl w:val="0"/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A0D4C0" w14:textId="77777777" w:rsidR="00CD6A30" w:rsidRPr="00766987" w:rsidRDefault="00CD6A30" w:rsidP="00CD6A30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76698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017142C" wp14:editId="006DAA70">
            <wp:extent cx="4073980" cy="2715986"/>
            <wp:effectExtent l="0" t="0" r="3175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278" cy="2741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0EAB4F" w14:textId="77777777" w:rsidR="00CD6A30" w:rsidRPr="00960639" w:rsidRDefault="00CD6A30" w:rsidP="00CD6A3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0639">
        <w:rPr>
          <w:rFonts w:ascii="Times New Roman" w:hAnsi="Times New Roman" w:cs="Times New Roman"/>
          <w:b/>
          <w:sz w:val="24"/>
          <w:szCs w:val="24"/>
        </w:rPr>
        <w:t>Graphical Abstract:</w:t>
      </w:r>
      <w:r w:rsidRPr="00960639">
        <w:rPr>
          <w:rFonts w:ascii="Times New Roman" w:hAnsi="Times New Roman" w:cs="Times New Roman"/>
          <w:sz w:val="24"/>
          <w:szCs w:val="24"/>
        </w:rPr>
        <w:t xml:space="preserve"> Lifestyle and Metabolic Risk Factors in Nonalcoholic Fatty Liver Disease</w:t>
      </w:r>
    </w:p>
    <w:p w14:paraId="62CEBC34" w14:textId="77777777" w:rsidR="00CD6A30" w:rsidRPr="00766987" w:rsidRDefault="00CD6A30" w:rsidP="00CD6A3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4B1123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0"/>
    <w:rsid w:val="000905F0"/>
    <w:rsid w:val="00112C91"/>
    <w:rsid w:val="00242B4F"/>
    <w:rsid w:val="00302F9E"/>
    <w:rsid w:val="004E23CF"/>
    <w:rsid w:val="006D5216"/>
    <w:rsid w:val="00A80498"/>
    <w:rsid w:val="00C24BAC"/>
    <w:rsid w:val="00C52040"/>
    <w:rsid w:val="00C62D14"/>
    <w:rsid w:val="00C6465A"/>
    <w:rsid w:val="00CD6A30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65E36"/>
  <w15:chartTrackingRefBased/>
  <w15:docId w15:val="{91024827-F221-49D9-9C6A-8FD96FCC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A30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A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A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A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A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A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A3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A3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A3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A3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A3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A3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A30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86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2026-09-18T13:14:00Z</dcterms:created>
  <dcterms:modified xsi:type="dcterms:W3CDTF">2026-09-18T13:15:00Z</dcterms:modified>
</cp:coreProperties>
</file>