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2CE08" w14:textId="5604143E" w:rsidR="00981CA3" w:rsidRPr="009B6E51" w:rsidRDefault="00981CA3" w:rsidP="009B6E5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B6E51">
        <w:rPr>
          <w:rFonts w:ascii="Times New Roman" w:hAnsi="Times New Roman" w:cs="Times New Roman"/>
          <w:b/>
          <w:sz w:val="28"/>
          <w:szCs w:val="24"/>
          <w:u w:val="single"/>
        </w:rPr>
        <w:t>Statement of Novelty</w:t>
      </w:r>
    </w:p>
    <w:p w14:paraId="599051DD" w14:textId="562409BF" w:rsidR="00981CA3" w:rsidRPr="00981CA3" w:rsidRDefault="00981CA3" w:rsidP="009B6E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CA3">
        <w:rPr>
          <w:rFonts w:ascii="Times New Roman" w:hAnsi="Times New Roman" w:cs="Times New Roman"/>
          <w:sz w:val="24"/>
          <w:szCs w:val="24"/>
        </w:rPr>
        <w:t>Wastewater treatment and its subsequent utilization for sustainable energy recovery are increasingly important for addressing water scarcity and the growing demand for green hydrogen. Nanoparticle-assisted and plant-based wastewater treatment approaches have already been widely investigated for environmental remediation. However, conventionally prepared nanoparticle systems may suffer from particle agglomeration, non-uniform distribution</w:t>
      </w:r>
      <w:r w:rsidR="005F4BAD">
        <w:rPr>
          <w:rFonts w:ascii="Times New Roman" w:hAnsi="Times New Roman" w:cs="Times New Roman"/>
          <w:sz w:val="24"/>
          <w:szCs w:val="24"/>
        </w:rPr>
        <w:t>,</w:t>
      </w:r>
      <w:r w:rsidRPr="00981CA3">
        <w:rPr>
          <w:rFonts w:ascii="Times New Roman" w:hAnsi="Times New Roman" w:cs="Times New Roman"/>
          <w:sz w:val="24"/>
          <w:szCs w:val="24"/>
        </w:rPr>
        <w:t xml:space="preserve"> and limited control over effective particle size during their application. Herewith, we report an integrated </w:t>
      </w:r>
      <w:proofErr w:type="spellStart"/>
      <w:r w:rsidRPr="00981CA3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 xml:space="preserve">–bio–phytochemical treatment strategy based on in-situ synthesized PAM-stabilized </w:t>
      </w:r>
      <w:proofErr w:type="spellStart"/>
      <w:r w:rsidRPr="00981CA3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CA3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 xml:space="preserve">, </w:t>
      </w:r>
      <w:r w:rsidRPr="00981CA3">
        <w:rPr>
          <w:rFonts w:ascii="Times New Roman" w:hAnsi="Times New Roman" w:cs="Times New Roman"/>
          <w:i/>
          <w:iCs/>
          <w:sz w:val="24"/>
          <w:szCs w:val="24"/>
        </w:rPr>
        <w:t xml:space="preserve">Croton </w:t>
      </w:r>
      <w:proofErr w:type="spellStart"/>
      <w:r w:rsidRPr="00981CA3">
        <w:rPr>
          <w:rFonts w:ascii="Times New Roman" w:hAnsi="Times New Roman" w:cs="Times New Roman"/>
          <w:i/>
          <w:iCs/>
          <w:sz w:val="24"/>
          <w:szCs w:val="24"/>
        </w:rPr>
        <w:t>bonplandianum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81CA3">
        <w:rPr>
          <w:rFonts w:ascii="Times New Roman" w:hAnsi="Times New Roman" w:cs="Times New Roman"/>
          <w:sz w:val="24"/>
          <w:szCs w:val="24"/>
        </w:rPr>
        <w:t>Bantulsi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>) extract</w:t>
      </w:r>
      <w:r w:rsidR="005F4BAD">
        <w:rPr>
          <w:rFonts w:ascii="Times New Roman" w:hAnsi="Times New Roman" w:cs="Times New Roman"/>
          <w:sz w:val="24"/>
          <w:szCs w:val="24"/>
        </w:rPr>
        <w:t>,</w:t>
      </w:r>
      <w:r w:rsidRPr="00981CA3">
        <w:rPr>
          <w:rFonts w:ascii="Times New Roman" w:hAnsi="Times New Roman" w:cs="Times New Roman"/>
          <w:sz w:val="24"/>
          <w:szCs w:val="24"/>
        </w:rPr>
        <w:t xml:space="preserve"> and selectively enriched microbial communities. An important novelty of the present work is use of an in-situ synthesized </w:t>
      </w:r>
      <w:proofErr w:type="spellStart"/>
      <w:r w:rsidRPr="00981CA3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981CA3">
        <w:rPr>
          <w:rFonts w:ascii="Times New Roman" w:hAnsi="Times New Roman" w:cs="Times New Roman"/>
          <w:sz w:val="24"/>
          <w:szCs w:val="24"/>
        </w:rPr>
        <w:t xml:space="preserve"> system, in which nanoparticles are generated directly within stabilizing medium. The low-dimensional and size-controlled nanoparticles also provide</w:t>
      </w:r>
      <w:r w:rsidR="005F4BAD">
        <w:rPr>
          <w:rFonts w:ascii="Times New Roman" w:hAnsi="Times New Roman" w:cs="Times New Roman"/>
          <w:sz w:val="24"/>
          <w:szCs w:val="24"/>
        </w:rPr>
        <w:t>d</w:t>
      </w:r>
      <w:r w:rsidRPr="00981CA3">
        <w:rPr>
          <w:rFonts w:ascii="Times New Roman" w:hAnsi="Times New Roman" w:cs="Times New Roman"/>
          <w:sz w:val="24"/>
          <w:szCs w:val="24"/>
        </w:rPr>
        <w:t xml:space="preserve"> a higher surface-</w:t>
      </w:r>
      <w:bookmarkStart w:id="0" w:name="_GoBack"/>
      <w:bookmarkEnd w:id="0"/>
      <w:r w:rsidRPr="00981CA3">
        <w:rPr>
          <w:rFonts w:ascii="Times New Roman" w:hAnsi="Times New Roman" w:cs="Times New Roman"/>
          <w:sz w:val="24"/>
          <w:szCs w:val="24"/>
        </w:rPr>
        <w:t>area-to-volume ratio</w:t>
      </w:r>
      <w:r w:rsidR="00046720">
        <w:rPr>
          <w:rFonts w:ascii="Times New Roman" w:hAnsi="Times New Roman" w:cs="Times New Roman"/>
          <w:sz w:val="24"/>
          <w:szCs w:val="24"/>
        </w:rPr>
        <w:t xml:space="preserve"> which </w:t>
      </w:r>
      <w:r w:rsidRPr="00981CA3">
        <w:rPr>
          <w:rFonts w:ascii="Times New Roman" w:hAnsi="Times New Roman" w:cs="Times New Roman"/>
          <w:sz w:val="24"/>
          <w:szCs w:val="24"/>
        </w:rPr>
        <w:t>improve</w:t>
      </w:r>
      <w:r w:rsidR="005F4BAD">
        <w:rPr>
          <w:rFonts w:ascii="Times New Roman" w:hAnsi="Times New Roman" w:cs="Times New Roman"/>
          <w:sz w:val="24"/>
          <w:szCs w:val="24"/>
        </w:rPr>
        <w:t>d</w:t>
      </w:r>
      <w:r w:rsidRPr="00981CA3">
        <w:rPr>
          <w:rFonts w:ascii="Times New Roman" w:hAnsi="Times New Roman" w:cs="Times New Roman"/>
          <w:sz w:val="24"/>
          <w:szCs w:val="24"/>
        </w:rPr>
        <w:t xml:space="preserve"> accessibility of active sites and more uniform distribution throughout fluid medium. </w:t>
      </w:r>
    </w:p>
    <w:p w14:paraId="68A55062" w14:textId="77777777" w:rsidR="002A12F2" w:rsidRDefault="002A12F2"/>
    <w:sectPr w:rsidR="002A1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CA3"/>
    <w:rsid w:val="00046720"/>
    <w:rsid w:val="002A12F2"/>
    <w:rsid w:val="003435F2"/>
    <w:rsid w:val="005F4BAD"/>
    <w:rsid w:val="00981CA3"/>
    <w:rsid w:val="009B6E51"/>
    <w:rsid w:val="00D0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821D3"/>
  <w15:chartTrackingRefBased/>
  <w15:docId w15:val="{62ACE818-B11A-4629-9F3F-53672FD9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CA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CA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C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C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CA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CA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CA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C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C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CA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C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CA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CA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RUDRAKSH SRIVASTAVA</dc:creator>
  <cp:keywords/>
  <dc:description/>
  <cp:lastModifiedBy>rgipt</cp:lastModifiedBy>
  <cp:revision>4</cp:revision>
  <dcterms:created xsi:type="dcterms:W3CDTF">2026-08-27T14:04:00Z</dcterms:created>
  <dcterms:modified xsi:type="dcterms:W3CDTF">2026-08-27T14:17:00Z</dcterms:modified>
</cp:coreProperties>
</file>