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58464">
      <w:pPr>
        <w:pStyle w:val="6"/>
        <w:keepNext w:val="0"/>
        <w:keepLines w:val="0"/>
        <w:pageBreakBefore w:val="0"/>
        <w:widowControl/>
        <w:kinsoku/>
        <w:wordWrap/>
        <w:overflowPunct/>
        <w:topLinePunct w:val="0"/>
        <w:autoSpaceDE/>
        <w:autoSpaceDN/>
        <w:bidi w:val="0"/>
        <w:spacing w:before="240"/>
        <w:ind w:left="0"/>
        <w:jc w:val="center"/>
        <w:outlineLvl w:val="2"/>
        <w:rPr>
          <w:rFonts w:hint="default" w:ascii="Palatino Linotype" w:hAnsi="Palatino Linotype" w:eastAsia="宋体" w:cs="Palatino Linotype"/>
          <w:b/>
          <w:bCs/>
          <w:i w:val="0"/>
          <w:snapToGrid w:val="0"/>
          <w:color w:val="000000"/>
          <w:szCs w:val="22"/>
          <w:lang w:val="en-US" w:eastAsia="zh-CN" w:bidi="en-US"/>
        </w:rPr>
      </w:pPr>
      <w:r>
        <w:rPr>
          <w:rFonts w:hint="default" w:ascii="Palatino Linotype" w:hAnsi="Palatino Linotype" w:eastAsia="宋体" w:cs="Palatino Linotype"/>
          <w:b/>
          <w:bCs/>
          <w:i w:val="0"/>
          <w:snapToGrid w:val="0"/>
          <w:color w:val="000000"/>
          <w:szCs w:val="22"/>
          <w:lang w:val="en-US" w:eastAsia="zh-CN" w:bidi="en-US"/>
        </w:rPr>
        <w:t>Mediation analysis and heterogeneity analysis</w:t>
      </w:r>
    </w:p>
    <w:p w14:paraId="0AE8A42E">
      <w:pPr>
        <w:pStyle w:val="6"/>
        <w:keepNext w:val="0"/>
        <w:keepLines w:val="0"/>
        <w:pageBreakBefore w:val="0"/>
        <w:widowControl/>
        <w:kinsoku/>
        <w:wordWrap/>
        <w:overflowPunct/>
        <w:topLinePunct w:val="0"/>
        <w:autoSpaceDE/>
        <w:autoSpaceDN/>
        <w:bidi w:val="0"/>
        <w:spacing w:before="240"/>
        <w:ind w:left="0"/>
        <w:outlineLvl w:val="2"/>
        <w:rPr>
          <w:rFonts w:hint="default" w:ascii="Palatino Linotype" w:hAnsi="Palatino Linotype" w:cs="Palatino Linotype"/>
        </w:rPr>
      </w:pPr>
      <w:r>
        <w:rPr>
          <w:rFonts w:hint="default" w:ascii="Palatino Linotype" w:hAnsi="Palatino Linotype" w:eastAsia="宋体" w:cs="Palatino Linotype"/>
          <w:i w:val="0"/>
          <w:snapToGrid w:val="0"/>
          <w:color w:val="000000"/>
          <w:szCs w:val="22"/>
          <w:lang w:val="en-US" w:eastAsia="zh-CN" w:bidi="en-US"/>
        </w:rPr>
        <w:t>3.3.1. Mediation Effect</w:t>
      </w:r>
    </w:p>
    <w:p w14:paraId="2443A0CF">
      <w:pPr>
        <w:pStyle w:val="5"/>
        <w:keepNext w:val="0"/>
        <w:keepLines w:val="0"/>
        <w:pageBreakBefore w:val="0"/>
        <w:widowControl/>
        <w:kinsoku/>
        <w:wordWrap/>
        <w:overflowPunct/>
        <w:topLinePunct w:val="0"/>
        <w:autoSpaceDE/>
        <w:autoSpaceDN/>
        <w:bidi w:val="0"/>
        <w:ind w:left="0"/>
        <w:rPr>
          <w:rFonts w:hint="default"/>
          <w:lang w:val="en-US" w:eastAsia="zh-CN"/>
        </w:rPr>
      </w:pPr>
      <w:r>
        <w:rPr>
          <w:rFonts w:hint="default" w:ascii="Palatino Linotype" w:hAnsi="Palatino Linotype" w:cs="Palatino Linotype"/>
        </w:rPr>
        <w:t xml:space="preserve">We further perform Sobel tests and bootstrap tests to corroborate the mediation effect of agricultural labor productivity. Table </w:t>
      </w:r>
      <w:r>
        <w:rPr>
          <w:rFonts w:hint="default" w:ascii="Palatino Linotype" w:hAnsi="Palatino Linotype" w:eastAsia="宋体" w:cs="Palatino Linotype"/>
          <w:lang w:val="en-US" w:eastAsia="zh-CN"/>
        </w:rPr>
        <w:t>8</w:t>
      </w:r>
      <w:r>
        <w:rPr>
          <w:rFonts w:hint="default" w:ascii="Palatino Linotype" w:hAnsi="Palatino Linotype" w:cs="Palatino Linotype"/>
        </w:rPr>
        <w:t xml:space="preserve"> presents the estimation results. For the pathway linking extreme weather to agricultural labor input, the indirect effect of labor productivity is statistically significant at the 1% level with a negative sign, and the mediation effect accounts for 31.15% of the total effect. This confirms a partial mediation channel: extreme weather reduces agricultural production efficiency, which in turn drives grain farmers to cut agricultural labor input. For the pathway to non-agricultural labor input, the indirect effect is also significant at the 1% level with a positive sign, and the mediation effect accounts for 22.47% of the total effect. This likewise supports a partial mediation effect: reduced agricultural productivity induced by extreme weather pushes farmers to reallocate labor toward non-agricultural activities.</w:t>
      </w:r>
    </w:p>
    <w:p w14:paraId="59241EB8">
      <w:pPr>
        <w:pStyle w:val="6"/>
        <w:keepNext w:val="0"/>
        <w:keepLines w:val="0"/>
        <w:pageBreakBefore w:val="0"/>
        <w:widowControl/>
        <w:kinsoku/>
        <w:wordWrap/>
        <w:overflowPunct/>
        <w:topLinePunct w:val="0"/>
        <w:autoSpaceDE/>
        <w:autoSpaceDN/>
        <w:bidi w:val="0"/>
        <w:spacing w:before="240"/>
        <w:ind w:left="0"/>
        <w:rPr>
          <w:rFonts w:hint="default" w:ascii="Palatino Linotype" w:hAnsi="Palatino Linotype" w:cs="Palatino Linotype"/>
        </w:rPr>
      </w:pPr>
      <w:r>
        <w:rPr>
          <w:rFonts w:hint="default" w:ascii="Palatino Linotype" w:hAnsi="Palatino Linotype" w:eastAsia="宋体" w:cs="Palatino Linotype"/>
          <w:lang w:val="en-US" w:eastAsia="zh-CN"/>
        </w:rPr>
        <w:t>3.4 Further Analysis: Heterogeneity Estimation</w:t>
      </w:r>
    </w:p>
    <w:p w14:paraId="0BE1DA72">
      <w:pPr>
        <w:pStyle w:val="6"/>
        <w:keepNext w:val="0"/>
        <w:keepLines w:val="0"/>
        <w:pageBreakBefore w:val="0"/>
        <w:widowControl/>
        <w:kinsoku/>
        <w:wordWrap/>
        <w:overflowPunct/>
        <w:topLinePunct w:val="0"/>
        <w:autoSpaceDE/>
        <w:autoSpaceDN/>
        <w:bidi w:val="0"/>
        <w:spacing w:before="240"/>
        <w:ind w:left="0"/>
        <w:outlineLvl w:val="2"/>
        <w:rPr>
          <w:rFonts w:hint="default" w:ascii="Palatino Linotype" w:hAnsi="Palatino Linotype" w:cs="Palatino Linotype"/>
        </w:rPr>
      </w:pPr>
      <w:r>
        <w:rPr>
          <w:rFonts w:hint="default" w:ascii="Palatino Linotype" w:hAnsi="Palatino Linotype" w:eastAsia="宋体" w:cs="Palatino Linotype"/>
          <w:i w:val="0"/>
          <w:snapToGrid w:val="0"/>
          <w:color w:val="000000"/>
          <w:szCs w:val="22"/>
          <w:lang w:val="en-US" w:eastAsia="zh-CN" w:bidi="en-US"/>
        </w:rPr>
        <w:t>3.4.1 Gender Heterogeneity</w:t>
      </w:r>
    </w:p>
    <w:p w14:paraId="560C6DAB">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 xml:space="preserve">We first estimate the heterogeneous effects of extreme weather on grain farmers’ labor input decisions by the gender of the household head. Table </w:t>
      </w:r>
      <w:r>
        <w:rPr>
          <w:rFonts w:hint="default" w:ascii="Palatino Linotype" w:hAnsi="Palatino Linotype" w:eastAsia="宋体" w:cs="Palatino Linotype"/>
          <w:lang w:val="en-US" w:eastAsia="zh-CN"/>
        </w:rPr>
        <w:t>11</w:t>
      </w:r>
      <w:r>
        <w:rPr>
          <w:rFonts w:hint="default" w:ascii="Palatino Linotype" w:hAnsi="Palatino Linotype" w:cs="Palatino Linotype"/>
        </w:rPr>
        <w:t xml:space="preserve"> presents the estimation results, which can be summarized as follows.</w:t>
      </w:r>
    </w:p>
    <w:p w14:paraId="68597B89">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Extreme weather consistently discourages agricultural labor input and incentivizes labor reallocation toward off-farm employment across both groups. Regarding agricultural labor responses, gender differences are relatively modest. Between-group difference tests further confirm that the adjustment of agricultural labor input in response to extreme weather shocks does not differ significantly between male- and female-headed households.</w:t>
      </w:r>
    </w:p>
    <w:p w14:paraId="11130F66">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However, extreme weather exerts a more pronounced push effect on off-farm labor input in female-headed households than in male-headed ones. The between-group difference test yields a p-value of 0.00, statistically significant at the 1% level, indicating a substantial divergence in off-farm labor adjustment between the two groups under weather shocks.</w:t>
      </w:r>
    </w:p>
    <w:p w14:paraId="3FE1B26D">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A plausible explanation is that female-headed households typically have weaker agricultural resource endowments, characterized by smaller cultivated acreage and lower soil fertility, which limit their capacity to withstand drought and flood shocks. Faced with plummeting crop yields and shrinking marginal returns from farming caused by extreme weather, female-headed households are compelled to rapidly reallocate labor to the non-agricultural sector to sustain household livelihoods.</w:t>
      </w:r>
    </w:p>
    <w:p w14:paraId="0B70F1CE">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In contrast, male-headed households benefit from better credit access and stronger community mutual support networks, alongside higher asset specificity and larger sunk costs in agricultural production. They are therefore more likely to adopt adaptation strategies that enhance agricultural risk resilience, such as substituting machinery for labor. Furthermore, with a more solid foundation in agricultural operation, male-headed households exhibit greater risk resistance to extreme weather shocks. The livelihood constraints imposed by weather disturbances are relatively milder for this group, which reduces the urgency to expand off-farm labor supply.</w:t>
      </w:r>
    </w:p>
    <w:p w14:paraId="757EDA6F">
      <w:pPr>
        <w:pStyle w:val="6"/>
        <w:keepNext w:val="0"/>
        <w:keepLines w:val="0"/>
        <w:pageBreakBefore w:val="0"/>
        <w:widowControl/>
        <w:kinsoku/>
        <w:wordWrap/>
        <w:overflowPunct/>
        <w:topLinePunct w:val="0"/>
        <w:autoSpaceDE/>
        <w:autoSpaceDN/>
        <w:bidi w:val="0"/>
        <w:spacing w:before="240"/>
        <w:ind w:left="0"/>
        <w:outlineLvl w:val="2"/>
        <w:rPr>
          <w:rFonts w:hint="default" w:ascii="Palatino Linotype" w:hAnsi="Palatino Linotype" w:cs="Palatino Linotype"/>
        </w:rPr>
      </w:pPr>
      <w:r>
        <w:rPr>
          <w:rFonts w:hint="default" w:ascii="Palatino Linotype" w:hAnsi="Palatino Linotype" w:eastAsia="宋体" w:cs="Palatino Linotype"/>
          <w:i w:val="0"/>
          <w:snapToGrid w:val="0"/>
          <w:color w:val="000000"/>
          <w:szCs w:val="22"/>
          <w:lang w:val="en-US" w:eastAsia="zh-CN" w:bidi="en-US"/>
        </w:rPr>
        <w:t>3.4.2 Income Heterogeneity</w:t>
      </w:r>
    </w:p>
    <w:p w14:paraId="2DA04384">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 xml:space="preserve">We next examine heterogeneous effects across household income levels. Table </w:t>
      </w:r>
      <w:r>
        <w:rPr>
          <w:rFonts w:hint="default" w:ascii="Palatino Linotype" w:hAnsi="Palatino Linotype" w:eastAsia="宋体" w:cs="Palatino Linotype"/>
          <w:lang w:val="en-US" w:eastAsia="zh-CN"/>
        </w:rPr>
        <w:t>12</w:t>
      </w:r>
      <w:r>
        <w:rPr>
          <w:rFonts w:hint="default" w:ascii="Palatino Linotype" w:hAnsi="Palatino Linotype" w:cs="Palatino Linotype"/>
        </w:rPr>
        <w:t xml:space="preserve"> reports the estimation results for income heterogeneity, with key findings summarized below.</w:t>
      </w:r>
    </w:p>
    <w:p w14:paraId="59CB9E50">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Across all income groups, extreme weather reduces agricultural labor input and stimulates off-farm labor allocation. Nevertheless, both the dampening effect on agricultural labor and the driving effect on off-farm labor are more pronounced among low-income farmers compared with their high-income counterparts. The between-group difference test returns a p-value of 0.00, significant at the 1% level, confirming that low- and high-income farmers respond significantly differently to extreme weather shocks in terms of labor allocation decisions.</w:t>
      </w:r>
    </w:p>
    <w:p w14:paraId="13AE6E84">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This disparity can be attributed to the fact that low-income farmers typically face tighter credit and insurance constraints, resulting in more fragile livelihood strategies. When hit by extreme weather, low-income households tend to immediately reduce agricultural labor input and seek stable wage income from off-farm employment to smooth consumption and mitigate risks. High-income farmers, by contrast, have accumulated capital, better access to production technologies and stronger capacity for risk diversification, making their labor allocation decisions less sensitive to extreme weather disturbances.</w:t>
      </w:r>
    </w:p>
    <w:p w14:paraId="2D13437A">
      <w:pPr>
        <w:pStyle w:val="6"/>
        <w:keepNext w:val="0"/>
        <w:keepLines w:val="0"/>
        <w:pageBreakBefore w:val="0"/>
        <w:widowControl/>
        <w:kinsoku/>
        <w:wordWrap/>
        <w:overflowPunct/>
        <w:topLinePunct w:val="0"/>
        <w:autoSpaceDE/>
        <w:autoSpaceDN/>
        <w:bidi w:val="0"/>
        <w:spacing w:before="240"/>
        <w:ind w:left="0"/>
        <w:outlineLvl w:val="2"/>
        <w:rPr>
          <w:rFonts w:hint="default" w:ascii="Palatino Linotype" w:hAnsi="Palatino Linotype" w:cs="Palatino Linotype"/>
        </w:rPr>
      </w:pPr>
      <w:r>
        <w:rPr>
          <w:rFonts w:hint="default" w:ascii="Palatino Linotype" w:hAnsi="Palatino Linotype" w:eastAsia="宋体" w:cs="Palatino Linotype"/>
          <w:i w:val="0"/>
          <w:snapToGrid w:val="0"/>
          <w:color w:val="000000"/>
          <w:szCs w:val="22"/>
          <w:lang w:val="en-US" w:eastAsia="zh-CN" w:bidi="en-US"/>
        </w:rPr>
        <w:t>3.4.3 Regional Heterogeneity</w:t>
      </w:r>
    </w:p>
    <w:p w14:paraId="7021CB84">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 xml:space="preserve">We further explore spatial heterogeneity by distinguishing between remote rural areas and suburban rural areas. Table </w:t>
      </w:r>
      <w:r>
        <w:rPr>
          <w:rFonts w:hint="default" w:ascii="Palatino Linotype" w:hAnsi="Palatino Linotype" w:eastAsia="宋体" w:cs="Palatino Linotype"/>
          <w:lang w:val="en-US" w:eastAsia="zh-CN"/>
        </w:rPr>
        <w:t>13</w:t>
      </w:r>
      <w:r>
        <w:rPr>
          <w:rFonts w:hint="default" w:ascii="Palatino Linotype" w:hAnsi="Palatino Linotype" w:cs="Palatino Linotype"/>
        </w:rPr>
        <w:t xml:space="preserve"> presents the estimation results, which reveal substantial regional disparities.</w:t>
      </w:r>
    </w:p>
    <w:p w14:paraId="38BD71F6">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Extreme weather shocks significantly reduce agricultural labor input and promote off-farm employment among farmers in remote rural areas. In contrast, the effects of extreme weather on labor allocation decisions of farmers in suburban villages are statistically insignificant. Between-group difference tests confirm a statistically significant gap in off-farm labor adjustment between remote and suburban rural households under extreme weather shocks.</w:t>
      </w:r>
    </w:p>
    <w:p w14:paraId="32869D90">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The underlying mechanism lies in disparities in agricultural infrastructure and market access. Remote rural areas have relatively underdeveloped agricultural infrastructure, and their farming systems rely heavily on natural precipitation and accumulated temperature. The imbalance of water and thermal resources induced by extreme weather severely disrupts crop growing conditions, leading to declining grain yields and dampened income expectations. Farmers in these areas accordingly reduce agricultural labor input and turn to off-farm employment to stabilize household livelihoods.</w:t>
      </w:r>
    </w:p>
    <w:p w14:paraId="78CCC3E6">
      <w:pPr>
        <w:pStyle w:val="5"/>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rPr>
        <w:t>Suburban rural areas, by contrast, benefit from the spillover effects of urban economic agglomeration, where part-time farming and off-farm employment are already prevalent. Moreover, agricultural production in suburban areas is dominated by protected and facility-based farming, which substantially limits yield losses caused by extreme weather events.</w:t>
      </w:r>
    </w:p>
    <w:p w14:paraId="617018E8">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8D7C3D"/>
    <w:rsid w:val="038D7C3D"/>
    <w:rsid w:val="3BBF1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 w:type="paragraph" w:customStyle="1" w:styleId="5">
    <w:name w:val="MDPI_3.1_tex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6">
    <w:name w:val="MDPI_2.2_heading2"/>
    <w:qFormat/>
    <w:uiPriority w:val="0"/>
    <w:pPr>
      <w:adjustRightInd w:val="0"/>
      <w:snapToGrid w:val="0"/>
      <w:spacing w:before="60" w:after="60" w:line="280" w:lineRule="atLeast"/>
      <w:ind w:left="2608"/>
      <w:outlineLvl w:val="1"/>
    </w:pPr>
    <w:rPr>
      <w:rFonts w:ascii="Palatino Linotype" w:hAnsi="Palatino Linotype" w:eastAsia="Times New Roman" w:cs="Times New Roman"/>
      <w:i/>
      <w:snapToGrid w:val="0"/>
      <w:color w:val="000000"/>
      <w:szCs w:val="22"/>
      <w:lang w:val="en-US" w:eastAsia="de-DE"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831</Words>
  <Characters>5396</Characters>
  <Lines>0</Lines>
  <Paragraphs>0</Paragraphs>
  <TotalTime>0</TotalTime>
  <ScaleCrop>false</ScaleCrop>
  <LinksUpToDate>false</LinksUpToDate>
  <CharactersWithSpaces>6208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2026-09-08T01:28:00Z</dcterms:created>
  <dc:creator>YS</dc:creator>
  <cp:lastModifiedBy>YS</cp:lastModifiedBy>
  <dcterms:modified xsi:type="dcterms:W3CDTF">2026-09-08T01:39:54Z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146C512F7A00444FB3E53F0EEA9FAEDF_11</vt:lpwstr>
  </property>
  <property fmtid="{D5CDD505-2E9C-101B-9397-08002B2CF9AE}" pid="4" name="KSOTemplateDocerSaveRecord">
    <vt:lpwstr>eyJoZGlkIjoiNTA1ZWYwZGU0YjliZmExNzYyNTNiYzRhZWMxODkzYWQiLCJ1c2VySWQiOiI0ODUxOTYwMjEifQ==</vt:lpwstr>
  </property>
</Properties>
</file>