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BCA92" w14:textId="77777777" w:rsidR="005F1A75" w:rsidRPr="0007573C" w:rsidRDefault="00000000">
      <w:pPr>
        <w:pStyle w:val="1"/>
        <w:rPr>
          <w:rFonts w:ascii="Times New Roman" w:hAnsi="Times New Roman" w:cs="Times New Roman"/>
          <w:color w:val="auto"/>
        </w:rPr>
      </w:pPr>
      <w:bookmarkStart w:id="0" w:name="Xb3538931a9384077e91b88aeb3fdad1839f8f82"/>
      <w:r w:rsidRPr="0007573C">
        <w:rPr>
          <w:rFonts w:ascii="Times New Roman" w:hAnsi="Times New Roman" w:cs="Times New Roman"/>
          <w:color w:val="auto"/>
        </w:rPr>
        <w:t>Additional file 2. STROBE Statement — checklist of items for reports of cohort studies</w:t>
      </w:r>
    </w:p>
    <w:p w14:paraId="6AF73B39" w14:textId="77777777" w:rsidR="005F1A75" w:rsidRPr="0007573C" w:rsidRDefault="00000000">
      <w:pPr>
        <w:pStyle w:val="FirstParagraph"/>
        <w:rPr>
          <w:rFonts w:ascii="Times New Roman" w:hAnsi="Times New Roman" w:cs="Times New Roman"/>
        </w:rPr>
      </w:pPr>
      <w:r w:rsidRPr="0007573C">
        <w:rPr>
          <w:rFonts w:ascii="Times New Roman" w:hAnsi="Times New Roman" w:cs="Times New Roman"/>
        </w:rPr>
        <w:t>Manuscript: “Who is offered a trial of labour after caesarean, and what the offer misses: a retrospective cohort study of 1020 women in central Kazakhstan”</w:t>
      </w:r>
    </w:p>
    <w:p w14:paraId="29A7E109" w14:textId="77777777" w:rsidR="005F1A75" w:rsidRPr="0007573C" w:rsidRDefault="00000000">
      <w:pPr>
        <w:pStyle w:val="a0"/>
        <w:rPr>
          <w:rFonts w:ascii="Times New Roman" w:hAnsi="Times New Roman" w:cs="Times New Roman"/>
        </w:rPr>
      </w:pPr>
      <w:r w:rsidRPr="0007573C">
        <w:rPr>
          <w:rFonts w:ascii="Times New Roman" w:hAnsi="Times New Roman" w:cs="Times New Roman"/>
        </w:rPr>
        <w:t>Page numbers refer to the submitted manuscript file (BMC_manuscript_integrated.docx, 23 pages).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576"/>
        <w:gridCol w:w="3655"/>
        <w:gridCol w:w="4871"/>
        <w:gridCol w:w="803"/>
      </w:tblGrid>
      <w:tr w:rsidR="005F1A75" w:rsidRPr="0007573C" w14:paraId="70C58024" w14:textId="77777777" w:rsidTr="005F1A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870DC5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0" w:type="auto"/>
          </w:tcPr>
          <w:p w14:paraId="0CC155F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0" w:type="auto"/>
          </w:tcPr>
          <w:p w14:paraId="700C8BB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Where addressed</w:t>
            </w:r>
          </w:p>
        </w:tc>
        <w:tc>
          <w:tcPr>
            <w:tcW w:w="0" w:type="auto"/>
          </w:tcPr>
          <w:p w14:paraId="2C59169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Page</w:t>
            </w:r>
          </w:p>
        </w:tc>
      </w:tr>
      <w:tr w:rsidR="005F1A75" w:rsidRPr="0007573C" w14:paraId="29F60C40" w14:textId="77777777">
        <w:tc>
          <w:tcPr>
            <w:tcW w:w="0" w:type="auto"/>
          </w:tcPr>
          <w:p w14:paraId="63D1CFA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1a</w:t>
            </w:r>
          </w:p>
        </w:tc>
        <w:tc>
          <w:tcPr>
            <w:tcW w:w="0" w:type="auto"/>
          </w:tcPr>
          <w:p w14:paraId="0317125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Study design in title or abstract</w:t>
            </w:r>
          </w:p>
        </w:tc>
        <w:tc>
          <w:tcPr>
            <w:tcW w:w="0" w:type="auto"/>
          </w:tcPr>
          <w:p w14:paraId="2727EFBF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Title states “a retrospective cohort study”</w:t>
            </w:r>
          </w:p>
        </w:tc>
        <w:tc>
          <w:tcPr>
            <w:tcW w:w="0" w:type="auto"/>
          </w:tcPr>
          <w:p w14:paraId="42253F31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</w:t>
            </w:r>
          </w:p>
        </w:tc>
      </w:tr>
      <w:tr w:rsidR="005F1A75" w:rsidRPr="0007573C" w14:paraId="6C103B4F" w14:textId="77777777">
        <w:tc>
          <w:tcPr>
            <w:tcW w:w="0" w:type="auto"/>
          </w:tcPr>
          <w:p w14:paraId="5F40B7B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0" w:type="auto"/>
          </w:tcPr>
          <w:p w14:paraId="50D581E2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Informative and balanced abstract</w:t>
            </w:r>
          </w:p>
        </w:tc>
        <w:tc>
          <w:tcPr>
            <w:tcW w:w="0" w:type="auto"/>
          </w:tcPr>
          <w:p w14:paraId="29E4AC1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Structured abstract: Background, Methods, Results, Conclusions</w:t>
            </w:r>
          </w:p>
        </w:tc>
        <w:tc>
          <w:tcPr>
            <w:tcW w:w="0" w:type="auto"/>
          </w:tcPr>
          <w:p w14:paraId="44AAEB43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1–2</w:t>
            </w:r>
          </w:p>
        </w:tc>
      </w:tr>
      <w:tr w:rsidR="005F1A75" w:rsidRPr="0007573C" w14:paraId="025ECD9F" w14:textId="77777777">
        <w:tc>
          <w:tcPr>
            <w:tcW w:w="0" w:type="auto"/>
          </w:tcPr>
          <w:p w14:paraId="45C03AF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AA2D38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Background and rationale</w:t>
            </w:r>
          </w:p>
        </w:tc>
        <w:tc>
          <w:tcPr>
            <w:tcW w:w="0" w:type="auto"/>
          </w:tcPr>
          <w:p w14:paraId="539A761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Background, paragraphs 1–4</w:t>
            </w:r>
          </w:p>
        </w:tc>
        <w:tc>
          <w:tcPr>
            <w:tcW w:w="0" w:type="auto"/>
          </w:tcPr>
          <w:p w14:paraId="67B0BD6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2–3</w:t>
            </w:r>
          </w:p>
        </w:tc>
      </w:tr>
      <w:tr w:rsidR="005F1A75" w:rsidRPr="0007573C" w14:paraId="1959720A" w14:textId="77777777">
        <w:tc>
          <w:tcPr>
            <w:tcW w:w="0" w:type="auto"/>
          </w:tcPr>
          <w:p w14:paraId="0A02FEE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FF9382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Objectives and pre-specified hypotheses</w:t>
            </w:r>
          </w:p>
        </w:tc>
        <w:tc>
          <w:tcPr>
            <w:tcW w:w="0" w:type="auto"/>
          </w:tcPr>
          <w:p w14:paraId="06EC6AB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Background, final paragraph: three stated questions</w:t>
            </w:r>
          </w:p>
        </w:tc>
        <w:tc>
          <w:tcPr>
            <w:tcW w:w="0" w:type="auto"/>
          </w:tcPr>
          <w:p w14:paraId="36C75D77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76C1B775" w14:textId="77777777">
        <w:tc>
          <w:tcPr>
            <w:tcW w:w="0" w:type="auto"/>
          </w:tcPr>
          <w:p w14:paraId="1778B6A9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D0440BF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Study design</w:t>
            </w:r>
          </w:p>
        </w:tc>
        <w:tc>
          <w:tcPr>
            <w:tcW w:w="0" w:type="auto"/>
          </w:tcPr>
          <w:p w14:paraId="7734A092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“Design and setting”</w:t>
            </w:r>
          </w:p>
        </w:tc>
        <w:tc>
          <w:tcPr>
            <w:tcW w:w="0" w:type="auto"/>
          </w:tcPr>
          <w:p w14:paraId="3901024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20651896" w14:textId="77777777">
        <w:tc>
          <w:tcPr>
            <w:tcW w:w="0" w:type="auto"/>
          </w:tcPr>
          <w:p w14:paraId="00A7F6E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6B77E8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Setting, locations, dates of recruitment, exposure and follow-up</w:t>
            </w:r>
          </w:p>
        </w:tc>
        <w:tc>
          <w:tcPr>
            <w:tcW w:w="0" w:type="auto"/>
          </w:tcPr>
          <w:p w14:paraId="087E5BB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“Design and setting”: Karaganda region, 1 January 2017 to 31 December 2022</w:t>
            </w:r>
          </w:p>
        </w:tc>
        <w:tc>
          <w:tcPr>
            <w:tcW w:w="0" w:type="auto"/>
          </w:tcPr>
          <w:p w14:paraId="72902EE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2218B5C3" w14:textId="77777777">
        <w:tc>
          <w:tcPr>
            <w:tcW w:w="0" w:type="auto"/>
          </w:tcPr>
          <w:p w14:paraId="616CE7E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0" w:type="auto"/>
          </w:tcPr>
          <w:p w14:paraId="2A09E96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Eligibility criteria, sources and methods of selection</w:t>
            </w:r>
          </w:p>
        </w:tc>
        <w:tc>
          <w:tcPr>
            <w:tcW w:w="0" w:type="auto"/>
          </w:tcPr>
          <w:p w14:paraId="594BF5C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“Participants”</w:t>
            </w:r>
          </w:p>
        </w:tc>
        <w:tc>
          <w:tcPr>
            <w:tcW w:w="0" w:type="auto"/>
          </w:tcPr>
          <w:p w14:paraId="521F9EB7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20D0A322" w14:textId="77777777">
        <w:tc>
          <w:tcPr>
            <w:tcW w:w="0" w:type="auto"/>
          </w:tcPr>
          <w:p w14:paraId="2901C72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6b</w:t>
            </w:r>
          </w:p>
        </w:tc>
        <w:tc>
          <w:tcPr>
            <w:tcW w:w="0" w:type="auto"/>
          </w:tcPr>
          <w:p w14:paraId="4442817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Matching criteria and number exposed and unexposed</w:t>
            </w:r>
          </w:p>
        </w:tc>
        <w:tc>
          <w:tcPr>
            <w:tcW w:w="0" w:type="auto"/>
          </w:tcPr>
          <w:p w14:paraId="466E22C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Not applicable; unmatched cohort. Group sizes in Results and Fig. 1</w:t>
            </w:r>
          </w:p>
        </w:tc>
        <w:tc>
          <w:tcPr>
            <w:tcW w:w="0" w:type="auto"/>
          </w:tcPr>
          <w:p w14:paraId="0A37FC2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6</w:t>
            </w:r>
          </w:p>
        </w:tc>
      </w:tr>
      <w:tr w:rsidR="005F1A75" w:rsidRPr="0007573C" w14:paraId="5AD950E5" w14:textId="77777777">
        <w:tc>
          <w:tcPr>
            <w:tcW w:w="0" w:type="auto"/>
          </w:tcPr>
          <w:p w14:paraId="7F0F0FB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7FDABA71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Outcomes, exposures, predictors, confounders, effect modifiers</w:t>
            </w:r>
          </w:p>
        </w:tc>
        <w:tc>
          <w:tcPr>
            <w:tcW w:w="0" w:type="auto"/>
          </w:tcPr>
          <w:p w14:paraId="052F6EA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“Exposure and outcomes” and “Separating determinants of the offer from consequences of it”</w:t>
            </w:r>
          </w:p>
        </w:tc>
        <w:tc>
          <w:tcPr>
            <w:tcW w:w="0" w:type="auto"/>
          </w:tcPr>
          <w:p w14:paraId="07B58C7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3–4</w:t>
            </w:r>
          </w:p>
        </w:tc>
      </w:tr>
      <w:tr w:rsidR="005F1A75" w:rsidRPr="0007573C" w14:paraId="3D20F1D5" w14:textId="77777777">
        <w:tc>
          <w:tcPr>
            <w:tcW w:w="0" w:type="auto"/>
          </w:tcPr>
          <w:p w14:paraId="5E014179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7139A87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Sources of data and details of measurement</w:t>
            </w:r>
          </w:p>
        </w:tc>
        <w:tc>
          <w:tcPr>
            <w:tcW w:w="0" w:type="auto"/>
          </w:tcPr>
          <w:p w14:paraId="4C0060C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“Exposure and outcomes”: routine perinatal records; intended mode of birth from the antenatal plan</w:t>
            </w:r>
          </w:p>
        </w:tc>
        <w:tc>
          <w:tcPr>
            <w:tcW w:w="0" w:type="auto"/>
          </w:tcPr>
          <w:p w14:paraId="458C9445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6E0858C5" w14:textId="77777777">
        <w:tc>
          <w:tcPr>
            <w:tcW w:w="0" w:type="auto"/>
          </w:tcPr>
          <w:p w14:paraId="33EA5F42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41552983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Efforts to address potential sources of bias</w:t>
            </w:r>
          </w:p>
        </w:tc>
        <w:tc>
          <w:tcPr>
            <w:tcW w:w="0" w:type="auto"/>
          </w:tcPr>
          <w:p w14:paraId="7B266BD1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Methods: exclusion of post-decision variables (p 3–4); δ sensitivity analysis (p 5); E-values (p 5)</w:t>
            </w:r>
          </w:p>
        </w:tc>
        <w:tc>
          <w:tcPr>
            <w:tcW w:w="0" w:type="auto"/>
          </w:tcPr>
          <w:p w14:paraId="0C0319F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3–5</w:t>
            </w:r>
          </w:p>
        </w:tc>
      </w:tr>
      <w:tr w:rsidR="005F1A75" w:rsidRPr="0007573C" w14:paraId="49919AB3" w14:textId="77777777">
        <w:tc>
          <w:tcPr>
            <w:tcW w:w="0" w:type="auto"/>
          </w:tcPr>
          <w:p w14:paraId="51426C4F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7C41FE85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Study size</w:t>
            </w:r>
          </w:p>
        </w:tc>
        <w:tc>
          <w:tcPr>
            <w:tcW w:w="0" w:type="auto"/>
          </w:tcPr>
          <w:p w14:paraId="0ACE1CC5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Full eligible cohort, n = 1020; no sampling. Methods, “Participants”</w:t>
            </w:r>
          </w:p>
        </w:tc>
        <w:tc>
          <w:tcPr>
            <w:tcW w:w="0" w:type="auto"/>
          </w:tcPr>
          <w:p w14:paraId="20326D23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724FE700" w14:textId="77777777">
        <w:tc>
          <w:tcPr>
            <w:tcW w:w="0" w:type="auto"/>
          </w:tcPr>
          <w:p w14:paraId="71E8ADB3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14:paraId="065CA2B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Handling of quantitative variables and groupings</w:t>
            </w:r>
          </w:p>
        </w:tc>
        <w:tc>
          <w:tcPr>
            <w:tcW w:w="0" w:type="auto"/>
          </w:tcPr>
          <w:p w14:paraId="2ADB158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“Antenatal favourability strata”; thresholds pre-specified from guidelines</w:t>
            </w:r>
          </w:p>
        </w:tc>
        <w:tc>
          <w:tcPr>
            <w:tcW w:w="0" w:type="auto"/>
          </w:tcPr>
          <w:p w14:paraId="31D5CE1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4</w:t>
            </w:r>
          </w:p>
        </w:tc>
      </w:tr>
      <w:tr w:rsidR="005F1A75" w:rsidRPr="0007573C" w14:paraId="7D5B26F7" w14:textId="77777777">
        <w:tc>
          <w:tcPr>
            <w:tcW w:w="0" w:type="auto"/>
          </w:tcPr>
          <w:p w14:paraId="7E5DD00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12a</w:t>
            </w:r>
          </w:p>
        </w:tc>
        <w:tc>
          <w:tcPr>
            <w:tcW w:w="0" w:type="auto"/>
          </w:tcPr>
          <w:p w14:paraId="70018A81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Statistical methods, including control of confounding</w:t>
            </w:r>
          </w:p>
        </w:tc>
        <w:tc>
          <w:tcPr>
            <w:tcW w:w="0" w:type="auto"/>
          </w:tcPr>
          <w:p w14:paraId="062B767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“Statistical analysis”</w:t>
            </w:r>
          </w:p>
        </w:tc>
        <w:tc>
          <w:tcPr>
            <w:tcW w:w="0" w:type="auto"/>
          </w:tcPr>
          <w:p w14:paraId="4C6C99F5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5</w:t>
            </w:r>
          </w:p>
        </w:tc>
      </w:tr>
      <w:tr w:rsidR="005F1A75" w:rsidRPr="0007573C" w14:paraId="2CA2D9C7" w14:textId="77777777">
        <w:tc>
          <w:tcPr>
            <w:tcW w:w="0" w:type="auto"/>
          </w:tcPr>
          <w:p w14:paraId="2CF2BF3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12b</w:t>
            </w:r>
          </w:p>
        </w:tc>
        <w:tc>
          <w:tcPr>
            <w:tcW w:w="0" w:type="auto"/>
          </w:tcPr>
          <w:p w14:paraId="779DEFE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 for subgroups and interactions</w:t>
            </w:r>
          </w:p>
        </w:tc>
        <w:tc>
          <w:tcPr>
            <w:tcW w:w="0" w:type="auto"/>
          </w:tcPr>
          <w:p w14:paraId="01094BB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“Antenatal favourability strata” and “Allocation analysis”</w:t>
            </w:r>
          </w:p>
        </w:tc>
        <w:tc>
          <w:tcPr>
            <w:tcW w:w="0" w:type="auto"/>
          </w:tcPr>
          <w:p w14:paraId="5CAB2477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4–5</w:t>
            </w:r>
          </w:p>
        </w:tc>
      </w:tr>
      <w:tr w:rsidR="005F1A75" w:rsidRPr="0007573C" w14:paraId="74FAF689" w14:textId="77777777">
        <w:tc>
          <w:tcPr>
            <w:tcW w:w="0" w:type="auto"/>
          </w:tcPr>
          <w:p w14:paraId="7E895F7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12c</w:t>
            </w:r>
          </w:p>
        </w:tc>
        <w:tc>
          <w:tcPr>
            <w:tcW w:w="0" w:type="auto"/>
          </w:tcPr>
          <w:p w14:paraId="7721211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Handling of missing data</w:t>
            </w:r>
          </w:p>
        </w:tc>
        <w:tc>
          <w:tcPr>
            <w:tcW w:w="0" w:type="auto"/>
          </w:tcPr>
          <w:p w14:paraId="4CFF51B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“Statistical analysis”: no missing values in any analysis variable; complete-case analysis of all 1020 records</w:t>
            </w:r>
          </w:p>
        </w:tc>
        <w:tc>
          <w:tcPr>
            <w:tcW w:w="0" w:type="auto"/>
          </w:tcPr>
          <w:p w14:paraId="79EF862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5</w:t>
            </w:r>
          </w:p>
        </w:tc>
      </w:tr>
      <w:tr w:rsidR="005F1A75" w:rsidRPr="0007573C" w14:paraId="78D3AE18" w14:textId="77777777">
        <w:tc>
          <w:tcPr>
            <w:tcW w:w="0" w:type="auto"/>
          </w:tcPr>
          <w:p w14:paraId="5AD0DA95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lastRenderedPageBreak/>
              <w:t>12d</w:t>
            </w:r>
          </w:p>
        </w:tc>
        <w:tc>
          <w:tcPr>
            <w:tcW w:w="0" w:type="auto"/>
          </w:tcPr>
          <w:p w14:paraId="195E66D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Loss to follow-up</w:t>
            </w:r>
          </w:p>
        </w:tc>
        <w:tc>
          <w:tcPr>
            <w:tcW w:w="0" w:type="auto"/>
          </w:tcPr>
          <w:p w14:paraId="559CF2D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Not applicable; outcome ascertained at delivery for every participant</w:t>
            </w:r>
          </w:p>
        </w:tc>
        <w:tc>
          <w:tcPr>
            <w:tcW w:w="0" w:type="auto"/>
          </w:tcPr>
          <w:p w14:paraId="011E0C8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1773EE1E" w14:textId="77777777">
        <w:tc>
          <w:tcPr>
            <w:tcW w:w="0" w:type="auto"/>
          </w:tcPr>
          <w:p w14:paraId="6BCAD61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12e</w:t>
            </w:r>
          </w:p>
        </w:tc>
        <w:tc>
          <w:tcPr>
            <w:tcW w:w="0" w:type="auto"/>
          </w:tcPr>
          <w:p w14:paraId="5F85049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Sensitivity analyses</w:t>
            </w:r>
          </w:p>
        </w:tc>
        <w:tc>
          <w:tcPr>
            <w:tcW w:w="0" w:type="auto"/>
          </w:tcPr>
          <w:p w14:paraId="0D0E81B5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“Allocation analysis” (δ from 1.0 to 0.15) and “Statistical analysis” (E-values); Results, Table 6 and Fig. 7</w:t>
            </w:r>
          </w:p>
        </w:tc>
        <w:tc>
          <w:tcPr>
            <w:tcW w:w="0" w:type="auto"/>
          </w:tcPr>
          <w:p w14:paraId="0092B69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5, 16–17</w:t>
            </w:r>
          </w:p>
        </w:tc>
      </w:tr>
      <w:tr w:rsidR="005F1A75" w:rsidRPr="0007573C" w14:paraId="4B464748" w14:textId="77777777">
        <w:tc>
          <w:tcPr>
            <w:tcW w:w="0" w:type="auto"/>
          </w:tcPr>
          <w:p w14:paraId="5582A2E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13a</w:t>
            </w:r>
          </w:p>
        </w:tc>
        <w:tc>
          <w:tcPr>
            <w:tcW w:w="0" w:type="auto"/>
          </w:tcPr>
          <w:p w14:paraId="0FB0717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Numbers at each stage of the study</w:t>
            </w:r>
          </w:p>
        </w:tc>
        <w:tc>
          <w:tcPr>
            <w:tcW w:w="0" w:type="auto"/>
          </w:tcPr>
          <w:p w14:paraId="7EFEAA6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Results, “Uptake”; Fig. 1</w:t>
            </w:r>
          </w:p>
        </w:tc>
        <w:tc>
          <w:tcPr>
            <w:tcW w:w="0" w:type="auto"/>
          </w:tcPr>
          <w:p w14:paraId="0ADC94D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6</w:t>
            </w:r>
          </w:p>
        </w:tc>
      </w:tr>
      <w:tr w:rsidR="005F1A75" w:rsidRPr="0007573C" w14:paraId="76F8202D" w14:textId="77777777">
        <w:tc>
          <w:tcPr>
            <w:tcW w:w="0" w:type="auto"/>
          </w:tcPr>
          <w:p w14:paraId="62296CD2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13b</w:t>
            </w:r>
          </w:p>
        </w:tc>
        <w:tc>
          <w:tcPr>
            <w:tcW w:w="0" w:type="auto"/>
          </w:tcPr>
          <w:p w14:paraId="6A40A20F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Reasons for non-participation</w:t>
            </w:r>
          </w:p>
        </w:tc>
        <w:tc>
          <w:tcPr>
            <w:tcW w:w="0" w:type="auto"/>
          </w:tcPr>
          <w:p w14:paraId="4C95F742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“Participants”: exclusion criteria; no eligible woman was excluded for non-participation</w:t>
            </w:r>
          </w:p>
        </w:tc>
        <w:tc>
          <w:tcPr>
            <w:tcW w:w="0" w:type="auto"/>
          </w:tcPr>
          <w:p w14:paraId="303B88B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74DC159A" w14:textId="77777777">
        <w:tc>
          <w:tcPr>
            <w:tcW w:w="0" w:type="auto"/>
          </w:tcPr>
          <w:p w14:paraId="27F766C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13c</w:t>
            </w:r>
          </w:p>
        </w:tc>
        <w:tc>
          <w:tcPr>
            <w:tcW w:w="0" w:type="auto"/>
          </w:tcPr>
          <w:p w14:paraId="592F4AB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Flow diagram</w:t>
            </w:r>
          </w:p>
        </w:tc>
        <w:tc>
          <w:tcPr>
            <w:tcW w:w="0" w:type="auto"/>
          </w:tcPr>
          <w:p w14:paraId="0653426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Fig. 1</w:t>
            </w:r>
          </w:p>
        </w:tc>
        <w:tc>
          <w:tcPr>
            <w:tcW w:w="0" w:type="auto"/>
          </w:tcPr>
          <w:p w14:paraId="43281C8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6</w:t>
            </w:r>
          </w:p>
        </w:tc>
      </w:tr>
      <w:tr w:rsidR="005F1A75" w:rsidRPr="0007573C" w14:paraId="74F549D1" w14:textId="77777777">
        <w:tc>
          <w:tcPr>
            <w:tcW w:w="0" w:type="auto"/>
          </w:tcPr>
          <w:p w14:paraId="3A35A09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14a</w:t>
            </w:r>
          </w:p>
        </w:tc>
        <w:tc>
          <w:tcPr>
            <w:tcW w:w="0" w:type="auto"/>
          </w:tcPr>
          <w:p w14:paraId="365FA7F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Characteristics of participants and information on exposures and confounders</w:t>
            </w:r>
          </w:p>
        </w:tc>
        <w:tc>
          <w:tcPr>
            <w:tcW w:w="0" w:type="auto"/>
          </w:tcPr>
          <w:p w14:paraId="0EBC5F8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Table 1</w:t>
            </w:r>
          </w:p>
        </w:tc>
        <w:tc>
          <w:tcPr>
            <w:tcW w:w="0" w:type="auto"/>
          </w:tcPr>
          <w:p w14:paraId="6BAA07A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6–7</w:t>
            </w:r>
          </w:p>
        </w:tc>
      </w:tr>
      <w:tr w:rsidR="005F1A75" w:rsidRPr="0007573C" w14:paraId="626D0ECA" w14:textId="77777777">
        <w:tc>
          <w:tcPr>
            <w:tcW w:w="0" w:type="auto"/>
          </w:tcPr>
          <w:p w14:paraId="011DCC5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14b</w:t>
            </w:r>
          </w:p>
        </w:tc>
        <w:tc>
          <w:tcPr>
            <w:tcW w:w="0" w:type="auto"/>
          </w:tcPr>
          <w:p w14:paraId="6F34F15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Number of participants with missing data for each variable</w:t>
            </w:r>
          </w:p>
        </w:tc>
        <w:tc>
          <w:tcPr>
            <w:tcW w:w="0" w:type="auto"/>
          </w:tcPr>
          <w:p w14:paraId="5D1C226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None; stated in Methods, “Statistical analysis”</w:t>
            </w:r>
          </w:p>
        </w:tc>
        <w:tc>
          <w:tcPr>
            <w:tcW w:w="0" w:type="auto"/>
          </w:tcPr>
          <w:p w14:paraId="1B608F7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5</w:t>
            </w:r>
          </w:p>
        </w:tc>
      </w:tr>
      <w:tr w:rsidR="005F1A75" w:rsidRPr="0007573C" w14:paraId="58CC70EA" w14:textId="77777777">
        <w:tc>
          <w:tcPr>
            <w:tcW w:w="0" w:type="auto"/>
          </w:tcPr>
          <w:p w14:paraId="0CDD429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14c</w:t>
            </w:r>
          </w:p>
        </w:tc>
        <w:tc>
          <w:tcPr>
            <w:tcW w:w="0" w:type="auto"/>
          </w:tcPr>
          <w:p w14:paraId="1F4F465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Follow-up time</w:t>
            </w:r>
          </w:p>
        </w:tc>
        <w:tc>
          <w:tcPr>
            <w:tcW w:w="0" w:type="auto"/>
          </w:tcPr>
          <w:p w14:paraId="3F4B0C2B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Not applicable; single delivery episode</w:t>
            </w:r>
          </w:p>
        </w:tc>
        <w:tc>
          <w:tcPr>
            <w:tcW w:w="0" w:type="auto"/>
          </w:tcPr>
          <w:p w14:paraId="3D1E91C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3</w:t>
            </w:r>
          </w:p>
        </w:tc>
      </w:tr>
      <w:tr w:rsidR="005F1A75" w:rsidRPr="0007573C" w14:paraId="21C25622" w14:textId="77777777">
        <w:tc>
          <w:tcPr>
            <w:tcW w:w="0" w:type="auto"/>
          </w:tcPr>
          <w:p w14:paraId="36149C1F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4FB6264E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Numbers of outcome events or summary measures over time</w:t>
            </w:r>
          </w:p>
        </w:tc>
        <w:tc>
          <w:tcPr>
            <w:tcW w:w="0" w:type="auto"/>
          </w:tcPr>
          <w:p w14:paraId="19E85E6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Table 4</w:t>
            </w:r>
          </w:p>
        </w:tc>
        <w:tc>
          <w:tcPr>
            <w:tcW w:w="0" w:type="auto"/>
          </w:tcPr>
          <w:p w14:paraId="027A1D4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11–12</w:t>
            </w:r>
          </w:p>
        </w:tc>
      </w:tr>
      <w:tr w:rsidR="005F1A75" w:rsidRPr="0007573C" w14:paraId="434E8AF7" w14:textId="77777777">
        <w:tc>
          <w:tcPr>
            <w:tcW w:w="0" w:type="auto"/>
          </w:tcPr>
          <w:p w14:paraId="376F1D50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16a</w:t>
            </w:r>
          </w:p>
        </w:tc>
        <w:tc>
          <w:tcPr>
            <w:tcW w:w="0" w:type="auto"/>
          </w:tcPr>
          <w:p w14:paraId="3CC45111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Unadjusted and confounder-adjusted estimates with confidence intervals</w:t>
            </w:r>
          </w:p>
        </w:tc>
        <w:tc>
          <w:tcPr>
            <w:tcW w:w="0" w:type="auto"/>
          </w:tcPr>
          <w:p w14:paraId="5266CC32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Table 2 (offer and vaginal birth models); Table 4 (outcome comparisons)</w:t>
            </w:r>
          </w:p>
        </w:tc>
        <w:tc>
          <w:tcPr>
            <w:tcW w:w="0" w:type="auto"/>
          </w:tcPr>
          <w:p w14:paraId="4CB47DE5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8, 12</w:t>
            </w:r>
          </w:p>
        </w:tc>
      </w:tr>
      <w:tr w:rsidR="005F1A75" w:rsidRPr="0007573C" w14:paraId="4EEB40BB" w14:textId="77777777">
        <w:tc>
          <w:tcPr>
            <w:tcW w:w="0" w:type="auto"/>
          </w:tcPr>
          <w:p w14:paraId="3735F83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16b</w:t>
            </w:r>
          </w:p>
        </w:tc>
        <w:tc>
          <w:tcPr>
            <w:tcW w:w="0" w:type="auto"/>
          </w:tcPr>
          <w:p w14:paraId="2C80A263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Category boundaries when continuous variables were categorised</w:t>
            </w:r>
          </w:p>
        </w:tc>
        <w:tc>
          <w:tcPr>
            <w:tcW w:w="0" w:type="auto"/>
          </w:tcPr>
          <w:p w14:paraId="5DE2773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Methods, “Antenatal favourability strata”; Table 1 and Table 3 footnotes</w:t>
            </w:r>
          </w:p>
        </w:tc>
        <w:tc>
          <w:tcPr>
            <w:tcW w:w="0" w:type="auto"/>
          </w:tcPr>
          <w:p w14:paraId="5404959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4, 7, 10</w:t>
            </w:r>
          </w:p>
        </w:tc>
      </w:tr>
      <w:tr w:rsidR="005F1A75" w:rsidRPr="0007573C" w14:paraId="23E24831" w14:textId="77777777">
        <w:tc>
          <w:tcPr>
            <w:tcW w:w="0" w:type="auto"/>
          </w:tcPr>
          <w:p w14:paraId="321F2A57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16c</w:t>
            </w:r>
          </w:p>
        </w:tc>
        <w:tc>
          <w:tcPr>
            <w:tcW w:w="0" w:type="auto"/>
          </w:tcPr>
          <w:p w14:paraId="70A80E5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Translation of relative risk into absolute risk</w:t>
            </w:r>
          </w:p>
        </w:tc>
        <w:tc>
          <w:tcPr>
            <w:tcW w:w="0" w:type="auto"/>
          </w:tcPr>
          <w:p w14:paraId="7A3BFFE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Table 5: expected vaginal births and resulting cohort caesarean rates</w:t>
            </w:r>
          </w:p>
        </w:tc>
        <w:tc>
          <w:tcPr>
            <w:tcW w:w="0" w:type="auto"/>
          </w:tcPr>
          <w:p w14:paraId="6AD5B73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13–14</w:t>
            </w:r>
          </w:p>
        </w:tc>
      </w:tr>
      <w:tr w:rsidR="005F1A75" w:rsidRPr="0007573C" w14:paraId="6F70A1F9" w14:textId="77777777">
        <w:tc>
          <w:tcPr>
            <w:tcW w:w="0" w:type="auto"/>
          </w:tcPr>
          <w:p w14:paraId="3AF854D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14:paraId="63DBC28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Other analyses performed</w:t>
            </w:r>
          </w:p>
        </w:tc>
        <w:tc>
          <w:tcPr>
            <w:tcW w:w="0" w:type="auto"/>
          </w:tcPr>
          <w:p w14:paraId="00C289A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Results: bootstrap comparison of model weights (p 8); allocation counterfactuals (p 13); sensitivity analysis (p 16)</w:t>
            </w:r>
          </w:p>
        </w:tc>
        <w:tc>
          <w:tcPr>
            <w:tcW w:w="0" w:type="auto"/>
          </w:tcPr>
          <w:p w14:paraId="42270ED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8, 13, 16</w:t>
            </w:r>
          </w:p>
        </w:tc>
      </w:tr>
      <w:tr w:rsidR="005F1A75" w:rsidRPr="0007573C" w14:paraId="0A2162FE" w14:textId="77777777">
        <w:tc>
          <w:tcPr>
            <w:tcW w:w="0" w:type="auto"/>
          </w:tcPr>
          <w:p w14:paraId="4F02B349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14:paraId="35A4CBA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Key results with reference to study objectives</w:t>
            </w:r>
          </w:p>
        </w:tc>
        <w:tc>
          <w:tcPr>
            <w:tcW w:w="0" w:type="auto"/>
          </w:tcPr>
          <w:p w14:paraId="0E2611E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Discussion, “Main findings”</w:t>
            </w:r>
          </w:p>
        </w:tc>
        <w:tc>
          <w:tcPr>
            <w:tcW w:w="0" w:type="auto"/>
          </w:tcPr>
          <w:p w14:paraId="658A6A6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17</w:t>
            </w:r>
          </w:p>
        </w:tc>
      </w:tr>
      <w:tr w:rsidR="005F1A75" w:rsidRPr="0007573C" w14:paraId="6CBFD6A5" w14:textId="77777777">
        <w:tc>
          <w:tcPr>
            <w:tcW w:w="0" w:type="auto"/>
          </w:tcPr>
          <w:p w14:paraId="3DDF4EC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3ADD7A4A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Limitations, direction and magnitude of potential bias</w:t>
            </w:r>
          </w:p>
        </w:tc>
        <w:tc>
          <w:tcPr>
            <w:tcW w:w="0" w:type="auto"/>
          </w:tcPr>
          <w:p w14:paraId="5DA92E7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Discussion, “What the counterfactuals can and cannot support” and “Strengths and limitations”</w:t>
            </w:r>
          </w:p>
        </w:tc>
        <w:tc>
          <w:tcPr>
            <w:tcW w:w="0" w:type="auto"/>
          </w:tcPr>
          <w:p w14:paraId="3E6967CC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19</w:t>
            </w:r>
          </w:p>
        </w:tc>
      </w:tr>
      <w:tr w:rsidR="005F1A75" w:rsidRPr="0007573C" w14:paraId="1DF9FCC0" w14:textId="77777777">
        <w:tc>
          <w:tcPr>
            <w:tcW w:w="0" w:type="auto"/>
          </w:tcPr>
          <w:p w14:paraId="169A7A7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3F591141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Overall interpretation, considering objectives, limitations and other evidence</w:t>
            </w:r>
          </w:p>
        </w:tc>
        <w:tc>
          <w:tcPr>
            <w:tcW w:w="0" w:type="auto"/>
          </w:tcPr>
          <w:p w14:paraId="56F7C547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Discussion, “Comparison with other settings”; Conclusions</w:t>
            </w:r>
          </w:p>
        </w:tc>
        <w:tc>
          <w:tcPr>
            <w:tcW w:w="0" w:type="auto"/>
          </w:tcPr>
          <w:p w14:paraId="7A580663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18, 20</w:t>
            </w:r>
          </w:p>
        </w:tc>
      </w:tr>
      <w:tr w:rsidR="005F1A75" w:rsidRPr="0007573C" w14:paraId="798F8513" w14:textId="77777777">
        <w:tc>
          <w:tcPr>
            <w:tcW w:w="0" w:type="auto"/>
          </w:tcPr>
          <w:p w14:paraId="1A622419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14:paraId="420F9E7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Generalisability</w:t>
            </w:r>
          </w:p>
        </w:tc>
        <w:tc>
          <w:tcPr>
            <w:tcW w:w="0" w:type="auto"/>
          </w:tcPr>
          <w:p w14:paraId="6C3EE45D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Discussion, “Comparison with other settings” and “Implications”; Conclusions</w:t>
            </w:r>
          </w:p>
        </w:tc>
        <w:tc>
          <w:tcPr>
            <w:tcW w:w="0" w:type="auto"/>
          </w:tcPr>
          <w:p w14:paraId="43CBB946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18–20</w:t>
            </w:r>
          </w:p>
        </w:tc>
      </w:tr>
      <w:tr w:rsidR="005F1A75" w:rsidRPr="0007573C" w14:paraId="0E690659" w14:textId="77777777">
        <w:tc>
          <w:tcPr>
            <w:tcW w:w="0" w:type="auto"/>
          </w:tcPr>
          <w:p w14:paraId="11F1112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14:paraId="682BEAB2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Funding and role of the funders</w:t>
            </w:r>
          </w:p>
        </w:tc>
        <w:tc>
          <w:tcPr>
            <w:tcW w:w="0" w:type="auto"/>
          </w:tcPr>
          <w:p w14:paraId="77D78D38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Declarations, “Funding”</w:t>
            </w:r>
          </w:p>
        </w:tc>
        <w:tc>
          <w:tcPr>
            <w:tcW w:w="0" w:type="auto"/>
          </w:tcPr>
          <w:p w14:paraId="2351A664" w14:textId="77777777" w:rsidR="005F1A75" w:rsidRPr="0007573C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07573C">
              <w:rPr>
                <w:rFonts w:ascii="Times New Roman" w:hAnsi="Times New Roman" w:cs="Times New Roman"/>
              </w:rPr>
              <w:t>21</w:t>
            </w:r>
          </w:p>
        </w:tc>
      </w:tr>
    </w:tbl>
    <w:p w14:paraId="6E254AC3" w14:textId="77777777" w:rsidR="005F1A75" w:rsidRPr="0007573C" w:rsidRDefault="00000000">
      <w:pPr>
        <w:pStyle w:val="a0"/>
        <w:rPr>
          <w:rFonts w:ascii="Times New Roman" w:hAnsi="Times New Roman" w:cs="Times New Roman"/>
        </w:rPr>
      </w:pPr>
      <w:r w:rsidRPr="0007573C">
        <w:rPr>
          <w:rFonts w:ascii="Times New Roman" w:hAnsi="Times New Roman" w:cs="Times New Roman"/>
        </w:rPr>
        <w:t xml:space="preserve">The checklist follows von Elm E, Altman DG, Egger M, Pocock SJ, Gøtzsche PC, Vandenbroucke JP. </w:t>
      </w:r>
      <w:proofErr w:type="gramStart"/>
      <w:r w:rsidRPr="0007573C">
        <w:rPr>
          <w:rFonts w:ascii="Times New Roman" w:hAnsi="Times New Roman" w:cs="Times New Roman"/>
        </w:rPr>
        <w:t>The Strengthening</w:t>
      </w:r>
      <w:proofErr w:type="gramEnd"/>
      <w:r w:rsidRPr="0007573C">
        <w:rPr>
          <w:rFonts w:ascii="Times New Roman" w:hAnsi="Times New Roman" w:cs="Times New Roman"/>
        </w:rPr>
        <w:t xml:space="preserve"> the Reporting of Observational Studies in Epidemiology (STROBE) </w:t>
      </w:r>
      <w:r w:rsidRPr="0007573C">
        <w:rPr>
          <w:rFonts w:ascii="Times New Roman" w:hAnsi="Times New Roman" w:cs="Times New Roman"/>
        </w:rPr>
        <w:lastRenderedPageBreak/>
        <w:t>statement: guidelines for reporting observational studies. Lancet. 2007;370(9596):1453–7, and the STROBE Initiative (https://www.strobe-statement.org).</w:t>
      </w:r>
    </w:p>
    <w:bookmarkEnd w:id="0"/>
    <w:p w14:paraId="27B21127" w14:textId="16FCC4A9" w:rsidR="005F1A75" w:rsidRPr="0007573C" w:rsidRDefault="005F1A75">
      <w:pPr>
        <w:pStyle w:val="a0"/>
        <w:rPr>
          <w:rFonts w:ascii="Times New Roman" w:hAnsi="Times New Roman" w:cs="Times New Roman"/>
        </w:rPr>
      </w:pPr>
    </w:p>
    <w:sectPr w:rsidR="005F1A75" w:rsidRPr="0007573C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837F" w14:textId="77777777" w:rsidR="00323D2C" w:rsidRDefault="00323D2C">
      <w:pPr>
        <w:spacing w:after="0"/>
      </w:pPr>
      <w:r>
        <w:separator/>
      </w:r>
    </w:p>
  </w:endnote>
  <w:endnote w:type="continuationSeparator" w:id="0">
    <w:p w14:paraId="7580E28F" w14:textId="77777777" w:rsidR="00323D2C" w:rsidRDefault="00323D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79A0C" w14:textId="77777777" w:rsidR="00323D2C" w:rsidRDefault="00323D2C">
      <w:r>
        <w:separator/>
      </w:r>
    </w:p>
  </w:footnote>
  <w:footnote w:type="continuationSeparator" w:id="0">
    <w:p w14:paraId="77C28505" w14:textId="77777777" w:rsidR="00323D2C" w:rsidRDefault="00323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276160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43143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A75"/>
    <w:rsid w:val="0007573C"/>
    <w:rsid w:val="00323D2C"/>
    <w:rsid w:val="005F1A75"/>
    <w:rsid w:val="00CC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DAC1"/>
  <w15:docId w15:val="{F6B3FCCE-2199-4167-A086-7D985A3F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643</Words>
  <Characters>3843</Characters>
  <Application>Microsoft Office Word</Application>
  <DocSecurity>0</DocSecurity>
  <Lines>213</Lines>
  <Paragraphs>166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Динара Омертаева</cp:lastModifiedBy>
  <cp:revision>3</cp:revision>
  <dcterms:created xsi:type="dcterms:W3CDTF">2026-08-28T07:06:00Z</dcterms:created>
  <dcterms:modified xsi:type="dcterms:W3CDTF">2026-08-28T07:08:00Z</dcterms:modified>
</cp:coreProperties>
</file>