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F4B9A" w14:textId="77777777" w:rsidR="0010093F" w:rsidRDefault="00000000">
      <w:pPr>
        <w:jc w:val="center"/>
        <w:rPr>
          <w:rFonts w:ascii="Cambria" w:eastAsia="바탕" w:hAnsi="Cambria" w:cs="Times New Roman"/>
          <w:b/>
          <w:sz w:val="40"/>
          <w:szCs w:val="20"/>
        </w:rPr>
      </w:pPr>
      <w:r>
        <w:rPr>
          <w:rFonts w:ascii="Cambria" w:eastAsia="바탕" w:hAnsi="Cambria" w:cs="Times New Roman"/>
          <w:b/>
          <w:sz w:val="40"/>
          <w:szCs w:val="20"/>
        </w:rPr>
        <w:t xml:space="preserve">Supplementary file </w:t>
      </w:r>
    </w:p>
    <w:p w14:paraId="5A741FAC" w14:textId="77777777" w:rsidR="0010093F" w:rsidRDefault="0010093F">
      <w:pPr>
        <w:rPr>
          <w:rFonts w:ascii="Cambria" w:eastAsia="바탕" w:hAnsi="Cambria" w:cs="Times New Roman"/>
          <w:b/>
          <w:sz w:val="28"/>
          <w:szCs w:val="20"/>
        </w:rPr>
      </w:pPr>
    </w:p>
    <w:p w14:paraId="14F0B8D4" w14:textId="5E146105" w:rsidR="0010093F" w:rsidRPr="00746543" w:rsidRDefault="00746543">
      <w:pPr>
        <w:rPr>
          <w:rFonts w:ascii="Cambria" w:eastAsia="바탕" w:hAnsi="Cambria" w:cs="Times New Roman"/>
          <w:b/>
          <w:bCs/>
          <w:sz w:val="28"/>
          <w:szCs w:val="28"/>
        </w:rPr>
      </w:pPr>
      <w:r w:rsidRPr="00746543">
        <w:rPr>
          <w:rFonts w:ascii="Cambria" w:eastAsia="바탕" w:hAnsi="Cambria" w:cs="Times New Roman"/>
          <w:b/>
          <w:bCs/>
          <w:sz w:val="28"/>
          <w:szCs w:val="28"/>
        </w:rPr>
        <w:t>The Carcinoembryonic Antigen-to-Skeletal Muscle Index Ratio as a Novel Prognostic Marker in Colorectal Cancer</w:t>
      </w:r>
    </w:p>
    <w:p w14:paraId="2291CAA3" w14:textId="77777777" w:rsidR="00746543" w:rsidRPr="009A3F49" w:rsidRDefault="00746543">
      <w:pPr>
        <w:rPr>
          <w:rFonts w:ascii="Cambria" w:eastAsia="바탕" w:hAnsi="Cambria" w:cs="Times New Roman"/>
          <w:b/>
          <w:bCs/>
          <w:sz w:val="28"/>
          <w:szCs w:val="28"/>
        </w:rPr>
      </w:pPr>
    </w:p>
    <w:p w14:paraId="71EF500A" w14:textId="77777777" w:rsidR="0010093F" w:rsidRPr="00746543" w:rsidRDefault="00000000">
      <w:pPr>
        <w:rPr>
          <w:rFonts w:ascii="Cambria" w:eastAsia="바탕" w:hAnsi="Cambria" w:cs="Times New Roman"/>
          <w:b/>
          <w:szCs w:val="20"/>
        </w:rPr>
      </w:pPr>
      <w:r w:rsidRPr="00746543">
        <w:rPr>
          <w:rFonts w:ascii="Cambria" w:eastAsia="바탕" w:hAnsi="Cambria" w:cs="Times New Roman"/>
          <w:b/>
          <w:szCs w:val="20"/>
        </w:rPr>
        <w:t>Supplementary Figure 1. Inclusion criteria</w:t>
      </w:r>
    </w:p>
    <w:p w14:paraId="04DE843A" w14:textId="77777777" w:rsidR="0010093F" w:rsidRPr="00746543" w:rsidRDefault="0010093F">
      <w:pPr>
        <w:rPr>
          <w:rFonts w:ascii="Cambria" w:eastAsia="바탕" w:hAnsi="Cambria" w:cs="Times New Roman"/>
          <w:b/>
          <w:szCs w:val="20"/>
        </w:rPr>
      </w:pPr>
    </w:p>
    <w:p w14:paraId="67834A75" w14:textId="77777777" w:rsidR="0010093F" w:rsidRPr="00746543" w:rsidRDefault="00000000">
      <w:pPr>
        <w:rPr>
          <w:rFonts w:ascii="Cambria" w:eastAsia="바탕" w:hAnsi="Cambria" w:cs="Times New Roman"/>
          <w:b/>
          <w:szCs w:val="20"/>
        </w:rPr>
      </w:pPr>
      <w:r w:rsidRPr="00746543">
        <w:rPr>
          <w:rFonts w:ascii="Cambria" w:eastAsia="바탕" w:hAnsi="Cambria" w:cs="Times New Roman"/>
          <w:b/>
          <w:szCs w:val="20"/>
        </w:rPr>
        <w:t>Supplementary Figure 2. Comparison of CEA and CEA/SMI ratio according to the sex.</w:t>
      </w:r>
    </w:p>
    <w:p w14:paraId="32CC5CD8" w14:textId="77777777" w:rsidR="0010093F" w:rsidRPr="00746543" w:rsidRDefault="0010093F">
      <w:pPr>
        <w:rPr>
          <w:rFonts w:ascii="Cambria" w:eastAsia="바탕" w:hAnsi="Cambria" w:cs="Times New Roman"/>
          <w:b/>
          <w:szCs w:val="20"/>
        </w:rPr>
      </w:pPr>
    </w:p>
    <w:p w14:paraId="6512AB59" w14:textId="77777777" w:rsidR="0010093F" w:rsidRDefault="00000000">
      <w:pPr>
        <w:rPr>
          <w:rFonts w:ascii="Cambria" w:hAnsi="Cambria"/>
          <w:b/>
          <w:bCs/>
          <w:szCs w:val="20"/>
        </w:rPr>
      </w:pPr>
      <w:r w:rsidRPr="00746543">
        <w:rPr>
          <w:rFonts w:ascii="Cambria" w:eastAsia="바탕" w:hAnsi="Cambria" w:cs="Times New Roman"/>
          <w:b/>
          <w:szCs w:val="20"/>
        </w:rPr>
        <w:t xml:space="preserve">Supplementary Table 1. </w:t>
      </w:r>
      <w:r w:rsidRPr="00746543">
        <w:rPr>
          <w:rFonts w:ascii="Cambria" w:eastAsia="Cambria" w:hAnsi="Cambria"/>
          <w:b/>
          <w:bCs/>
          <w:szCs w:val="20"/>
        </w:rPr>
        <w:t>Quartile distribution of CEA/SMI ratio according to sex</w:t>
      </w:r>
    </w:p>
    <w:p w14:paraId="3478C774" w14:textId="77777777" w:rsidR="007775BD" w:rsidRDefault="007775BD">
      <w:pPr>
        <w:rPr>
          <w:rFonts w:ascii="Cambria" w:hAnsi="Cambria"/>
          <w:b/>
          <w:bCs/>
          <w:szCs w:val="20"/>
        </w:rPr>
      </w:pPr>
    </w:p>
    <w:p w14:paraId="446ACE00" w14:textId="6AE7D777" w:rsidR="007775BD" w:rsidRPr="007775BD" w:rsidRDefault="007775BD">
      <w:pPr>
        <w:rPr>
          <w:rFonts w:ascii="Cambria" w:hAnsi="Cambria" w:cs="Times New Roman" w:hint="eastAsia"/>
          <w:b/>
          <w:szCs w:val="20"/>
        </w:rPr>
      </w:pPr>
      <w:r>
        <w:rPr>
          <w:rFonts w:ascii="Cambria" w:hAnsi="Cambria" w:hint="eastAsia"/>
          <w:b/>
          <w:bCs/>
          <w:szCs w:val="20"/>
        </w:rPr>
        <w:t xml:space="preserve">Supplementary Table 2. Pairwise </w:t>
      </w:r>
      <w:r w:rsidRPr="007775BD">
        <w:rPr>
          <w:rFonts w:ascii="Cambria" w:hAnsi="Cambria" w:hint="eastAsia"/>
          <w:b/>
          <w:bCs/>
          <w:i/>
          <w:iCs/>
          <w:szCs w:val="20"/>
        </w:rPr>
        <w:t>p</w:t>
      </w:r>
      <w:r>
        <w:rPr>
          <w:rFonts w:ascii="Cambria" w:hAnsi="Cambria" w:hint="eastAsia"/>
          <w:b/>
          <w:bCs/>
          <w:szCs w:val="20"/>
        </w:rPr>
        <w:t>-value comparisons of OS according to the CSR quartiles.</w:t>
      </w:r>
    </w:p>
    <w:p w14:paraId="18447038" w14:textId="77777777" w:rsidR="0010093F" w:rsidRPr="00746543" w:rsidRDefault="0010093F">
      <w:pPr>
        <w:rPr>
          <w:rFonts w:ascii="Cambria" w:eastAsia="바탕" w:hAnsi="Cambria" w:cs="Times New Roman"/>
          <w:b/>
          <w:szCs w:val="20"/>
        </w:rPr>
      </w:pPr>
    </w:p>
    <w:p w14:paraId="1491C3A0" w14:textId="77777777" w:rsidR="0010093F" w:rsidRPr="00746543" w:rsidRDefault="00000000">
      <w:pPr>
        <w:rPr>
          <w:rFonts w:ascii="Cambria" w:eastAsia="Cambria" w:hAnsi="Cambria" w:cs="Times New Roman"/>
          <w:b/>
          <w:bCs/>
          <w:szCs w:val="20"/>
        </w:rPr>
      </w:pPr>
      <w:r w:rsidRPr="00746543">
        <w:rPr>
          <w:rFonts w:ascii="Cambria" w:eastAsia="바탕" w:hAnsi="Cambria" w:cs="Times New Roman"/>
          <w:b/>
          <w:szCs w:val="20"/>
        </w:rPr>
        <w:t>Supplementa</w:t>
      </w:r>
      <w:r w:rsidRPr="00746543">
        <w:rPr>
          <w:rFonts w:ascii="Cambria" w:eastAsia="Cambria" w:hAnsi="Cambria" w:cs="Times New Roman"/>
          <w:b/>
          <w:bCs/>
          <w:szCs w:val="20"/>
        </w:rPr>
        <w:t>ry Figure 3.</w:t>
      </w:r>
      <w:r w:rsidRPr="00746543">
        <w:rPr>
          <w:rFonts w:ascii="Cambria" w:eastAsia="Cambria" w:hAnsi="Cambria"/>
          <w:b/>
          <w:bCs/>
          <w:szCs w:val="20"/>
        </w:rPr>
        <w:t xml:space="preserve"> Kaplan-Meier overall survival curves according to preoperative CEA levels and SMI status.</w:t>
      </w:r>
    </w:p>
    <w:p w14:paraId="370A9C34" w14:textId="77777777" w:rsidR="0010093F" w:rsidRPr="00746543" w:rsidRDefault="0010093F">
      <w:pPr>
        <w:widowControl/>
        <w:wordWrap/>
        <w:autoSpaceDE/>
        <w:autoSpaceDN/>
        <w:rPr>
          <w:rFonts w:ascii="Cambria" w:eastAsia="바탕" w:hAnsi="Cambria" w:cs="Times New Roman"/>
          <w:sz w:val="22"/>
        </w:rPr>
      </w:pPr>
    </w:p>
    <w:p w14:paraId="2D1750E2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7286A758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32CED27B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436D87BC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5BFD02F9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1467F5D5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734EAB04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2C03B2F6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24F5609C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748800F5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2099B15D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43360817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0AE122E4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7A0431B5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0DF3E564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60B3F1E3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72537305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2AA468E1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58D8CFC8" w14:textId="77777777" w:rsidR="0010093F" w:rsidRDefault="00000000">
      <w:pPr>
        <w:rPr>
          <w:rFonts w:ascii="Cambria" w:eastAsia="바탕" w:hAnsi="Cambria" w:cs="Times New Roman"/>
          <w:b/>
          <w:szCs w:val="20"/>
        </w:rPr>
      </w:pPr>
      <w:r>
        <w:rPr>
          <w:rFonts w:ascii="Cambria" w:eastAsia="바탕" w:hAnsi="Cambria" w:cs="Times New Roman"/>
          <w:b/>
          <w:szCs w:val="20"/>
        </w:rPr>
        <w:t>Supplementary Figure 1. Inclusion criteria.</w:t>
      </w:r>
    </w:p>
    <w:p w14:paraId="10A80A25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1999F12E" w14:textId="77777777" w:rsidR="0010093F" w:rsidRDefault="00000000">
      <w:r>
        <w:rPr>
          <w:rFonts w:ascii="Cambria" w:eastAsia="바탕" w:hAnsi="Cambria" w:cs="Times New Roman"/>
          <w:noProof/>
          <w:szCs w:val="20"/>
        </w:rPr>
        <w:drawing>
          <wp:inline distT="0" distB="0" distL="0" distR="0" wp14:anchorId="4252FA30" wp14:editId="0454D962">
            <wp:extent cx="5769397" cy="3232290"/>
            <wp:effectExtent l="0" t="0" r="0" b="0"/>
            <wp:docPr id="1025" name="shape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9397" cy="323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62CFB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6AB866A8" w14:textId="77777777" w:rsidR="0010093F" w:rsidRDefault="00000000">
      <w:pPr>
        <w:rPr>
          <w:rFonts w:ascii="Cambria" w:eastAsia="바탕" w:hAnsi="Cambria" w:cs="Times New Roman"/>
          <w:b/>
          <w:bCs/>
          <w:szCs w:val="20"/>
        </w:rPr>
      </w:pPr>
      <w:r>
        <w:rPr>
          <w:rFonts w:ascii="Cambria" w:eastAsia="Cambria" w:hAnsi="Cambria"/>
          <w:b/>
          <w:bCs/>
        </w:rPr>
        <w:t>The flowchart illustrates the inclusion and exclusion criteria applied in this study. Patients with stage 0 or IV , a history of other malignancies, emergency surgery, or insufficient preoperative clinical/imaging data, etc(above criteria) were excluded. A total of 1,033 patients were finally included in the analysis.</w:t>
      </w:r>
    </w:p>
    <w:p w14:paraId="3F473431" w14:textId="77777777" w:rsidR="0010093F" w:rsidRDefault="0010093F">
      <w:pPr>
        <w:rPr>
          <w:rFonts w:ascii="Cambria" w:eastAsia="바탕" w:hAnsi="Cambria" w:cs="Times New Roman"/>
          <w:b/>
          <w:bCs/>
          <w:szCs w:val="20"/>
        </w:rPr>
      </w:pPr>
    </w:p>
    <w:p w14:paraId="29AA0AA1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7B667942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2546D0B7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28C1BA26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2B0F0A17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7B02D65D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36E6AEF6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4AD2F2E7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19BD521A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0F035C2E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0EF4150D" w14:textId="77777777" w:rsidR="0010093F" w:rsidRDefault="0010093F">
      <w:pPr>
        <w:rPr>
          <w:rFonts w:ascii="Cambria" w:eastAsia="바탕" w:hAnsi="Cambria" w:cs="Times New Roman"/>
          <w:b/>
          <w:szCs w:val="20"/>
        </w:rPr>
      </w:pPr>
    </w:p>
    <w:p w14:paraId="60932A26" w14:textId="77777777" w:rsidR="00E058D8" w:rsidRPr="00E058D8" w:rsidRDefault="00E058D8">
      <w:pPr>
        <w:rPr>
          <w:rFonts w:ascii="Cambria" w:eastAsia="바탕" w:hAnsi="Cambria" w:cs="Times New Roman"/>
          <w:b/>
          <w:szCs w:val="20"/>
        </w:rPr>
      </w:pPr>
    </w:p>
    <w:p w14:paraId="363657F6" w14:textId="77777777" w:rsidR="0010093F" w:rsidRDefault="0010093F"/>
    <w:p w14:paraId="5DD94E29" w14:textId="77777777" w:rsidR="0010093F" w:rsidRDefault="00000000">
      <w:pPr>
        <w:rPr>
          <w:rFonts w:ascii="Cambria" w:eastAsia="바탕" w:hAnsi="Cambria" w:cs="Times New Roman"/>
          <w:b/>
          <w:szCs w:val="20"/>
        </w:rPr>
      </w:pPr>
      <w:r>
        <w:rPr>
          <w:rFonts w:ascii="Cambria" w:eastAsia="바탕" w:hAnsi="Cambria" w:cs="Times New Roman"/>
          <w:b/>
          <w:szCs w:val="20"/>
        </w:rPr>
        <w:t>Supplementary Figure 2. Comparison of CEA and CEA/SMI ratio according to the sex.</w:t>
      </w:r>
    </w:p>
    <w:p w14:paraId="749853E8" w14:textId="77777777" w:rsidR="0010093F" w:rsidRDefault="00000000">
      <w:r>
        <w:rPr>
          <w:noProof/>
        </w:rPr>
        <w:drawing>
          <wp:inline distT="0" distB="0" distL="180" distR="180" wp14:anchorId="46244531" wp14:editId="787F324D">
            <wp:extent cx="5731510" cy="4101465"/>
            <wp:effectExtent l="0" t="0" r="0" b="0"/>
            <wp:docPr id="1028" name="shape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0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7E365" w14:textId="77777777" w:rsidR="0010093F" w:rsidRDefault="00000000">
      <w:pPr>
        <w:rPr>
          <w:rFonts w:ascii="Cambria" w:eastAsia="Cambria" w:hAnsi="Cambria"/>
          <w:b/>
          <w:bCs/>
        </w:rPr>
      </w:pPr>
      <w:r>
        <w:rPr>
          <w:rFonts w:ascii="Cambria" w:eastAsia="Cambria" w:hAnsi="Cambria"/>
          <w:b/>
          <w:bCs/>
        </w:rPr>
        <w:t>There were no significant differences of median value of CEA (A) [2.60, (interquartile range, IQR) (1.50–5.30) vs. 3.00, IQR (1.70–5.40), P = 0.071] and CEA/SMI ratio (B) [0.07, IQR (0.04–0.14) vs. 0.06, IQR (0.04–0.12), P = 0.077] between female and male respectively.</w:t>
      </w:r>
    </w:p>
    <w:p w14:paraId="7F3B53C2" w14:textId="77777777" w:rsidR="0010093F" w:rsidRDefault="0010093F">
      <w:pPr>
        <w:rPr>
          <w:rFonts w:ascii="맑은 고딕" w:eastAsia="맑은 고딕" w:hAnsi="맑은 고딕"/>
          <w:b/>
          <w:bCs/>
        </w:rPr>
      </w:pPr>
    </w:p>
    <w:p w14:paraId="220930EA" w14:textId="77777777" w:rsidR="0010093F" w:rsidRDefault="0010093F"/>
    <w:p w14:paraId="55A6492A" w14:textId="77777777" w:rsidR="0010093F" w:rsidRDefault="0010093F"/>
    <w:p w14:paraId="6751A706" w14:textId="77777777" w:rsidR="0010093F" w:rsidRDefault="0010093F"/>
    <w:p w14:paraId="4281780E" w14:textId="77777777" w:rsidR="0010093F" w:rsidRDefault="0010093F"/>
    <w:p w14:paraId="7BE799FB" w14:textId="77777777" w:rsidR="0010093F" w:rsidRDefault="0010093F"/>
    <w:p w14:paraId="7F0B3DC5" w14:textId="77777777" w:rsidR="0010093F" w:rsidRDefault="0010093F"/>
    <w:p w14:paraId="6D4DBE0D" w14:textId="77777777" w:rsidR="0010093F" w:rsidRDefault="0010093F"/>
    <w:p w14:paraId="5A80F2EE" w14:textId="77777777" w:rsidR="0010093F" w:rsidRDefault="0010093F"/>
    <w:p w14:paraId="1FF47831" w14:textId="77777777" w:rsidR="0010093F" w:rsidRDefault="0010093F"/>
    <w:p w14:paraId="55EE2CBA" w14:textId="77777777" w:rsidR="00E058D8" w:rsidRDefault="00E058D8">
      <w:pPr>
        <w:widowControl/>
        <w:wordWrap/>
        <w:autoSpaceDE/>
        <w:autoSpaceDN/>
        <w:rPr>
          <w:rFonts w:ascii="Cambria" w:eastAsia="바탕" w:hAnsi="Cambria" w:cs="Times New Roman"/>
          <w:b/>
          <w:szCs w:val="20"/>
        </w:rPr>
      </w:pPr>
    </w:p>
    <w:p w14:paraId="0AEF99E7" w14:textId="11571C87" w:rsidR="0010093F" w:rsidRPr="00E058D8" w:rsidRDefault="00000000">
      <w:pPr>
        <w:widowControl/>
        <w:wordWrap/>
        <w:autoSpaceDE/>
        <w:autoSpaceDN/>
        <w:rPr>
          <w:rFonts w:ascii="Cambria" w:eastAsia="바탕" w:hAnsi="Cambria" w:cs="Times New Roman"/>
          <w:b/>
          <w:szCs w:val="20"/>
        </w:rPr>
      </w:pPr>
      <w:r>
        <w:rPr>
          <w:rFonts w:ascii="Cambria" w:eastAsia="바탕" w:hAnsi="Cambria" w:cs="Times New Roman"/>
          <w:b/>
          <w:szCs w:val="20"/>
        </w:rPr>
        <w:t xml:space="preserve">Supplementary Table 1. </w:t>
      </w:r>
      <w:r>
        <w:rPr>
          <w:rFonts w:ascii="Cambria" w:eastAsia="Cambria" w:hAnsi="Cambria"/>
          <w:b/>
          <w:bCs/>
        </w:rPr>
        <w:t>Quartile distribution of CEA/SMI ratio according to sex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03"/>
        <w:gridCol w:w="1503"/>
        <w:gridCol w:w="1503"/>
        <w:gridCol w:w="1503"/>
        <w:gridCol w:w="1502"/>
        <w:gridCol w:w="1502"/>
      </w:tblGrid>
      <w:tr w:rsidR="0010093F" w14:paraId="23CEAA1D" w14:textId="77777777">
        <w:tc>
          <w:tcPr>
            <w:tcW w:w="833" w:type="pct"/>
          </w:tcPr>
          <w:p w14:paraId="24EFE5DF" w14:textId="77777777" w:rsidR="0010093F" w:rsidRDefault="0010093F">
            <w:pPr>
              <w:rPr>
                <w:rFonts w:ascii="Cambria" w:eastAsia="바탕" w:hAnsi="Cambria" w:cs="Times New Roman"/>
                <w:szCs w:val="20"/>
              </w:rPr>
            </w:pPr>
            <w:bookmarkStart w:id="0" w:name="_Hlk232676050"/>
          </w:p>
        </w:tc>
        <w:tc>
          <w:tcPr>
            <w:tcW w:w="833" w:type="pct"/>
          </w:tcPr>
          <w:p w14:paraId="22526EC6" w14:textId="77777777" w:rsidR="0010093F" w:rsidRDefault="00000000">
            <w:pPr>
              <w:jc w:val="center"/>
              <w:rPr>
                <w:rFonts w:ascii="Cambria" w:eastAsia="바탕" w:hAnsi="Cambria" w:cs="Times New Roman"/>
                <w:szCs w:val="20"/>
              </w:rPr>
            </w:pPr>
            <w:r>
              <w:rPr>
                <w:rFonts w:ascii="Cambria" w:eastAsia="바탕" w:hAnsi="Cambria" w:cs="Times New Roman"/>
                <w:szCs w:val="20"/>
              </w:rPr>
              <w:t>Minimum</w:t>
            </w:r>
          </w:p>
        </w:tc>
        <w:tc>
          <w:tcPr>
            <w:tcW w:w="833" w:type="pct"/>
          </w:tcPr>
          <w:p w14:paraId="4F705A16" w14:textId="77777777" w:rsidR="0010093F" w:rsidRDefault="00000000">
            <w:pPr>
              <w:jc w:val="center"/>
              <w:rPr>
                <w:rFonts w:ascii="Cambria" w:eastAsia="바탕" w:hAnsi="Cambria" w:cs="Times New Roman"/>
                <w:szCs w:val="20"/>
              </w:rPr>
            </w:pPr>
            <w:r>
              <w:rPr>
                <w:rFonts w:ascii="Cambria" w:eastAsia="바탕" w:hAnsi="Cambria" w:cs="Times New Roman"/>
                <w:szCs w:val="20"/>
              </w:rPr>
              <w:t>1</w:t>
            </w:r>
            <w:r>
              <w:rPr>
                <w:rFonts w:ascii="Cambria" w:eastAsia="바탕" w:hAnsi="Cambria" w:cs="Times New Roman"/>
                <w:szCs w:val="20"/>
                <w:vertAlign w:val="superscript"/>
              </w:rPr>
              <w:t>st</w:t>
            </w:r>
            <w:r>
              <w:rPr>
                <w:rFonts w:ascii="Cambria" w:eastAsia="바탕" w:hAnsi="Cambria" w:cs="Times New Roman"/>
                <w:szCs w:val="20"/>
              </w:rPr>
              <w:t xml:space="preserve"> Quartile</w:t>
            </w:r>
          </w:p>
        </w:tc>
        <w:tc>
          <w:tcPr>
            <w:tcW w:w="833" w:type="pct"/>
          </w:tcPr>
          <w:p w14:paraId="243CF05F" w14:textId="77777777" w:rsidR="0010093F" w:rsidRDefault="00000000">
            <w:pPr>
              <w:jc w:val="center"/>
              <w:rPr>
                <w:rFonts w:ascii="Cambria" w:eastAsia="바탕" w:hAnsi="Cambria" w:cs="Times New Roman"/>
                <w:szCs w:val="20"/>
              </w:rPr>
            </w:pPr>
            <w:r>
              <w:rPr>
                <w:rFonts w:ascii="Cambria" w:eastAsia="바탕" w:hAnsi="Cambria" w:cs="Times New Roman"/>
                <w:szCs w:val="20"/>
              </w:rPr>
              <w:t>Median</w:t>
            </w:r>
          </w:p>
        </w:tc>
        <w:tc>
          <w:tcPr>
            <w:tcW w:w="833" w:type="pct"/>
          </w:tcPr>
          <w:p w14:paraId="50DE3DBC" w14:textId="77777777" w:rsidR="0010093F" w:rsidRDefault="00000000">
            <w:pPr>
              <w:jc w:val="center"/>
              <w:rPr>
                <w:rFonts w:ascii="Cambria" w:eastAsia="바탕" w:hAnsi="Cambria" w:cs="Times New Roman"/>
                <w:szCs w:val="20"/>
              </w:rPr>
            </w:pPr>
            <w:r>
              <w:rPr>
                <w:rFonts w:ascii="Cambria" w:eastAsia="바탕" w:hAnsi="Cambria" w:cs="Times New Roman"/>
                <w:szCs w:val="20"/>
              </w:rPr>
              <w:t>3</w:t>
            </w:r>
            <w:r>
              <w:rPr>
                <w:rFonts w:ascii="Cambria" w:eastAsia="바탕" w:hAnsi="Cambria" w:cs="Times New Roman"/>
                <w:szCs w:val="20"/>
                <w:vertAlign w:val="superscript"/>
              </w:rPr>
              <w:t>rd</w:t>
            </w:r>
            <w:r>
              <w:rPr>
                <w:rFonts w:ascii="Cambria" w:eastAsia="바탕" w:hAnsi="Cambria" w:cs="Times New Roman"/>
                <w:szCs w:val="20"/>
              </w:rPr>
              <w:t xml:space="preserve"> Quartile</w:t>
            </w:r>
          </w:p>
        </w:tc>
        <w:tc>
          <w:tcPr>
            <w:tcW w:w="833" w:type="pct"/>
          </w:tcPr>
          <w:p w14:paraId="78F32B3D" w14:textId="77777777" w:rsidR="0010093F" w:rsidRDefault="00000000">
            <w:pPr>
              <w:jc w:val="center"/>
              <w:rPr>
                <w:rFonts w:ascii="Cambria" w:eastAsia="바탕" w:hAnsi="Cambria" w:cs="Times New Roman"/>
                <w:szCs w:val="20"/>
              </w:rPr>
            </w:pPr>
            <w:r>
              <w:rPr>
                <w:rFonts w:ascii="Cambria" w:eastAsia="바탕" w:hAnsi="Cambria" w:cs="Times New Roman"/>
                <w:szCs w:val="20"/>
              </w:rPr>
              <w:t>Maximum</w:t>
            </w:r>
          </w:p>
        </w:tc>
      </w:tr>
      <w:tr w:rsidR="0010093F" w14:paraId="7EEE2A94" w14:textId="77777777">
        <w:tc>
          <w:tcPr>
            <w:tcW w:w="833" w:type="pct"/>
          </w:tcPr>
          <w:p w14:paraId="4A60E430" w14:textId="77777777" w:rsidR="0010093F" w:rsidRDefault="00000000">
            <w:pPr>
              <w:rPr>
                <w:rFonts w:ascii="Cambria" w:eastAsia="바탕" w:hAnsi="Cambria" w:cs="Times New Roman"/>
                <w:szCs w:val="20"/>
              </w:rPr>
            </w:pPr>
            <w:r>
              <w:rPr>
                <w:rFonts w:ascii="Cambria" w:eastAsia="바탕" w:hAnsi="Cambria" w:cs="Times New Roman"/>
                <w:szCs w:val="20"/>
              </w:rPr>
              <w:t>Total</w:t>
            </w:r>
          </w:p>
        </w:tc>
        <w:tc>
          <w:tcPr>
            <w:tcW w:w="833" w:type="pct"/>
          </w:tcPr>
          <w:p w14:paraId="021EF47C" w14:textId="77777777" w:rsidR="0010093F" w:rsidRDefault="00000000">
            <w:pPr>
              <w:jc w:val="center"/>
              <w:rPr>
                <w:rFonts w:ascii="Cambria" w:eastAsia="바탕" w:hAnsi="Cambria" w:cs="Times New Roman"/>
                <w:szCs w:val="20"/>
              </w:rPr>
            </w:pPr>
            <w:r>
              <w:rPr>
                <w:rFonts w:ascii="Cambria" w:eastAsia="바탕" w:hAnsi="Cambria" w:cs="Times New Roman"/>
                <w:szCs w:val="20"/>
              </w:rPr>
              <w:t>0.008</w:t>
            </w:r>
          </w:p>
        </w:tc>
        <w:tc>
          <w:tcPr>
            <w:tcW w:w="833" w:type="pct"/>
          </w:tcPr>
          <w:p w14:paraId="7895F3DD" w14:textId="77777777" w:rsidR="0010093F" w:rsidRDefault="00000000">
            <w:pPr>
              <w:jc w:val="center"/>
              <w:rPr>
                <w:rFonts w:ascii="Cambria" w:eastAsia="바탕" w:hAnsi="Cambria" w:cs="Times New Roman"/>
                <w:szCs w:val="20"/>
              </w:rPr>
            </w:pPr>
            <w:r>
              <w:rPr>
                <w:rFonts w:ascii="Cambria" w:eastAsia="바탕" w:hAnsi="Cambria" w:cs="Times New Roman"/>
                <w:szCs w:val="20"/>
              </w:rPr>
              <w:t>0.0359</w:t>
            </w:r>
          </w:p>
        </w:tc>
        <w:tc>
          <w:tcPr>
            <w:tcW w:w="833" w:type="pct"/>
          </w:tcPr>
          <w:p w14:paraId="2BB955AE" w14:textId="77777777" w:rsidR="0010093F" w:rsidRDefault="00000000">
            <w:pPr>
              <w:jc w:val="center"/>
              <w:rPr>
                <w:rFonts w:ascii="Cambria" w:eastAsia="바탕" w:hAnsi="Cambria" w:cs="Times New Roman"/>
                <w:szCs w:val="20"/>
              </w:rPr>
            </w:pPr>
            <w:r>
              <w:rPr>
                <w:rFonts w:ascii="Cambria" w:eastAsia="바탕" w:hAnsi="Cambria" w:cs="Times New Roman"/>
                <w:szCs w:val="20"/>
              </w:rPr>
              <w:t>0.0626</w:t>
            </w:r>
          </w:p>
        </w:tc>
        <w:tc>
          <w:tcPr>
            <w:tcW w:w="833" w:type="pct"/>
          </w:tcPr>
          <w:p w14:paraId="0018D074" w14:textId="77777777" w:rsidR="0010093F" w:rsidRDefault="00000000">
            <w:pPr>
              <w:jc w:val="center"/>
              <w:rPr>
                <w:rFonts w:ascii="Cambria" w:eastAsia="바탕" w:hAnsi="Cambria" w:cs="Times New Roman"/>
                <w:szCs w:val="20"/>
              </w:rPr>
            </w:pPr>
            <w:r>
              <w:rPr>
                <w:rFonts w:ascii="Cambria" w:eastAsia="바탕" w:hAnsi="Cambria" w:cs="Times New Roman"/>
                <w:szCs w:val="20"/>
              </w:rPr>
              <w:t>0.1274</w:t>
            </w:r>
          </w:p>
        </w:tc>
        <w:tc>
          <w:tcPr>
            <w:tcW w:w="833" w:type="pct"/>
          </w:tcPr>
          <w:p w14:paraId="53019641" w14:textId="77777777" w:rsidR="0010093F" w:rsidRDefault="00000000">
            <w:pPr>
              <w:jc w:val="center"/>
              <w:rPr>
                <w:rFonts w:ascii="Cambria" w:eastAsia="바탕" w:hAnsi="Cambria" w:cs="Times New Roman"/>
                <w:szCs w:val="20"/>
              </w:rPr>
            </w:pPr>
            <w:r>
              <w:rPr>
                <w:rFonts w:ascii="Cambria" w:eastAsia="바탕" w:hAnsi="Cambria" w:cs="Times New Roman"/>
                <w:szCs w:val="20"/>
              </w:rPr>
              <w:t>11.557</w:t>
            </w:r>
          </w:p>
        </w:tc>
      </w:tr>
      <w:tr w:rsidR="0010093F" w14:paraId="392EC40D" w14:textId="77777777">
        <w:tc>
          <w:tcPr>
            <w:tcW w:w="833" w:type="pct"/>
          </w:tcPr>
          <w:p w14:paraId="11E47DFC" w14:textId="77777777" w:rsidR="0010093F" w:rsidRDefault="00000000">
            <w:pPr>
              <w:rPr>
                <w:rFonts w:ascii="Cambria" w:eastAsia="바탕" w:hAnsi="Cambria" w:cs="Times New Roman"/>
                <w:szCs w:val="20"/>
              </w:rPr>
            </w:pPr>
            <w:r>
              <w:rPr>
                <w:rFonts w:ascii="Cambria" w:eastAsia="바탕" w:hAnsi="Cambria" w:cs="Times New Roman"/>
                <w:szCs w:val="20"/>
              </w:rPr>
              <w:t xml:space="preserve">Male </w:t>
            </w:r>
          </w:p>
        </w:tc>
        <w:tc>
          <w:tcPr>
            <w:tcW w:w="833" w:type="pct"/>
          </w:tcPr>
          <w:p w14:paraId="05C1D6BC" w14:textId="77777777" w:rsidR="0010093F" w:rsidRDefault="00000000">
            <w:pPr>
              <w:jc w:val="center"/>
              <w:rPr>
                <w:rFonts w:ascii="Cambria" w:eastAsia="바탕" w:hAnsi="Cambria" w:cs="Times New Roman"/>
                <w:szCs w:val="20"/>
              </w:rPr>
            </w:pPr>
            <w:r>
              <w:rPr>
                <w:rFonts w:ascii="Cambria" w:eastAsia="바탕" w:hAnsi="Cambria" w:cs="Times New Roman"/>
                <w:szCs w:val="20"/>
              </w:rPr>
              <w:t>0.009</w:t>
            </w:r>
          </w:p>
        </w:tc>
        <w:tc>
          <w:tcPr>
            <w:tcW w:w="833" w:type="pct"/>
          </w:tcPr>
          <w:p w14:paraId="7857A7E3" w14:textId="77777777" w:rsidR="0010093F" w:rsidRDefault="00000000">
            <w:pPr>
              <w:jc w:val="center"/>
              <w:rPr>
                <w:rFonts w:ascii="Cambria" w:eastAsia="바탕" w:hAnsi="Cambria" w:cs="Times New Roman"/>
                <w:szCs w:val="20"/>
              </w:rPr>
            </w:pPr>
            <w:r>
              <w:rPr>
                <w:rFonts w:ascii="Cambria" w:eastAsia="바탕" w:hAnsi="Cambria" w:cs="Times New Roman"/>
                <w:szCs w:val="20"/>
              </w:rPr>
              <w:t>0.0353</w:t>
            </w:r>
          </w:p>
        </w:tc>
        <w:tc>
          <w:tcPr>
            <w:tcW w:w="833" w:type="pct"/>
          </w:tcPr>
          <w:p w14:paraId="55D09524" w14:textId="77777777" w:rsidR="0010093F" w:rsidRDefault="00000000">
            <w:pPr>
              <w:jc w:val="center"/>
              <w:rPr>
                <w:rFonts w:ascii="Cambria" w:eastAsia="바탕" w:hAnsi="Cambria" w:cs="Times New Roman"/>
                <w:szCs w:val="20"/>
              </w:rPr>
            </w:pPr>
            <w:r>
              <w:rPr>
                <w:rFonts w:ascii="Cambria" w:eastAsia="바탕" w:hAnsi="Cambria" w:cs="Times New Roman"/>
                <w:szCs w:val="20"/>
              </w:rPr>
              <w:t>0.0613</w:t>
            </w:r>
          </w:p>
        </w:tc>
        <w:tc>
          <w:tcPr>
            <w:tcW w:w="833" w:type="pct"/>
          </w:tcPr>
          <w:p w14:paraId="3DF672A6" w14:textId="77777777" w:rsidR="0010093F" w:rsidRDefault="00000000">
            <w:pPr>
              <w:jc w:val="center"/>
              <w:rPr>
                <w:rFonts w:ascii="Cambria" w:eastAsia="바탕" w:hAnsi="Cambria" w:cs="Times New Roman"/>
                <w:szCs w:val="20"/>
              </w:rPr>
            </w:pPr>
            <w:r>
              <w:rPr>
                <w:rFonts w:ascii="Cambria" w:eastAsia="바탕" w:hAnsi="Cambria" w:cs="Times New Roman"/>
                <w:szCs w:val="20"/>
              </w:rPr>
              <w:t>0.1173</w:t>
            </w:r>
          </w:p>
        </w:tc>
        <w:tc>
          <w:tcPr>
            <w:tcW w:w="833" w:type="pct"/>
          </w:tcPr>
          <w:p w14:paraId="32992BB6" w14:textId="77777777" w:rsidR="0010093F" w:rsidRDefault="00000000">
            <w:pPr>
              <w:jc w:val="center"/>
              <w:rPr>
                <w:rFonts w:ascii="Cambria" w:eastAsia="바탕" w:hAnsi="Cambria" w:cs="Times New Roman"/>
                <w:szCs w:val="20"/>
              </w:rPr>
            </w:pPr>
            <w:r>
              <w:rPr>
                <w:rFonts w:ascii="Cambria" w:eastAsia="바탕" w:hAnsi="Cambria" w:cs="Times New Roman"/>
                <w:szCs w:val="20"/>
              </w:rPr>
              <w:t>11.557</w:t>
            </w:r>
          </w:p>
        </w:tc>
      </w:tr>
      <w:tr w:rsidR="0010093F" w14:paraId="1F5D6147" w14:textId="77777777">
        <w:tc>
          <w:tcPr>
            <w:tcW w:w="833" w:type="pct"/>
          </w:tcPr>
          <w:p w14:paraId="522405E1" w14:textId="77777777" w:rsidR="0010093F" w:rsidRDefault="00000000">
            <w:pPr>
              <w:rPr>
                <w:rFonts w:ascii="Cambria" w:eastAsia="바탕" w:hAnsi="Cambria" w:cs="Times New Roman"/>
                <w:szCs w:val="20"/>
              </w:rPr>
            </w:pPr>
            <w:r>
              <w:rPr>
                <w:rFonts w:ascii="Cambria" w:eastAsia="바탕" w:hAnsi="Cambria" w:cs="Times New Roman"/>
                <w:szCs w:val="20"/>
              </w:rPr>
              <w:t>Female</w:t>
            </w:r>
          </w:p>
        </w:tc>
        <w:tc>
          <w:tcPr>
            <w:tcW w:w="833" w:type="pct"/>
          </w:tcPr>
          <w:p w14:paraId="4B027CCD" w14:textId="77777777" w:rsidR="0010093F" w:rsidRDefault="00000000">
            <w:pPr>
              <w:jc w:val="center"/>
              <w:rPr>
                <w:rFonts w:ascii="Cambria" w:eastAsia="바탕" w:hAnsi="Cambria" w:cs="Times New Roman"/>
                <w:szCs w:val="20"/>
              </w:rPr>
            </w:pPr>
            <w:r>
              <w:rPr>
                <w:rFonts w:ascii="Cambria" w:eastAsia="바탕" w:hAnsi="Cambria" w:cs="Times New Roman"/>
                <w:szCs w:val="20"/>
              </w:rPr>
              <w:t>0.008</w:t>
            </w:r>
          </w:p>
        </w:tc>
        <w:tc>
          <w:tcPr>
            <w:tcW w:w="833" w:type="pct"/>
          </w:tcPr>
          <w:p w14:paraId="397AAC2D" w14:textId="77777777" w:rsidR="0010093F" w:rsidRDefault="00000000">
            <w:pPr>
              <w:jc w:val="center"/>
              <w:rPr>
                <w:rFonts w:ascii="Cambria" w:eastAsia="바탕" w:hAnsi="Cambria" w:cs="Times New Roman"/>
                <w:szCs w:val="20"/>
              </w:rPr>
            </w:pPr>
            <w:r>
              <w:rPr>
                <w:rFonts w:ascii="Cambria" w:eastAsia="바탕" w:hAnsi="Cambria" w:cs="Times New Roman"/>
                <w:szCs w:val="20"/>
              </w:rPr>
              <w:t>0.0376</w:t>
            </w:r>
          </w:p>
        </w:tc>
        <w:tc>
          <w:tcPr>
            <w:tcW w:w="833" w:type="pct"/>
          </w:tcPr>
          <w:p w14:paraId="322BFCCF" w14:textId="77777777" w:rsidR="0010093F" w:rsidRDefault="00000000">
            <w:pPr>
              <w:jc w:val="center"/>
              <w:rPr>
                <w:rFonts w:ascii="Cambria" w:eastAsia="바탕" w:hAnsi="Cambria" w:cs="Times New Roman"/>
                <w:szCs w:val="20"/>
              </w:rPr>
            </w:pPr>
            <w:r>
              <w:rPr>
                <w:rFonts w:ascii="Cambria" w:eastAsia="바탕" w:hAnsi="Cambria" w:cs="Times New Roman"/>
                <w:szCs w:val="20"/>
              </w:rPr>
              <w:t>0.0678</w:t>
            </w:r>
          </w:p>
        </w:tc>
        <w:tc>
          <w:tcPr>
            <w:tcW w:w="833" w:type="pct"/>
          </w:tcPr>
          <w:p w14:paraId="5C8E6F75" w14:textId="77777777" w:rsidR="0010093F" w:rsidRDefault="00000000">
            <w:pPr>
              <w:jc w:val="center"/>
              <w:rPr>
                <w:rFonts w:ascii="Cambria" w:eastAsia="바탕" w:hAnsi="Cambria" w:cs="Times New Roman"/>
                <w:szCs w:val="20"/>
              </w:rPr>
            </w:pPr>
            <w:r>
              <w:rPr>
                <w:rFonts w:ascii="Cambria" w:eastAsia="바탕" w:hAnsi="Cambria" w:cs="Times New Roman"/>
                <w:szCs w:val="20"/>
              </w:rPr>
              <w:t>0.1421</w:t>
            </w:r>
          </w:p>
        </w:tc>
        <w:tc>
          <w:tcPr>
            <w:tcW w:w="833" w:type="pct"/>
          </w:tcPr>
          <w:p w14:paraId="5F56C8AC" w14:textId="77777777" w:rsidR="0010093F" w:rsidRDefault="00000000">
            <w:pPr>
              <w:jc w:val="center"/>
              <w:rPr>
                <w:rFonts w:ascii="Cambria" w:eastAsia="바탕" w:hAnsi="Cambria" w:cs="Times New Roman"/>
                <w:szCs w:val="20"/>
              </w:rPr>
            </w:pPr>
            <w:r>
              <w:rPr>
                <w:rFonts w:ascii="Cambria" w:eastAsia="바탕" w:hAnsi="Cambria" w:cs="Times New Roman"/>
                <w:szCs w:val="20"/>
              </w:rPr>
              <w:t>10.537</w:t>
            </w:r>
          </w:p>
        </w:tc>
      </w:tr>
      <w:bookmarkEnd w:id="0"/>
    </w:tbl>
    <w:p w14:paraId="5C699EC2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5AFC5AA2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1E2DD0BF" w14:textId="77777777" w:rsidR="0010093F" w:rsidRDefault="0010093F">
      <w:pPr>
        <w:rPr>
          <w:rFonts w:ascii="Cambria" w:hAnsi="Cambria" w:cs="Times New Roman"/>
          <w:b/>
          <w:bCs/>
          <w:szCs w:val="20"/>
        </w:rPr>
      </w:pPr>
    </w:p>
    <w:p w14:paraId="13008DD3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13BCEFBA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4A7A16C4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43679901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6D8C8CE1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200D0FB8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776BB72B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233DB408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04746559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183C3C46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27E8A999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751E3F2D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26A273FA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058422C9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161A25A5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4BF47B6D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315E15E3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4F5C5415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75CEA9C7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7CF33F8A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271C8867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62CBBC20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4FA589F2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3ACC0A8A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317F03F8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476AB83F" w14:textId="67944F0C" w:rsidR="007775BD" w:rsidRPr="007775BD" w:rsidRDefault="007775BD">
      <w:pPr>
        <w:rPr>
          <w:rFonts w:ascii="Cambria" w:hAnsi="Cambria" w:cs="Times New Roman" w:hint="eastAsia"/>
          <w:b/>
          <w:szCs w:val="20"/>
        </w:rPr>
      </w:pPr>
      <w:r>
        <w:rPr>
          <w:rFonts w:ascii="Cambria" w:hAnsi="Cambria" w:hint="eastAsia"/>
          <w:b/>
          <w:bCs/>
          <w:szCs w:val="20"/>
        </w:rPr>
        <w:lastRenderedPageBreak/>
        <w:t xml:space="preserve">Supplementary Table 2. Pairwise </w:t>
      </w:r>
      <w:r w:rsidRPr="007775BD">
        <w:rPr>
          <w:rFonts w:ascii="Cambria" w:hAnsi="Cambria" w:hint="eastAsia"/>
          <w:b/>
          <w:bCs/>
          <w:i/>
          <w:iCs/>
          <w:szCs w:val="20"/>
        </w:rPr>
        <w:t>p</w:t>
      </w:r>
      <w:r>
        <w:rPr>
          <w:rFonts w:ascii="Cambria" w:hAnsi="Cambria" w:hint="eastAsia"/>
          <w:b/>
          <w:bCs/>
          <w:szCs w:val="20"/>
        </w:rPr>
        <w:t>-value comparisons of OS according to the CSR quartiles.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7775BD" w14:paraId="46674F44" w14:textId="77777777" w:rsidTr="007775BD">
        <w:tc>
          <w:tcPr>
            <w:tcW w:w="1803" w:type="dxa"/>
          </w:tcPr>
          <w:p w14:paraId="3177D5A3" w14:textId="1DDDF889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Subgroups</w:t>
            </w:r>
          </w:p>
        </w:tc>
        <w:tc>
          <w:tcPr>
            <w:tcW w:w="1803" w:type="dxa"/>
          </w:tcPr>
          <w:p w14:paraId="5D4B8A3B" w14:textId="5C166A23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Total Cohort</w:t>
            </w:r>
          </w:p>
        </w:tc>
        <w:tc>
          <w:tcPr>
            <w:tcW w:w="1803" w:type="dxa"/>
          </w:tcPr>
          <w:p w14:paraId="3602E63B" w14:textId="1CA25E8D" w:rsidR="007775BD" w:rsidRPr="007775BD" w:rsidRDefault="007775BD" w:rsidP="007775BD">
            <w:pPr>
              <w:jc w:val="center"/>
              <w:rPr>
                <w:rFonts w:ascii="Cambria" w:eastAsia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S</w:t>
            </w: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tage I</w:t>
            </w:r>
          </w:p>
        </w:tc>
        <w:tc>
          <w:tcPr>
            <w:tcW w:w="1803" w:type="dxa"/>
          </w:tcPr>
          <w:p w14:paraId="28473562" w14:textId="27A0E774" w:rsidR="007775BD" w:rsidRPr="007775BD" w:rsidRDefault="007775BD" w:rsidP="007775BD">
            <w:pPr>
              <w:jc w:val="center"/>
              <w:rPr>
                <w:rFonts w:ascii="Cambria" w:eastAsia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S</w:t>
            </w: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tage II</w:t>
            </w:r>
          </w:p>
        </w:tc>
        <w:tc>
          <w:tcPr>
            <w:tcW w:w="1804" w:type="dxa"/>
          </w:tcPr>
          <w:p w14:paraId="4ED7C32C" w14:textId="371F5336" w:rsidR="007775BD" w:rsidRPr="007775BD" w:rsidRDefault="007775BD" w:rsidP="007775BD">
            <w:pPr>
              <w:jc w:val="center"/>
              <w:rPr>
                <w:rFonts w:ascii="Cambria" w:eastAsia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S</w:t>
            </w: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tage III</w:t>
            </w:r>
          </w:p>
        </w:tc>
      </w:tr>
      <w:tr w:rsidR="007775BD" w14:paraId="49AF0201" w14:textId="77777777" w:rsidTr="007775BD">
        <w:tc>
          <w:tcPr>
            <w:tcW w:w="1803" w:type="dxa"/>
          </w:tcPr>
          <w:p w14:paraId="0458CD35" w14:textId="6D7A7D31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 xml:space="preserve">Overall log-rank </w:t>
            </w:r>
            <w:r w:rsidRPr="007775BD">
              <w:rPr>
                <w:rFonts w:ascii="Cambria" w:hAnsi="Cambria" w:cs="Times New Roman" w:hint="eastAsia"/>
                <w:i/>
                <w:iCs/>
                <w:sz w:val="20"/>
                <w:szCs w:val="20"/>
              </w:rPr>
              <w:t xml:space="preserve">P </w:t>
            </w: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value</w:t>
            </w:r>
          </w:p>
        </w:tc>
        <w:tc>
          <w:tcPr>
            <w:tcW w:w="1803" w:type="dxa"/>
          </w:tcPr>
          <w:p w14:paraId="5DC51423" w14:textId="20D473A7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&lt;0.001</w:t>
            </w:r>
          </w:p>
        </w:tc>
        <w:tc>
          <w:tcPr>
            <w:tcW w:w="1803" w:type="dxa"/>
          </w:tcPr>
          <w:p w14:paraId="6CA27128" w14:textId="3BBC8AAE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0.254</w:t>
            </w:r>
          </w:p>
        </w:tc>
        <w:tc>
          <w:tcPr>
            <w:tcW w:w="1803" w:type="dxa"/>
          </w:tcPr>
          <w:p w14:paraId="2EDC01B2" w14:textId="68817217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0.008</w:t>
            </w:r>
          </w:p>
        </w:tc>
        <w:tc>
          <w:tcPr>
            <w:tcW w:w="1804" w:type="dxa"/>
          </w:tcPr>
          <w:p w14:paraId="4939CE60" w14:textId="3F79B31B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0.061</w:t>
            </w:r>
          </w:p>
        </w:tc>
      </w:tr>
      <w:tr w:rsidR="007775BD" w14:paraId="61669390" w14:textId="77777777" w:rsidTr="007775BD">
        <w:tc>
          <w:tcPr>
            <w:tcW w:w="1803" w:type="dxa"/>
          </w:tcPr>
          <w:p w14:paraId="59ECC4FE" w14:textId="07C2D107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Q1 vs Q2</w:t>
            </w:r>
          </w:p>
        </w:tc>
        <w:tc>
          <w:tcPr>
            <w:tcW w:w="1803" w:type="dxa"/>
          </w:tcPr>
          <w:p w14:paraId="6B4E1BF0" w14:textId="271298F8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0.012</w:t>
            </w:r>
          </w:p>
        </w:tc>
        <w:tc>
          <w:tcPr>
            <w:tcW w:w="1803" w:type="dxa"/>
          </w:tcPr>
          <w:p w14:paraId="2E92B3F5" w14:textId="16322557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0.160</w:t>
            </w:r>
          </w:p>
        </w:tc>
        <w:tc>
          <w:tcPr>
            <w:tcW w:w="1803" w:type="dxa"/>
          </w:tcPr>
          <w:p w14:paraId="4D0E9BE3" w14:textId="35ACEE3E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0.753</w:t>
            </w:r>
          </w:p>
        </w:tc>
        <w:tc>
          <w:tcPr>
            <w:tcW w:w="1804" w:type="dxa"/>
          </w:tcPr>
          <w:p w14:paraId="447F4428" w14:textId="78D856E3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0.066</w:t>
            </w:r>
          </w:p>
        </w:tc>
      </w:tr>
      <w:tr w:rsidR="007775BD" w14:paraId="4A06FC5A" w14:textId="77777777" w:rsidTr="007775BD">
        <w:tc>
          <w:tcPr>
            <w:tcW w:w="1803" w:type="dxa"/>
          </w:tcPr>
          <w:p w14:paraId="3737DDC5" w14:textId="1F421620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Q1 vs Q3</w:t>
            </w:r>
          </w:p>
        </w:tc>
        <w:tc>
          <w:tcPr>
            <w:tcW w:w="1803" w:type="dxa"/>
          </w:tcPr>
          <w:p w14:paraId="75439BF7" w14:textId="29CC2706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&lt;0.001</w:t>
            </w:r>
          </w:p>
        </w:tc>
        <w:tc>
          <w:tcPr>
            <w:tcW w:w="1803" w:type="dxa"/>
          </w:tcPr>
          <w:p w14:paraId="3DC344EC" w14:textId="41928D76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0.040</w:t>
            </w:r>
          </w:p>
        </w:tc>
        <w:tc>
          <w:tcPr>
            <w:tcW w:w="1803" w:type="dxa"/>
          </w:tcPr>
          <w:p w14:paraId="0737E4AF" w14:textId="657320AB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0.061</w:t>
            </w:r>
          </w:p>
        </w:tc>
        <w:tc>
          <w:tcPr>
            <w:tcW w:w="1804" w:type="dxa"/>
          </w:tcPr>
          <w:p w14:paraId="064CC3FA" w14:textId="0E69B120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0.082</w:t>
            </w:r>
          </w:p>
        </w:tc>
      </w:tr>
      <w:tr w:rsidR="007775BD" w14:paraId="18B25E7A" w14:textId="77777777" w:rsidTr="007775BD">
        <w:tc>
          <w:tcPr>
            <w:tcW w:w="1803" w:type="dxa"/>
          </w:tcPr>
          <w:p w14:paraId="090BDAD2" w14:textId="7989BB76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Q1 vs Q4</w:t>
            </w:r>
          </w:p>
        </w:tc>
        <w:tc>
          <w:tcPr>
            <w:tcW w:w="1803" w:type="dxa"/>
          </w:tcPr>
          <w:p w14:paraId="26D660C4" w14:textId="62A24C53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&lt;0.001</w:t>
            </w:r>
          </w:p>
        </w:tc>
        <w:tc>
          <w:tcPr>
            <w:tcW w:w="1803" w:type="dxa"/>
          </w:tcPr>
          <w:p w14:paraId="094AF4B5" w14:textId="33C02ACB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0.453</w:t>
            </w:r>
          </w:p>
        </w:tc>
        <w:tc>
          <w:tcPr>
            <w:tcW w:w="1803" w:type="dxa"/>
          </w:tcPr>
          <w:p w14:paraId="1B9A6B65" w14:textId="1A728FF6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0.005</w:t>
            </w:r>
          </w:p>
        </w:tc>
        <w:tc>
          <w:tcPr>
            <w:tcW w:w="1804" w:type="dxa"/>
          </w:tcPr>
          <w:p w14:paraId="0E16B88B" w14:textId="2F224E58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0.007</w:t>
            </w:r>
          </w:p>
        </w:tc>
      </w:tr>
      <w:tr w:rsidR="007775BD" w14:paraId="2DF6B479" w14:textId="77777777" w:rsidTr="007775BD">
        <w:tc>
          <w:tcPr>
            <w:tcW w:w="1803" w:type="dxa"/>
          </w:tcPr>
          <w:p w14:paraId="0DDF27B8" w14:textId="033C631A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Q2 vs Q3</w:t>
            </w:r>
          </w:p>
        </w:tc>
        <w:tc>
          <w:tcPr>
            <w:tcW w:w="1803" w:type="dxa"/>
          </w:tcPr>
          <w:p w14:paraId="45037691" w14:textId="000E35EE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0.258</w:t>
            </w:r>
          </w:p>
        </w:tc>
        <w:tc>
          <w:tcPr>
            <w:tcW w:w="1803" w:type="dxa"/>
          </w:tcPr>
          <w:p w14:paraId="30E85F69" w14:textId="5D3B5920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0.524</w:t>
            </w:r>
          </w:p>
        </w:tc>
        <w:tc>
          <w:tcPr>
            <w:tcW w:w="1803" w:type="dxa"/>
          </w:tcPr>
          <w:p w14:paraId="5DA1049A" w14:textId="4BF71C55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0.111</w:t>
            </w:r>
          </w:p>
        </w:tc>
        <w:tc>
          <w:tcPr>
            <w:tcW w:w="1804" w:type="dxa"/>
          </w:tcPr>
          <w:p w14:paraId="053A7066" w14:textId="4824BA45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0.893</w:t>
            </w:r>
          </w:p>
        </w:tc>
      </w:tr>
      <w:tr w:rsidR="007775BD" w14:paraId="1743FBCC" w14:textId="77777777" w:rsidTr="007775BD">
        <w:tc>
          <w:tcPr>
            <w:tcW w:w="1803" w:type="dxa"/>
          </w:tcPr>
          <w:p w14:paraId="0BA7AE32" w14:textId="3EF0B85B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Q2 vs Q4</w:t>
            </w:r>
          </w:p>
        </w:tc>
        <w:tc>
          <w:tcPr>
            <w:tcW w:w="1803" w:type="dxa"/>
          </w:tcPr>
          <w:p w14:paraId="3AD26C70" w14:textId="1781A6B1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0.002</w:t>
            </w:r>
          </w:p>
        </w:tc>
        <w:tc>
          <w:tcPr>
            <w:tcW w:w="1803" w:type="dxa"/>
          </w:tcPr>
          <w:p w14:paraId="3596DEF8" w14:textId="0E36AF56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0.905</w:t>
            </w:r>
          </w:p>
        </w:tc>
        <w:tc>
          <w:tcPr>
            <w:tcW w:w="1803" w:type="dxa"/>
          </w:tcPr>
          <w:p w14:paraId="77F495ED" w14:textId="7F3A5833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0.011</w:t>
            </w:r>
          </w:p>
        </w:tc>
        <w:tc>
          <w:tcPr>
            <w:tcW w:w="1804" w:type="dxa"/>
          </w:tcPr>
          <w:p w14:paraId="7D288A06" w14:textId="4EEDFA35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0.352</w:t>
            </w:r>
          </w:p>
        </w:tc>
      </w:tr>
      <w:tr w:rsidR="007775BD" w14:paraId="4B9AD9F5" w14:textId="77777777" w:rsidTr="007775BD">
        <w:tc>
          <w:tcPr>
            <w:tcW w:w="1803" w:type="dxa"/>
          </w:tcPr>
          <w:p w14:paraId="2DF9A2C6" w14:textId="5030A9F6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Q3 vs Q4</w:t>
            </w:r>
          </w:p>
        </w:tc>
        <w:tc>
          <w:tcPr>
            <w:tcW w:w="1803" w:type="dxa"/>
          </w:tcPr>
          <w:p w14:paraId="5CE660AB" w14:textId="1A4B4ED6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0.054</w:t>
            </w:r>
          </w:p>
        </w:tc>
        <w:tc>
          <w:tcPr>
            <w:tcW w:w="1803" w:type="dxa"/>
          </w:tcPr>
          <w:p w14:paraId="0D1758B1" w14:textId="7C08BFA6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0.644</w:t>
            </w:r>
          </w:p>
        </w:tc>
        <w:tc>
          <w:tcPr>
            <w:tcW w:w="1803" w:type="dxa"/>
          </w:tcPr>
          <w:p w14:paraId="53B2263D" w14:textId="72719501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0.320</w:t>
            </w:r>
          </w:p>
        </w:tc>
        <w:tc>
          <w:tcPr>
            <w:tcW w:w="1804" w:type="dxa"/>
          </w:tcPr>
          <w:p w14:paraId="7471C4E1" w14:textId="3B16487B" w:rsidR="007775BD" w:rsidRPr="007775BD" w:rsidRDefault="007775BD" w:rsidP="007775BD">
            <w:pPr>
              <w:jc w:val="center"/>
              <w:rPr>
                <w:rFonts w:ascii="Cambria" w:hAnsi="Cambria" w:cs="Times New Roman" w:hint="eastAsia"/>
                <w:sz w:val="20"/>
                <w:szCs w:val="20"/>
              </w:rPr>
            </w:pPr>
            <w:r w:rsidRPr="007775BD">
              <w:rPr>
                <w:rFonts w:ascii="Cambria" w:hAnsi="Cambria" w:cs="Times New Roman" w:hint="eastAsia"/>
                <w:sz w:val="20"/>
                <w:szCs w:val="20"/>
              </w:rPr>
              <w:t>0.263</w:t>
            </w:r>
          </w:p>
        </w:tc>
      </w:tr>
    </w:tbl>
    <w:p w14:paraId="5EADE555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44A77AA6" w14:textId="6F714BE9" w:rsidR="007775BD" w:rsidRPr="007775BD" w:rsidRDefault="007775BD" w:rsidP="007775BD">
      <w:pPr>
        <w:rPr>
          <w:rFonts w:hint="eastAsia"/>
        </w:rPr>
      </w:pPr>
      <w:r w:rsidRPr="007775BD">
        <w:rPr>
          <w:rFonts w:ascii="Cambria" w:eastAsia="Cambria" w:hAnsi="Cambria"/>
          <w:b/>
          <w:bCs/>
          <w:i/>
          <w:iCs/>
        </w:rPr>
        <w:t>P</w:t>
      </w:r>
      <w:r>
        <w:rPr>
          <w:rFonts w:ascii="Cambria" w:hAnsi="Cambria" w:hint="eastAsia"/>
          <w:b/>
          <w:bCs/>
        </w:rPr>
        <w:t>-</w:t>
      </w:r>
      <w:r w:rsidRPr="007775BD">
        <w:rPr>
          <w:rFonts w:ascii="Cambria" w:eastAsia="Cambria" w:hAnsi="Cambria"/>
          <w:b/>
          <w:bCs/>
        </w:rPr>
        <w:t>values were calculated using the log-rank test for pairwise comparisons between the CSR quartiles.</w:t>
      </w:r>
    </w:p>
    <w:p w14:paraId="5043E5B0" w14:textId="77777777" w:rsidR="0010093F" w:rsidRPr="007775BD" w:rsidRDefault="0010093F">
      <w:pPr>
        <w:rPr>
          <w:rFonts w:ascii="Cambria" w:hAnsi="Cambria" w:cs="Times New Roman"/>
          <w:b/>
          <w:bCs/>
          <w:szCs w:val="20"/>
        </w:rPr>
      </w:pPr>
    </w:p>
    <w:p w14:paraId="0BABE455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69786F40" w14:textId="77777777" w:rsidR="007775BD" w:rsidRDefault="007775BD">
      <w:pPr>
        <w:rPr>
          <w:rFonts w:ascii="Cambria" w:hAnsi="Cambria" w:cs="Times New Roman"/>
          <w:b/>
          <w:bCs/>
          <w:szCs w:val="20"/>
        </w:rPr>
      </w:pPr>
    </w:p>
    <w:p w14:paraId="563F6152" w14:textId="77777777" w:rsidR="007775BD" w:rsidRPr="007775BD" w:rsidRDefault="007775BD">
      <w:pPr>
        <w:rPr>
          <w:rFonts w:ascii="Cambria" w:hAnsi="Cambria" w:cs="Times New Roman" w:hint="eastAsia"/>
          <w:b/>
          <w:bCs/>
          <w:szCs w:val="20"/>
        </w:rPr>
      </w:pPr>
    </w:p>
    <w:p w14:paraId="57CF7BC9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4DCCA89B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3F6D334D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5B55E783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099F84EE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47BB46FF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769F88BD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614DAE46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7C2397C1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7C81CFA1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1B0751E5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02DD8228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06D6E258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7CB60B15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6ED40F8A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586519D7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399D3EEC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6083BA33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388B27E5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217134A7" w14:textId="77777777" w:rsidR="0010093F" w:rsidRPr="00470152" w:rsidRDefault="0010093F">
      <w:pPr>
        <w:rPr>
          <w:rFonts w:ascii="Cambria" w:hAnsi="Cambria" w:cs="Times New Roman" w:hint="eastAsia"/>
          <w:b/>
          <w:bCs/>
          <w:szCs w:val="20"/>
        </w:rPr>
      </w:pPr>
    </w:p>
    <w:p w14:paraId="0EFDB1EE" w14:textId="77777777" w:rsidR="0010093F" w:rsidRDefault="00000000">
      <w:pPr>
        <w:rPr>
          <w:rFonts w:ascii="Cambria" w:eastAsia="Cambria" w:hAnsi="Cambria" w:cs="Times New Roman"/>
          <w:b/>
          <w:bCs/>
          <w:szCs w:val="20"/>
        </w:rPr>
      </w:pPr>
      <w:r>
        <w:rPr>
          <w:rFonts w:ascii="Cambria" w:eastAsia="Cambria" w:hAnsi="Cambria" w:cs="Times New Roman"/>
          <w:b/>
          <w:bCs/>
          <w:szCs w:val="20"/>
        </w:rPr>
        <w:lastRenderedPageBreak/>
        <w:t>Supplementary Figure 3.</w:t>
      </w:r>
      <w:r>
        <w:rPr>
          <w:rFonts w:ascii="Cambria" w:eastAsia="Cambria" w:hAnsi="Cambria"/>
          <w:b/>
          <w:bCs/>
        </w:rPr>
        <w:t xml:space="preserve"> Kaplan-Meier overall survival curves according to preoperative CEA levels and SMI status.</w:t>
      </w:r>
    </w:p>
    <w:p w14:paraId="359FA0F9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47EF3C0F" w14:textId="77777777" w:rsidR="0010093F" w:rsidRDefault="00000000">
      <w:pPr>
        <w:rPr>
          <w:rFonts w:ascii="Cambria" w:eastAsia="Cambria" w:hAnsi="Cambria" w:cs="Times New Roman"/>
          <w:b/>
          <w:bCs/>
          <w:szCs w:val="20"/>
        </w:rPr>
      </w:pPr>
      <w:r>
        <w:rPr>
          <w:rFonts w:ascii="Cambria" w:eastAsia="Cambria" w:hAnsi="Cambria" w:cs="Times New Roman" w:hint="eastAsia"/>
          <w:b/>
          <w:bCs/>
          <w:noProof/>
          <w:szCs w:val="20"/>
        </w:rPr>
        <w:drawing>
          <wp:inline distT="0" distB="0" distL="180" distR="180" wp14:anchorId="42B9BB71" wp14:editId="6A58C779">
            <wp:extent cx="6360516" cy="3872701"/>
            <wp:effectExtent l="0" t="0" r="0" b="0"/>
            <wp:docPr id="1029" name="shape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0516" cy="3872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FEFDA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0D016753" w14:textId="77777777" w:rsidR="0010093F" w:rsidRDefault="00000000">
      <w:r>
        <w:rPr>
          <w:rFonts w:ascii="Cambria" w:eastAsia="Cambria" w:hAnsi="Cambria"/>
          <w:b/>
          <w:bCs/>
        </w:rPr>
        <w:t>Patients in the low CEA group (&lt;5 ng/mL) showed a significantly better 5-year overall survival rate compared to the high CEA group (87.7% vs. 77.5%, P &lt; 0.001). Similarly, the normal SMI group exhibited superior 5-year survival compared to the low SMI group defined by Martin’s criteria (88.5% vs. 80.5%, P &lt; 0.001).</w:t>
      </w:r>
    </w:p>
    <w:p w14:paraId="09E58890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45B4B2A3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4035E524" w14:textId="77777777" w:rsidR="0010093F" w:rsidRDefault="0010093F">
      <w:pPr>
        <w:rPr>
          <w:rFonts w:ascii="Cambria" w:eastAsia="Cambria" w:hAnsi="Cambria"/>
          <w:b/>
          <w:bCs/>
        </w:rPr>
      </w:pPr>
    </w:p>
    <w:p w14:paraId="6EA46C51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34DC6240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05B210CA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1B3AB933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36DFACA0" w14:textId="77777777" w:rsidR="0010093F" w:rsidRDefault="0010093F">
      <w:pPr>
        <w:rPr>
          <w:rFonts w:ascii="Cambria" w:eastAsia="Cambria" w:hAnsi="Cambria" w:cs="Times New Roman"/>
          <w:b/>
          <w:bCs/>
          <w:szCs w:val="20"/>
        </w:rPr>
      </w:pPr>
    </w:p>
    <w:p w14:paraId="77458D84" w14:textId="77777777" w:rsidR="0010093F" w:rsidRDefault="0010093F">
      <w:pPr>
        <w:rPr>
          <w:rFonts w:hint="eastAsia"/>
        </w:rPr>
      </w:pPr>
    </w:p>
    <w:sectPr w:rsidR="0010093F"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8D39B" w14:textId="77777777" w:rsidR="00EE2122" w:rsidRDefault="00EE2122" w:rsidP="00746543">
      <w:pPr>
        <w:spacing w:after="0" w:line="240" w:lineRule="auto"/>
      </w:pPr>
      <w:r>
        <w:separator/>
      </w:r>
    </w:p>
  </w:endnote>
  <w:endnote w:type="continuationSeparator" w:id="0">
    <w:p w14:paraId="22C7A950" w14:textId="77777777" w:rsidR="00EE2122" w:rsidRDefault="00EE2122" w:rsidP="00746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9CC01" w14:textId="77777777" w:rsidR="00EE2122" w:rsidRDefault="00EE2122" w:rsidP="00746543">
      <w:pPr>
        <w:spacing w:after="0" w:line="240" w:lineRule="auto"/>
      </w:pPr>
      <w:r>
        <w:separator/>
      </w:r>
    </w:p>
  </w:footnote>
  <w:footnote w:type="continuationSeparator" w:id="0">
    <w:p w14:paraId="2DFC2D26" w14:textId="77777777" w:rsidR="00EE2122" w:rsidRDefault="00EE2122" w:rsidP="007465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GrammaticalErrors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93F"/>
    <w:rsid w:val="0010093F"/>
    <w:rsid w:val="002C1B7B"/>
    <w:rsid w:val="0044289D"/>
    <w:rsid w:val="00470152"/>
    <w:rsid w:val="00470195"/>
    <w:rsid w:val="0065730B"/>
    <w:rsid w:val="006716C9"/>
    <w:rsid w:val="00746543"/>
    <w:rsid w:val="007775BD"/>
    <w:rsid w:val="00905BFF"/>
    <w:rsid w:val="009812E1"/>
    <w:rsid w:val="009A3F49"/>
    <w:rsid w:val="009A5A41"/>
    <w:rsid w:val="00A4548B"/>
    <w:rsid w:val="00BE7084"/>
    <w:rsid w:val="00C65848"/>
    <w:rsid w:val="00E058D8"/>
    <w:rsid w:val="00E30B6B"/>
    <w:rsid w:val="00EE2122"/>
    <w:rsid w:val="00F5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F10876"/>
  <w15:docId w15:val="{BB5C0D68-5F44-45D0-BDEB-3A5ECB02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  <w:jc w:val="left"/>
    </w:pPr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74654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746543"/>
  </w:style>
  <w:style w:type="paragraph" w:styleId="a5">
    <w:name w:val="footer"/>
    <w:basedOn w:val="a"/>
    <w:link w:val="Char0"/>
    <w:uiPriority w:val="99"/>
    <w:unhideWhenUsed/>
    <w:rsid w:val="0074654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746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동희 이</dc:creator>
  <cp:keywords/>
  <dc:description/>
  <cp:lastModifiedBy>동희 이</cp:lastModifiedBy>
  <cp:revision>3</cp:revision>
  <dcterms:created xsi:type="dcterms:W3CDTF">2026-06-18T03:01:00Z</dcterms:created>
  <dcterms:modified xsi:type="dcterms:W3CDTF">2026-06-18T04:12:00Z</dcterms:modified>
  <cp:version>1100.0100.01</cp:version>
</cp:coreProperties>
</file>