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C94C5">
      <w:pPr>
        <w:spacing w:before="0" w:after="0" w:line="240" w:lineRule="auto"/>
        <w:jc w:val="center"/>
      </w:pPr>
      <w:bookmarkStart w:id="0" w:name="_GoBack"/>
      <w:bookmarkEnd w:id="0"/>
      <w:r>
        <w:rPr>
          <w:rFonts w:ascii="Arial" w:hAnsi="Arial"/>
          <w:b/>
          <w:sz w:val="22"/>
        </w:rPr>
        <w:t>Supplementary Appendix 1. CHART Checklist</w:t>
      </w:r>
    </w:p>
    <w:p w14:paraId="2B748312">
      <w:pPr>
        <w:spacing w:before="0" w:after="0" w:line="240" w:lineRule="auto"/>
      </w:pPr>
      <w:r>
        <w:rPr>
          <w:rFonts w:ascii="Arial" w:hAnsi="Arial"/>
          <w:sz w:val="20"/>
        </w:rPr>
        <w:t>Completed according to the manuscript: Generative AI Responses to Patient-Presented Orthodontic Misinformation and Controversial Claims: A Comparative Cross-Sectional Evaluation of Safety, Accuracy, Evidence Concordance, Misinformation Correction, Uncertainty Communication, Transparency, and Actionability.</w:t>
      </w:r>
    </w:p>
    <w:p w14:paraId="308A8252">
      <w:pPr>
        <w:spacing w:before="0" w:after="0" w:line="240" w:lineRule="auto"/>
      </w:pPr>
      <w:r>
        <w:rPr>
          <w:rFonts w:ascii="Arial" w:hAnsi="Arial"/>
          <w:sz w:val="20"/>
        </w:rPr>
        <w:t>Checklist used: Chatbot Assessment Reporting Tool (CHART). Page numbers and locations refer to the revised manuscript PDF. Supplementary materials include Supplementary Tables S1-S7 and Supplementary Appendices 2-5.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850"/>
        <w:gridCol w:w="4300"/>
        <w:gridCol w:w="8686"/>
      </w:tblGrid>
      <w:tr w14:paraId="211F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00" w:type="dxa"/>
            <w:shd w:val="clear" w:color="auto" w:fill="B7DEE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7629F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Heading</w:t>
            </w:r>
          </w:p>
        </w:tc>
        <w:tc>
          <w:tcPr>
            <w:tcW w:w="850" w:type="dxa"/>
            <w:shd w:val="clear" w:color="auto" w:fill="B7DEE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DD21E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No</w:t>
            </w:r>
          </w:p>
        </w:tc>
        <w:tc>
          <w:tcPr>
            <w:tcW w:w="4300" w:type="dxa"/>
            <w:shd w:val="clear" w:color="auto" w:fill="B7DEE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0E86D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CHART checklist item</w:t>
            </w:r>
          </w:p>
        </w:tc>
        <w:tc>
          <w:tcPr>
            <w:tcW w:w="7800" w:type="dxa"/>
            <w:shd w:val="clear" w:color="auto" w:fill="B7DEE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D3F51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Reported page/location</w:t>
            </w:r>
          </w:p>
        </w:tc>
      </w:tr>
      <w:tr w14:paraId="74BFB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6" w:type="dxa"/>
            <w:gridSpan w:val="4"/>
            <w:shd w:val="clear" w:color="auto" w:fill="D9EA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B8E79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Title and abstract</w:t>
            </w:r>
          </w:p>
        </w:tc>
      </w:tr>
      <w:tr w14:paraId="68A30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BE7CF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Title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B4E5F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41D2A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that the study is assessing one or more generative AI-driven chatbots for clinical evidence or health advice.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C4F8DF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Title, p. 1; Abstract, p. 1. The title and abstract identify a comparative evaluation of five generative AI chatbots responding to patient-presented orthodontic misinformation and controversial claims.</w:t>
            </w:r>
          </w:p>
        </w:tc>
      </w:tr>
      <w:tr w14:paraId="6B108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C6B62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Abstract/summary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B022A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C8FA2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Apply a structured format, if applicable.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43B903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Abstract, pp. 1-2. A structured abstract reports Background, Objective, Methods, Results, and Conclusions.</w:t>
            </w:r>
          </w:p>
        </w:tc>
      </w:tr>
      <w:tr w14:paraId="2BF0D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6" w:type="dxa"/>
            <w:gridSpan w:val="4"/>
            <w:shd w:val="clear" w:color="auto" w:fill="D9EA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0BACC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Introduction</w:t>
            </w:r>
          </w:p>
        </w:tc>
      </w:tr>
      <w:tr w14:paraId="60B52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DD6DC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Background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66878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D8DB4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the scientific background, rationale, and healthcare context for evaluating the generative AI-driven chatbot(s), referencing relevant literature when applicable.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291FE1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Introduction, pp. 2-4. The manuscript describes the online misinformation context, clinically relevant orthodontic misinformation and controversial claims, potential harms of misleading advice, limitations of conversational fluency as a proxy for reliability, and the rationale for a multidimensional chatbot evaluation.</w:t>
            </w:r>
          </w:p>
        </w:tc>
      </w:tr>
      <w:tr w14:paraId="75055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D0631D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52F1D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F102F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the aims and research questions including the target audience, intervention, comparator(s), and outcome(s).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F0C65B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Abstract Objective, p. 1; Introduction, p. 4. Target audience: patients and public users seeking orthodontic information; intervention/comparators: five consumer-facing chatbot systems; outcomes: safety, accuracy, evidence concordance, misinformation correction, uncertainty communication, transparency, and actionability.</w:t>
            </w:r>
          </w:p>
        </w:tc>
      </w:tr>
      <w:tr w14:paraId="331BE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6" w:type="dxa"/>
            <w:gridSpan w:val="4"/>
            <w:shd w:val="clear" w:color="auto" w:fill="D9EA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99B76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Methods</w:t>
            </w:r>
          </w:p>
        </w:tc>
      </w:tr>
      <w:tr w14:paraId="2C282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FA429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Model identifiers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B9536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07F2B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the name and version identifier(s) of the generative AI model(s) and chatbot(s) under evaluation, as well as their date of release or last update.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D6776D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Chatbot selection and model documentation, p. 6; Supplementary Table S1. Chatbot/provider names, displayed or date-based reconstructed model/version identifiers, official access routes, query dates, and unavailable release or last-update information are reported. Unverifiable deployment details were not inferred.</w:t>
            </w:r>
          </w:p>
        </w:tc>
      </w:tr>
      <w:tr w14:paraId="45E4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FE8B1A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B8B96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A74C2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whether the generative AI model(s) and chatbot(s) are open-source or closed-source/proprietary.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AB3B82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Chatbot selection and model documentation, p. 6; Supplementary Table S1. The tested systems are described as provider-hosted consumer products; ChatGPT, Gemini, Copilot, and Doubao are closed proprietary deployments, and DeepSeek was evaluated through its provider-hosted product. Separately released artifacts were not treated as the tested deployment.</w:t>
            </w:r>
          </w:p>
        </w:tc>
      </w:tr>
      <w:tr w14:paraId="1FE90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CCC30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Model details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D75B5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96A99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whether the generative AI model was a base model or a novel base model, tuned model, or fine-tuned model.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ED3E90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Chatbot selection and model documentation, p. 6. The study evaluated deployed user-facing products rather than investigator-hosted model architectures. Base-model, instruction-tuned, routing, system-prompt, and post-training details were reported as unavailable when not publicly disclosed.</w:t>
            </w:r>
          </w:p>
        </w:tc>
      </w:tr>
      <w:tr w14:paraId="73A7A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190339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55018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EA9D0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If a base model is used, cite its development in sufficient detail to identify the model.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D6E4F0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Not applicable. The investigators did not directly access, host, or evaluate an unmodified base model as the experimental system; all systems were evaluated through official consumer-facing web interfaces.</w:t>
            </w:r>
          </w:p>
        </w:tc>
      </w:tr>
      <w:tr w14:paraId="63823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607482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E8BE5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4c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F1B37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If a novel base model, tuned model, or fine-tuned model is used, describe the pre- and/or post-implementation/deployment data and parameters.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373995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Not applicable. The investigators did not develop, train, tune, fine-tune, locally host, or deploy any model. Provider-side training data, weights, serving parameters, routing rules, and safety-tuning procedures were not available to the investigators and were not inferred.</w:t>
            </w:r>
          </w:p>
        </w:tc>
      </w:tr>
      <w:tr w14:paraId="1F77D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448CE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Prompt engineering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BC0B1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C5264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Describe the evolution of study prompt development.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BE049F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Question set development and prompt standardization, pp. 6-8; Figure 1, p. 5; Supplementary Appendix 2. A structured multistage process screened 188 candidate questions, excluded 120, and retained 68 standardized questions across 10 orthodontic domains.</w:t>
            </w:r>
          </w:p>
        </w:tc>
      </w:tr>
      <w:tr w14:paraId="4D101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247392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4C3E5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5ai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A007B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Describe the sources of prompts.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B4A00D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Question set development and prompt standardization, pp. 6-8; Supplementary Appendices 2-3. Sources included professional orthodontic guidance, clinical practice guidelines, systematic reviews/meta-analyses, selected clinical studies, authoritative public-health and patient-education resources, and public-interest signals from Google Trends and Baidu Health.</w:t>
            </w:r>
          </w:p>
        </w:tc>
      </w:tr>
      <w:tr w14:paraId="41F11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0F3766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29E16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5aii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3783C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the number and characteristics of the individual(s) involved in prompt engineering.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CB993D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Question set development and prompt standardization, pp. 6-8. Two investigators, Xiaoli Liu and Yulong Wang, undertook question generation, screening, categorization, and wording refinement; disagreements were resolved through discussion and study-team review.</w:t>
            </w:r>
          </w:p>
        </w:tc>
      </w:tr>
      <w:tr w14:paraId="12065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4302B1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36D52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5aiii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2488F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Provide details of any patient and public involvement during prompt engineering.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1AC69A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Patient and public involvement, p. 8. Patients and members of the public did not participate directly in formal question selection. Publicly available patient-facing resources, lay terminology, Google Trends, and Baidu Health were used only to improve topic relevance and wording; the final prompts were not a patient-validated questionnaire.</w:t>
            </w:r>
          </w:p>
        </w:tc>
      </w:tr>
      <w:tr w14:paraId="0A98A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FB1051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05A2E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9A35C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Provide study prompts.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6983F7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Question set development and prompt standardization, pp. 6-8; Supplementary Appendix 2. The exact final set of 68 standardized English-language prompts and the complete candidate-level screening audit are provided.</w:t>
            </w:r>
          </w:p>
        </w:tc>
      </w:tr>
      <w:tr w14:paraId="7038F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A1AE7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Query strategy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A81ED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DA58E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route of access to generative AI model.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13FFC3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Chatbot selection and model documentation, p. 6; Query strategy and response collection, pp. 8-9; Supplementary Table S1. ChatGPT, Gemini, Microsoft Copilot, DeepSeek, and Doubao were accessed through their official consumer-facing web interfaces. Browsing/search and related carryover features were disabled or kept unavailable where technically possible.</w:t>
            </w:r>
          </w:p>
        </w:tc>
      </w:tr>
      <w:tr w14:paraId="25CE0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5FF830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442CB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3AF9B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the date(s) and location(s) of queries for the generative AI-driven chatbot(s) including the day, month, and year as well as city and country.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E6B2E2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Query strategy and response collection, pp. 8-9; Supplementary Table S1. Queries were conducted in China from 15 to 17 August 2026 on the model-specific dates shown in Supplementary Table S1. City-level query location was not consistently retained and could not be reconstructed retrospectively; therefore, the city requested by CHART is unavailable.</w:t>
            </w:r>
          </w:p>
        </w:tc>
      </w:tr>
      <w:tr w14:paraId="5B146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206963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A6B60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6c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DFA24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Describe whether prompts were input into separate chat session(s).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61FF20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Query strategy and response collection, pp. 8-9. Each of the 68 questions was submitted in an independent single-turn conversation, with a new conversation initiated for every question to minimize contextual carryover.</w:t>
            </w:r>
          </w:p>
        </w:tc>
      </w:tr>
      <w:tr w14:paraId="51032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0E8171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AECF3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6d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F4CBC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Provide all generative AI-driven chatbot outputs/responses.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467D48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Query strategy and response collection, pp. 8-9; Supplementary Appendix 5. The first complete response was retained; content-based regeneration was not permitted. The structured question-by-model archive provides one record for each of the 340 question-model combinations.</w:t>
            </w:r>
          </w:p>
        </w:tc>
      </w:tr>
      <w:tr w14:paraId="6EE07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8FBF6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Performance evaluation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667FE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C0A87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Define the ground truth or reference standard used to define successful generative AI-driven chatbot performance.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A032B3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Reference standard and evidence mapping, pp. 9-10; Outcome assessment, pp. 10-13; Supplementary Appendices 3-4. A question-specific evidence framework was frozen on 14 August 2026 and included reference-standard answers, must-include elements, unsafe/critical anchors, evidence mappings, certainty labels, and item-specific operational scoring anchors.</w:t>
            </w:r>
          </w:p>
        </w:tc>
      </w:tr>
      <w:tr w14:paraId="081D8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5C5E30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3CA07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17233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Describe the process undertaken for generative AI-driven chatbot performance evaluation.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B7AAC3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Outcome assessment, pp. 10-13; Reviewer training, scoring, and inter-rater agreement, pp. 13-14; Supplementary Appendices 3-4. The manuscript describes binary safety coding, 5-point accuracy scoring, element-based evidence concordance, misinformation correction, uncertainty communication and transparency, question-specific actionability, reviewer calibration, coded/randomized presentation, independent ratings, agreement analysis, and consensus adjudication.</w:t>
            </w:r>
          </w:p>
        </w:tc>
      </w:tr>
      <w:tr w14:paraId="622A1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6B800E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E66E6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7bi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9372A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the number and characteristics of team members involved in performance evaluation.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3B828E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Reviewer training, scoring, and inter-rater agreement, pp. 13-14. Five clinicians with 6-26 years of clinical experience independently evaluated the responses. Their names, professional ranks, and years of experience are reported in the manuscript.</w:t>
            </w:r>
          </w:p>
        </w:tc>
      </w:tr>
      <w:tr w14:paraId="767B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D788C2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27C55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7bii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C716A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Provide details of any patients and public involvement during the evaluation process.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B6B673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Patient and public involvement, p. 8. No patients or members of the public participated in chatbot querying, reference-standard construction, or formal response scoring.</w:t>
            </w:r>
          </w:p>
        </w:tc>
      </w:tr>
      <w:tr w14:paraId="4D7E6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05126E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26789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7biii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42D88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whether evaluators were blinded to the identity of the generative AI-driven chatbot(s) under assessment.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4DD37C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Reviewer training, scoring, and inter-rater agreement, pp. 13-14. Explicit chatbot names, provider identifiers, interface labels, logos, and other direct source markers were removed; responses were coded and randomized. Complete reviewer blinding was not claimed because model-specific wording or formatting could remain recognizable.</w:t>
            </w:r>
          </w:p>
        </w:tc>
      </w:tr>
      <w:tr w14:paraId="5268E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1A407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Sample size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DD6C8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FD4F3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Report how the sample size was determined.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556174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Sample size, p. 14. Sixty-eight questions were submitted to five chatbot systems, yielding 340 matched responses. Prompt number was determined pragmatically by topic coverage, clinically relevant misinformation and safety-sensitive claims, evidence stability, and feasibility of independent expert review. No formal a priori power calculation was performed.</w:t>
            </w:r>
          </w:p>
        </w:tc>
      </w:tr>
      <w:tr w14:paraId="361FC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D15A8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Data analysis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FFFF7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13E66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Describe statistical analysis methods, including any evaluation of reproducibility of generative AI-driven chatbot responses.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5DEB31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Statistical analysis, pp. 14-15; Reproducibility, data privacy, and ethical considerations, p. 15. Analyses included descriptive summaries, Wilson confidence intervals, Fleiss' kappa, ICC(2,1), Cochran's Q and McNemar tests, Friedman and paired Wilcoxon tests, Kendall's W, rank-biserial correlations, Benjamini-Hochberg correction, and matched question-level bootstrap confidence intervals. Repeated-output reproducibility was not assessed because each standardized prompt was submitted once.</w:t>
            </w:r>
          </w:p>
        </w:tc>
      </w:tr>
      <w:tr w14:paraId="628EF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188BBD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4E5D3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9ai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80BB9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Report the measures used for performance evaluation.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8283F6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Outcome assessment, pp. 10-13; Statistical analysis, pp. 14-15. Prespecified measures were safety, accuracy, evidence concordance, misinformation correction, uncertainty communication, transparency, and actionability.</w:t>
            </w:r>
          </w:p>
        </w:tc>
      </w:tr>
      <w:tr w14:paraId="4CF6F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6" w:type="dxa"/>
            <w:gridSpan w:val="4"/>
            <w:shd w:val="clear" w:color="auto" w:fill="D9EA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FFDF2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Results</w:t>
            </w:r>
          </w:p>
        </w:tc>
      </w:tr>
      <w:tr w14:paraId="11BE5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9B25BA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FD693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2F148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Report the performance evaluation undertaken including the alignment between generative AI-driven chatbot output and ground truth or reference standard using quantitative or mixed methods approaches as applicable.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1967A9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Results, pp. 15-20; Tables 1-4; Figures 2-3; Supplementary Tables S2-S6. Quantitative findings are reported for response completeness, inter-rater agreement, safety, and all six graded outcomes, using matched omnibus tests and multiplicity-adjusted pairwise comparisons.</w:t>
            </w:r>
          </w:p>
        </w:tc>
      </w:tr>
      <w:tr w14:paraId="4015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3C2BBC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D0C8B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DC14A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For responses deviating from the ground truth or reference standard, state the nature of the difference(s).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A30FB2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Results, pp. 16-20; Discussion, pp. 20-22; Supplementary Table S7; Supplementary Appendix 5. Deviations are characterized through safety findings and discussion of inaccurate, unsupported, insufficiently qualified, or clinically unsafe response patterns. Supplementary Table S7 provides an item-level qualitative analysis of the 33 unsafe-coded responses, and the full archived answer text is available in Supplementary Appendix 5.</w:t>
            </w:r>
          </w:p>
        </w:tc>
      </w:tr>
      <w:tr w14:paraId="464BF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8C785C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FB8EA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10c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BF532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Report the evaluation for potentially harmful, biased, or misleading responses.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A8EC32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Results: Safety, p. 16; Discussion, pp. 20-22; Supplementary Table S7. Thirty-three of 340 responses (9.7%) were unsafe-coded, and every chatbot generated at least one unsafe response. Potentially misleading responses were additionally examined through accuracy, evidence concordance, and misinformation-correction outcomes. Bias/fairness was not evaluated as a separate outcome and is explicitly reported as a limitation.</w:t>
            </w:r>
          </w:p>
        </w:tc>
      </w:tr>
      <w:tr w14:paraId="4C92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6" w:type="dxa"/>
            <w:gridSpan w:val="4"/>
            <w:shd w:val="clear" w:color="auto" w:fill="D9EA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2478E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Discussion</w:t>
            </w:r>
          </w:p>
        </w:tc>
      </w:tr>
      <w:tr w14:paraId="5F800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E263FB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482D2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11a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8DFFD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Interpret study findings in the context of relevant evidence.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E50AC2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Discussion, pp. 20-22. Findings are interpreted in relation to prior evidence on medical and orthodontic LLM evaluation, misinformation correction, uncertainty communication, transparency, actionability, safety, and the need for professional oversight.</w:t>
            </w:r>
          </w:p>
        </w:tc>
      </w:tr>
      <w:tr w14:paraId="7CEDD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290809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26104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11b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2ADE5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Describe the strengths and limitations of the study.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676D24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Discussion, pp. 21-22. Strengths include the auditable 188-to-68 screening pathway, standardized prompts, a frozen question-specific reference framework, item-level scoring anchors, first-response retention, five independent clinicians, consensus adjudication, paired statistics, and separation of safety from six graded constructs. Limitations include dynamic provider-hosted products, single English-language submissions, no repeated-generation or multi-turn testing, a non-patient-validated prompt set, incomplete blinding, no separate bias/fairness outcome, and absence of clinical or behavioral outcomes.</w:t>
            </w:r>
          </w:p>
        </w:tc>
      </w:tr>
      <w:tr w14:paraId="120E1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25F21F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A1B98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11c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7613A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Describe the potential implications for practice, education, policy, regulation, and research.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9C5FB2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Discussion, pp. 21-22; Conclusion, p. 22. The manuscript recommends cautious adjunctive use, verification against current evidence and individualized assessment, explicit rejection of unsafe self-treatment, clearer uncertainty and source boundaries, and future multilingual, repeated-run, multi-turn, externally evaluated and human-factors research.</w:t>
            </w:r>
          </w:p>
        </w:tc>
      </w:tr>
      <w:tr w14:paraId="4E849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6" w:type="dxa"/>
            <w:gridSpan w:val="4"/>
            <w:shd w:val="clear" w:color="auto" w:fill="D9EA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24A24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Open science</w:t>
            </w:r>
          </w:p>
        </w:tc>
      </w:tr>
      <w:tr w14:paraId="324ED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75C6F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Disclosures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1ADA8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12a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5CE34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Report any relevant conflicts of interest for all authors.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D3BA70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Competing interests, p. 24. The authors declare no competing interests.</w:t>
            </w:r>
          </w:p>
        </w:tc>
      </w:tr>
      <w:tr w14:paraId="08E00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73ECE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Funding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53FF6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12b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7F42A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Report sources of funding and their role in the conduct and reporting of the study.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81F815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Funding, p. 24. The authors received no specific funding for this work.</w:t>
            </w:r>
          </w:p>
        </w:tc>
      </w:tr>
      <w:tr w14:paraId="1B1C8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8F411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Ethics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363D3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12c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A54BB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Describe the process undertaken for ethical approval.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462AD8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Ethics approval and consent to participate, p. 23; Methods: Reproducibility, data privacy, and ethical considerations, p. 15. The study used investigator-developed hypothetical prompts and chatbot-generated text only, involved no recruited human participants, identifiable patient data, clinical records, or interventions, and states that ethics approval and informed consent were not applicable.</w:t>
            </w:r>
          </w:p>
        </w:tc>
      </w:tr>
      <w:tr w14:paraId="18DF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059BF3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389D0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12ci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0A79A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Describe the measures taken to safeguard data privacy of patient health information, as applicable.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BB3FB7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Methods: Query strategy and response collection, pp. 8-9; Reproducibility, data privacy, and ethical considerations, p. 15; Data privacy, p. 23. No real patient history, personal identifier, protected health information, or clinical record was entered into any chatbot; research files were coded and stored on password-protected institutional devices.</w:t>
            </w:r>
          </w:p>
        </w:tc>
      </w:tr>
      <w:tr w14:paraId="6D8CB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23ED10"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4BC69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12cii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22FA9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whether permission/licensing was obtained for the use of original, copyrighted data.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6168D2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Permissions and licensing, p. 23. The study used investigator-authored prompts and text generated through official user-facing interfaces; no proprietary training data, source code, or restricted clinical records were accessed. Redistribution of full outputs is subject to applicable provider terms.</w:t>
            </w:r>
          </w:p>
        </w:tc>
      </w:tr>
      <w:tr w14:paraId="07FDA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4BF1A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Protocol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AFA16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12d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1A4A1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Provide a study protocol.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99C2F1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Protocol, materials, and analysis code, pp. 23-24. No separate prospective protocol registration was undertaken. The supplementary package documents the prespecified question-development, reference-standard, scoring, and response-archive materials; analysis code is available from the corresponding author on reasonable request.</w:t>
            </w:r>
          </w:p>
        </w:tc>
      </w:tr>
      <w:tr w14:paraId="75B7A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F3655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Data availability</w:t>
            </w:r>
          </w:p>
        </w:tc>
        <w:tc>
          <w:tcPr>
            <w:tcW w:w="85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E9E8F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12e</w:t>
            </w:r>
          </w:p>
        </w:tc>
        <w:tc>
          <w:tcPr>
            <w:tcW w:w="43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BB4A2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State where study data, code repository, and model parameters can be accessed.</w:t>
            </w:r>
          </w:p>
        </w:tc>
        <w:tc>
          <w:tcPr>
            <w:tcW w:w="78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D8C766">
            <w:pPr>
              <w:spacing w:before="0" w:after="0" w:line="240" w:lineRule="auto"/>
              <w:jc w:val="left"/>
            </w:pPr>
            <w:r>
              <w:rPr>
                <w:rFonts w:ascii="Arial" w:hAnsi="Arial" w:eastAsia="Times New Roman"/>
                <w:b w:val="0"/>
                <w:i w:val="0"/>
                <w:sz w:val="16"/>
              </w:rPr>
              <w:t>Availability of data and materials, p. 24; Protocol, materials, and analysis code, pp. 23-24; Supplementary Appendices 2-5 and Supplementary Tables S1-S7. De-identified item-level study materials are provided in the supplementary package and/or available from the corresponding author on reasonable request, subject to provider terms. Proprietary model weights, routing, and serving parameters were not available to the investigators.</w:t>
            </w:r>
          </w:p>
        </w:tc>
      </w:tr>
    </w:tbl>
    <w:p w14:paraId="28E06000">
      <w:pPr>
        <w:spacing w:before="0" w:after="0" w:line="240" w:lineRule="auto"/>
      </w:pPr>
      <w:r>
        <w:rPr>
          <w:rFonts w:ascii="Arial" w:hAnsi="Arial"/>
          <w:sz w:val="20"/>
        </w:rPr>
        <w:t>Footer Note: AI, artificial intelligence; CHART, Chatbot Assessment Reporting Tool; LLM, large language model.</w:t>
      </w:r>
    </w:p>
    <w:sectPr>
      <w:pgSz w:w="16834" w:h="11909" w:orient="landscape"/>
      <w:pgMar w:top="648" w:right="648" w:bottom="648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B30123A"/>
    <w:rsid w:val="539A127A"/>
    <w:rsid w:val="590E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2026-08-19T23:47:10Z</dcterms:modified>
  <dc:subject>Completed CHART reporting checklist</dc:subject>
  <dc:title>Supplementary Appendix 1. CHART Checklist - Orthodontic Misinformation Chatbot Study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03A27C3066E04FFE95433AA4B61BB731_13</vt:lpwstr>
  </property>
</Properties>
</file>