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8413B" w14:textId="77777777" w:rsidR="00D24FE9" w:rsidRDefault="00D24FE9" w:rsidP="00D24FE9">
      <w:pPr>
        <w:pStyle w:val="Heading2"/>
      </w:pPr>
      <w:bookmarkStart w:id="0" w:name="supplementary-figures"/>
      <w:r>
        <w:t>Supplementary figures</w:t>
      </w:r>
    </w:p>
    <w:p w14:paraId="3F7B1879" w14:textId="77777777" w:rsidR="00D24FE9" w:rsidRDefault="00D24FE9" w:rsidP="00D24FE9">
      <w:pPr>
        <w:pStyle w:val="FirstParagraph"/>
      </w:pPr>
      <w:r>
        <w:rPr>
          <w:noProof/>
        </w:rPr>
        <w:drawing>
          <wp:inline distT="0" distB="0" distL="0" distR="0" wp14:anchorId="1DAE46D1" wp14:editId="41DF8ED3">
            <wp:extent cx="5334000" cy="3377003"/>
            <wp:effectExtent l="0" t="0" r="0" b="0"/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/Users/hzshen/Projects/Claude-Science/ResearchSquare/Tahoe%20LOCO%20benchmark/figures/FigS1_skill_ceiling_by_mode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7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66C1F4" w14:textId="77777777" w:rsidR="00D24FE9" w:rsidRDefault="00D24FE9" w:rsidP="00D24FE9">
      <w:pPr>
        <w:pStyle w:val="BodyText"/>
      </w:pPr>
      <w:r>
        <w:rPr>
          <w:b/>
          <w:bCs/>
        </w:rPr>
        <w:t>Figure S1. Per-model skill versus the repeatability ceiling.</w:t>
      </w:r>
      <w:r>
        <w:t xml:space="preserve"> Per-drug mean reliability-weighted residual R² versus repeat reliability for five models (drug_mean omitted: constant 0 by construction) across the 107 drugs with repeat measurements. Spearman ρ: basal_pc_ridge 0.759 (p = 3×10⁻²¹), organ_shrinkage 0.724, knn_transfer 0.711, metadata_ridge 0.389, no_change 0.107 (n.s.). Dashed line: zero skill; dotted line: the 0.2 reliability gate. Supports Tables S1, S3, S4.</w:t>
      </w:r>
    </w:p>
    <w:p w14:paraId="312BB257" w14:textId="77777777" w:rsidR="00D24FE9" w:rsidRDefault="00D24FE9" w:rsidP="00D24FE9">
      <w:pPr>
        <w:pStyle w:val="BodyText"/>
      </w:pPr>
      <w:r>
        <w:rPr>
          <w:noProof/>
        </w:rPr>
        <w:lastRenderedPageBreak/>
        <w:drawing>
          <wp:inline distT="0" distB="0" distL="0" distR="0" wp14:anchorId="387718C2" wp14:editId="4BFD97BA">
            <wp:extent cx="5334000" cy="3373905"/>
            <wp:effectExtent l="0" t="0" r="0" b="0"/>
            <wp:docPr id="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/Users/hzshen/Projects/Claude-Science/ResearchSquare/Tahoe%20LOCO%20benchmark/figures/FigS2_permutation_null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3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658174" w14:textId="77777777" w:rsidR="00D24FE9" w:rsidRDefault="00D24FE9" w:rsidP="00D24FE9">
      <w:pPr>
        <w:pStyle w:val="BodyText"/>
      </w:pPr>
      <w:r>
        <w:rPr>
          <w:b/>
          <w:bCs/>
        </w:rPr>
        <w:t>Figure S2. Permutation null distributions for the five high-ceiling drugs.</w:t>
      </w:r>
      <w:r>
        <w:t xml:space="preserve"> Gray histograms: fold-level permutation-null weighted residual R² with training basal rows shuffled (20 permutations × 47 folds); black ticks: the 20 per-permutation means; orange line: observed basal_pc_ridge skill. All five drugs exceed every permutation mean, but the empirical p is pinned at the 20-permutation floor (1/21 = 0.048) and therefore cannot separate them; per-drug significance against the drug-mean baseline is given by the fold-level tests in §3.3 (Table S8). Supports Table S5.</w:t>
      </w:r>
    </w:p>
    <w:p w14:paraId="752434C6" w14:textId="77777777" w:rsidR="00D24FE9" w:rsidRDefault="00D24FE9" w:rsidP="00D24FE9">
      <w:pPr>
        <w:pStyle w:val="BodyText"/>
      </w:pPr>
      <w:r>
        <w:rPr>
          <w:noProof/>
        </w:rPr>
        <w:lastRenderedPageBreak/>
        <w:drawing>
          <wp:inline distT="0" distB="0" distL="0" distR="0" wp14:anchorId="5AB29ED3" wp14:editId="1183DFD8">
            <wp:extent cx="5334000" cy="3377003"/>
            <wp:effectExtent l="0" t="0" r="0" b="0"/>
            <wp:docPr id="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/Users/hzshen/Projects/Claude-Science/ResearchSquare/Tahoe%20LOCO%20benchmark/figures/FigS3_all_gene_sensitivit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7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99707" w14:textId="77777777" w:rsidR="00D24FE9" w:rsidRDefault="00D24FE9" w:rsidP="00D24FE9">
      <w:pPr>
        <w:pStyle w:val="BodyText"/>
      </w:pPr>
      <w:r>
        <w:rPr>
          <w:b/>
          <w:bCs/>
        </w:rPr>
        <w:t>Figure S3. Primary versus all-gene metric.</w:t>
      </w:r>
      <w:r>
        <w:t xml:space="preserve"> Per-drug mean weighted residual R² under the primary gene filter (reliability weight &gt; 0.1) versus the all-gene filter (weight &gt; 0), per model (377 drugs). Pearson r ≥ 0.9998 for all non-trivial models; drug_mean is constant 0 by construction. Conclusions are insensitive to the weight-floor choice. Supports Table S6.</w:t>
      </w:r>
    </w:p>
    <w:p w14:paraId="4FF3AE33" w14:textId="77777777" w:rsidR="00D24FE9" w:rsidRDefault="00D24FE9" w:rsidP="00D24FE9">
      <w:pPr>
        <w:pStyle w:val="BodyText"/>
      </w:pPr>
      <w:r>
        <w:rPr>
          <w:noProof/>
        </w:rPr>
        <w:drawing>
          <wp:inline distT="0" distB="0" distL="0" distR="0" wp14:anchorId="0B2F171F" wp14:editId="2896B5D6">
            <wp:extent cx="5334000" cy="2361481"/>
            <wp:effectExtent l="0" t="0" r="0" b="0"/>
            <wp:docPr id="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/Users/hzshen/Projects/Claude-Science/ResearchSquare/Tahoe%20LOCO%20benchmark/figures/FigS4_ceiling_diagnostic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1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6EBF61" w14:textId="77777777" w:rsidR="00D24FE9" w:rsidRDefault="00D24FE9" w:rsidP="00D24FE9">
      <w:pPr>
        <w:pStyle w:val="BodyText"/>
      </w:pPr>
      <w:r>
        <w:rPr>
          <w:b/>
          <w:bCs/>
        </w:rPr>
        <w:t>Figure S4. Ceiling estimation diagnostics.</w:t>
      </w:r>
      <w:r>
        <w:t xml:space="preserve"> (A) Pooled repeat reliability versus the per-gene Fisher-averaged correlation sensitivity estimate (Pearson r = 0.973, n = 107 drugs). (B) Fisher CI half-width versus the number of paired lines; ceiling estimates are least precise for drugs with few paired lines. Supports Table S4.</w:t>
      </w:r>
    </w:p>
    <w:p w14:paraId="7DB0D8CE" w14:textId="77777777" w:rsidR="00D24FE9" w:rsidRDefault="00D24FE9" w:rsidP="00D24FE9">
      <w:pPr>
        <w:pStyle w:val="BodyText"/>
      </w:pPr>
      <w:r>
        <w:rPr>
          <w:noProof/>
        </w:rPr>
        <w:lastRenderedPageBreak/>
        <w:drawing>
          <wp:inline distT="0" distB="0" distL="0" distR="0" wp14:anchorId="38CAA7B6" wp14:editId="5190CA35">
            <wp:extent cx="5334000" cy="3529534"/>
            <wp:effectExtent l="0" t="0" r="0" b="0"/>
            <wp:docPr id="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/Users/hzshen/Projects/Claude-Science/ResearchSquare/Tahoe%20LOCO%20benchmark/figures/FigS5_bootstrap_unit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9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7A5E9C" w14:textId="77777777" w:rsidR="00D24FE9" w:rsidRDefault="00D24FE9" w:rsidP="00D24FE9">
      <w:pPr>
        <w:pStyle w:val="BodyText"/>
      </w:pPr>
      <w:r>
        <w:rPr>
          <w:b/>
          <w:bCs/>
        </w:rPr>
        <w:t>Figure S5. Model skill by bootstrap analysis unit.</w:t>
      </w:r>
      <w:r>
        <w:t xml:space="preserve"> Mean weighted residual R² with 95% bootstrap CIs computed over drugs (n = 377; circles) or over outer LOCO folds (n = 47; squares). Model ranking is consistent across analysis units; per-fold CIs are wider, reflecting between-line heterogeneity. Supports Table S6.</w:t>
      </w:r>
    </w:p>
    <w:p w14:paraId="658C3F3E" w14:textId="77777777" w:rsidR="00D24FE9" w:rsidRDefault="00D24FE9" w:rsidP="00D24FE9">
      <w:pPr>
        <w:pStyle w:val="BodyText"/>
      </w:pPr>
      <w:r>
        <w:rPr>
          <w:noProof/>
        </w:rPr>
        <w:drawing>
          <wp:inline distT="0" distB="0" distL="0" distR="0" wp14:anchorId="3AAA2BF8" wp14:editId="2D65A555">
            <wp:extent cx="5334000" cy="2465486"/>
            <wp:effectExtent l="0" t="0" r="0" b="0"/>
            <wp:docPr id="6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/Users/hzshen/Projects/Claude-Science/ResearchSquare/Tahoe%20LOCO%20benchmark/figures/FigS6_axis_stability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5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630CAF" w14:textId="77777777" w:rsidR="00D24FE9" w:rsidRDefault="00D24FE9" w:rsidP="00D24FE9">
      <w:pPr>
        <w:pStyle w:val="BodyText"/>
      </w:pPr>
      <w:r>
        <w:rPr>
          <w:b/>
          <w:bCs/>
        </w:rPr>
        <w:t>Figure S6. Cross-fold stability of predictive basal genes for Tucidinostat and Homoharringtonine.</w:t>
      </w:r>
      <w:r>
        <w:t xml:space="preserve"> Top 15 basal genes by the number of LOCO folds in which the gene ranks in the top 100 by predictive importance (analogous to Figure 3A for Idarubicin). Y-chromosome genes in pink. Tucidinostat’s axis is dominated by MHC-II/stromal genes (CD74, SPARC, PDGFRB, COL5A1, CA12); Homoharringtonine’s by ECM/inflammatory </w:t>
      </w:r>
      <w:r>
        <w:lastRenderedPageBreak/>
        <w:t>genes (SERPINA3, RUNX3, MXRA5) with a partial Y-chromosome component. Supports Table S7.</w:t>
      </w:r>
    </w:p>
    <w:p w14:paraId="02EA6347" w14:textId="77777777" w:rsidR="00D24FE9" w:rsidRDefault="00D24FE9" w:rsidP="00D24FE9">
      <w:pPr>
        <w:pStyle w:val="BodyText"/>
      </w:pPr>
      <w:r>
        <w:rPr>
          <w:noProof/>
        </w:rPr>
        <w:drawing>
          <wp:inline distT="0" distB="0" distL="0" distR="0" wp14:anchorId="2F84785C" wp14:editId="080A2A08">
            <wp:extent cx="5334000" cy="2094289"/>
            <wp:effectExtent l="0" t="0" r="0" b="0"/>
            <wp:docPr id="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/Users/hzshen/Projects/Claude-Science/ResearchSquare/Tahoe%20LOCO%20benchmark/figures/FigS7_sex_control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42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EF5C21" w14:textId="77777777" w:rsidR="00D24FE9" w:rsidRDefault="00D24FE9" w:rsidP="00D24FE9">
      <w:pPr>
        <w:pStyle w:val="BodyText"/>
      </w:pPr>
      <w:r>
        <w:rPr>
          <w:b/>
          <w:bCs/>
        </w:rPr>
        <w:t>Figure S7. The positive regime does not reduce to donor sex.</w:t>
      </w:r>
      <w:r>
        <w:t xml:space="preserve"> (A) Y-chromosome share of axis-gene importance for the three drugs that clear the drug-mean baseline; tucidinostat’s axis contains no Y-chromosome gene yet its skill matches the other two. (B) Weighted residual R² with 95% fold-bootstrap CIs computed within each sex stratum of test lines (circles: 30–31 male; squares: 14–15 female); all six strata are significantly positive. (C) Per-drug skill against Y-chromosome share of the axis — skill is flat in sex loading. Donor sex from Cellosaurus for all 47 primary lines (31 male, 15 female, 1 unspecified; the unspecified line is omitted from the stratified panels). Supports Tables S9–S10.</w:t>
      </w:r>
    </w:p>
    <w:bookmarkEnd w:id="0"/>
    <w:p w14:paraId="08B7E744" w14:textId="77777777" w:rsidR="00E023F9" w:rsidRDefault="00E023F9"/>
    <w:sectPr w:rsidR="00E023F9" w:rsidSect="00D24FE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E9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A4860"/>
    <w:rsid w:val="00C94D66"/>
    <w:rsid w:val="00D24FE9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57F2"/>
  <w15:chartTrackingRefBased/>
  <w15:docId w15:val="{3D397410-62CD-4DE9-9317-86F178B4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FE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D24FE9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D24FE9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D2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2026-09-01T08:37:00Z</dcterms:created>
  <dcterms:modified xsi:type="dcterms:W3CDTF">2026-09-01T08:37:00Z</dcterms:modified>
</cp:coreProperties>
</file>